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 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before the disruption,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one-step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Among the static (built-in tolerance) and dynamic (after-the-fact revision) responses, 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 handled by resequencing alone (machine assignments kept), for which the premise of keeping the revised schedule near the original holds most clearly.</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merit of a search method acquires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objectives are threefold: (1) a comparative analysis of how the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the search behavior of single-solution and population-based methods; (2) the design of stability-inducing operators (PR and repair)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of their interaction with the host search structure; (3) a multi-perspective evaluation methodology integrating speed, Pareto coverage, and performance by stability band. Our focus is the structural analysis of the mechanism–host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Zhang et al. (2013) (GA + tabu search), and for flow shops by Katragjini et al. (2013). These works mostly bundle the two objectives into one weighted-sum scalar (Rangsaritratsamee et al., 2004; Zhang et al., 2013), where stability enters not as an independent mechanism but passively, as a single evaluation term of the objective. Of the two metaheuristic families—trajectory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steers the search toward stability actively: they fall into scope limiting, which excludes trade-off solutions outside the restriction, and objective embedding, in which the search itself does not pursue stability, leaving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convergence speed, and stability bands;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largely recombines solutions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 Section 3 presents the methods; Section 4 tests both hypotheses.</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against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Feasibility is first restored by the </w:t>
      </w:r>
      <w:r>
        <w:rPr>
          <w:rFonts w:ascii="Times New Roman" w:hAnsi="Times New Roman" w:cs="Times New Roman"/>
          <w:i/>
        </w:rPr>
        <w:t xml:space="preserve">right-shift repaired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which keeps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mechanisms (the direct swaps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 The premise for method differences to appear is that room remains to improve MS from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by sequence re-optimization (non-degeneracy).</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mechanism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 (re-verification with Pareto-native methods is future work).</w:t>
      </w:r>
    </w:p>
    <w:p>
      <w:pPr>
        <w:pStyle w:val="2"/>
        <w:spacing w:before="90" w:after="20" w:line="240" w:lineRule="exact"/>
      </w:pPr>
      <w:r>
        <w:rPr>
          <w:rFonts w:ascii="Times New Roman" w:hAnsi="Times New Roman" w:cs="Times New Roman"/>
          <w:sz w:val="22"/>
          <w:szCs w:val="22"/>
        </w:rPr>
        <w:t xml:space="preserve">3.2 ILS and Its Rationale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exploitation (local search) and escape (perturbation) are separated, the perturbation strength directly controls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stability-inducing mechanism (Section 3.3) inserts naturally as a perturbation. The local search is the standard </w:t>
      </w:r>
      <w:r>
        <w:rPr>
          <w:rFonts w:ascii="Times New Roman" w:hAnsi="Times New Roman" w:cs="Times New Roman"/>
          <w:i/>
        </w:rPr>
        <w:t xml:space="preserve">N5 neighborhood (Nowicki and Smutnicki, 1996)</w:t>
      </w:r>
      <w:r>
        <w:rPr>
          <w:rFonts w:ascii="Times New Roman" w:hAnsi="Times New Roman" w:cs="Times New Roman"/>
        </w:rPr>
        <w:t xml:space="preserve"> (candidates restricted to swaps of adjacent jobs at critical-block ends—only moves with a prospect of makespan improvement), shared by ILS and Memetic-LS. Its unit of search—an adjacent swap at a critical-block end—is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perturbation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best and current update only when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strictly improves. The candidate set is makespan-motivated and </w:t>
      </w:r>
      <w:r>
        <w:rPr>
          <w:rFonts w:ascii="Times New Roman" w:hAnsi="Times New Roman" w:cs="Times New Roman"/>
          <w:i/>
        </w:rPr>
        <w:t xml:space="preserve">λ</w:t>
      </w:r>
      <w:r>
        <w:rPr>
          <w:rFonts w:ascii="Times New Roman" w:hAnsi="Times New Roman" w:cs="Times New Roman"/>
        </w:rPr>
        <w:t xml:space="preserve">-independent, but moves are accepted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so the local optima shift toward efficiency or stability with </w:t>
      </w:r>
      <w:r>
        <w:rPr>
          <w:rFonts w:ascii="Times New Roman" w:hAnsi="Times New Roman" w:cs="Times New Roman"/>
          <w:i/>
        </w:rPr>
        <w:t xml:space="preserve">λ</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 control encodes individuals in the operation-based representation (Bierwirth, 1995)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its difference reduces solely to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even Memetic-LS with N5 therefore fills the high-stability region only coarsely—the crux of H1.</w:t>
      </w:r>
    </w:p>
    <w:p>
      <w:pPr>
        <w:pStyle w:val="2"/>
        <w:spacing w:before="90" w:after="20" w:line="240" w:lineRule="exact"/>
      </w:pPr>
      <w:r>
        <w:rPr>
          <w:rFonts w:ascii="Times New Roman" w:hAnsi="Times New Roman" w:cs="Times New Roman"/>
          <w:sz w:val="22"/>
          <w:szCs w:val="22"/>
        </w:rPr>
        <w:t xml:space="preserve">3.3 Stability-Inducing Operators (PR and repair) and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shrinking the disagreements one by one with direct swaps,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This transfers PR's "one-step approach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to the perturbation kick of ILS—a mini-PR truncated midway. Upon stagnation, a few direct swaps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restarts. The depth also cycles in a sawtooth, covering the stability side of the front in a band.</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Figure 1 schematizes the three structures' behavior on the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plane—population scattering (H1), trajectory neighborhood filling (H1), and mechanism pull-back (H2). 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Scalar comparison at one weight makes conclusions weight-dependent and cannot capture how much of the efficiency–stability trade-off was covered. We therefore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"whether a good solution is available whenever computation stops"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chapter establishes H1 (Section 4.2, the trajectory's suitability for the high-stability region) and H2 (Section 4.3, the host-dependent asymmetric effect of the same mechanism) through controlled pairwise comparisons, then surveys the implications with an overall scoreboard (Section 4.4). The central finding is that implementing the stability lever as an operator allowed </w:t>
      </w:r>
      <w:r>
        <w:rPr>
          <w:rFonts w:ascii="Times New Roman" w:hAnsi="Times New Roman" w:cs="Times New Roman"/>
          <w:i/>
        </w:rPr>
        <w:t xml:space="preserve">the host-structure × stability-mechanism interaction to be isolated under control</w:t>
      </w:r>
      <w:r>
        <w:rPr>
          <w:rFonts w:ascii="Times New Roman" w:hAnsi="Times New Roman" w:cs="Times New Roman"/>
        </w:rPr>
        <w:t xml:space="preserve">; as a consequence we also observe a complementary structure in which the best method changes with the evaluation axis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We adopt </w:t>
      </w:r>
      <w:r>
        <w:rPr>
          <w:rFonts w:ascii="Times New Roman" w:hAnsi="Times New Roman" w:cs="Times New Roman"/>
          <w:i/>
        </w:rPr>
        <w:t xml:space="preserve">ρ</w:t>
      </w:r>
      <w:r>
        <w:rPr>
          <w:rFonts w:ascii="Times New Roman" w:hAnsi="Times New Roman" w:cs="Times New Roman"/>
        </w:rPr>
        <w:t xml:space="preserve"> as the control axis because it appears to be the main determinant of effective difficulty here (see the end of Section 4.4).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completion delay of one operation; </w:t>
      </w:r>
      <w:r>
        <w:rPr>
          <w:rFonts w:ascii="Times New Roman" w:hAnsi="Times New Roman" w:cs="Times New Roman"/>
          <w:i/>
        </w:rPr>
        <w:t xml:space="preserve">Δ</w:t>
      </w:r>
      <w:r>
        <w:rPr>
          <w:rFonts w:ascii="Times New Roman" w:hAnsi="Times New Roman" w:cs="Times New Roman"/>
        </w:rPr>
        <w:t xml:space="preserve"> is about 0.9–1.5 times the affected operation's processing time (</w:t>
      </w:r>
      <w:r>
        <w:rPr>
          <w:rFonts w:ascii="Times New Roman" w:hAnsi="Times New Roman" w:cs="Times New Roman"/>
          <w:i/>
        </w:rPr>
        <w:t xml:space="preserve">Δ</w:t>
      </w:r>
      <w:r>
        <w:rPr>
          <w:rFonts w:ascii="Times New Roman" w:hAnsi="Times New Roman" w:cs="Times New Roman"/>
        </w:rPr>
        <w:t xml:space="preserve">=60–148),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the delay resolution (= delayed completion) time (Section 3.1). Complete per-scenario definitions of the affected operation, </w:t>
      </w:r>
      <w:r>
        <w:rPr>
          <w:rFonts w:ascii="Times New Roman" w:hAnsi="Times New Roman" w:cs="Times New Roman"/>
          <w:i/>
        </w:rPr>
        <w:t xml:space="preserve">Δ</w:t>
      </w:r>
      <w:r>
        <w:rPr>
          <w:rFonts w:ascii="Times New Roman" w:hAnsi="Times New Roman" w:cs="Times New Roman"/>
        </w:rPr>
        <w:t xml:space="preserv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and how </w:t>
      </w:r>
      <w:r>
        <w:rPr>
          <w:rFonts w:ascii="Times New Roman" w:hAnsi="Times New Roman" w:cs="Times New Roman"/>
          <w:i/>
        </w:rPr>
        <w:t xml:space="preserve">ρ</w:t>
      </w:r>
      <w:r>
        <w:rPr>
          <w:rFonts w:ascii="Times New Roman" w:hAnsi="Times New Roman" w:cs="Times New Roman"/>
        </w:rPr>
        <w:t xml:space="preserve"> was controlled (via the disrupted operation's position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are in the public repository (below).</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the trial: one trial is the whole 10-weight sweep—the non-dominated set merging each weight's visited solutions under UEA. HV thus yields one value per trial, and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to natural convergence). Iterations and generations differ in unit, so nominal values are aligned within each family and cross-method speed is compared by wall-clock AOC. Wall-clock time differs across families (Memetic+PR is 5–8× ILS, owing to path decoding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our Python implementation), but this is a mechanism cost, not a truncation artifact: a convergence check over all seven methods shows the median run reaching 99% of its final HV within half its budget.</w:t>
      </w:r>
    </w:p>
    <w:p>
      <w:pPr>
        <w:pStyle w:val="a8"/>
        <w:spacing w:line="240" w:lineRule="exact"/>
        <w:jc w:val="both"/>
      </w:pPr>
      <w:r>
        <w:rPr>
          <w:rFonts w:ascii="Times New Roman" w:hAnsi="Times New Roman" w:cs="Times New Roman"/>
          <w:b/>
        </w:rPr>
        <w:t xml:space="preserve">Initial solution and GA settings.</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active schedule generated by GA-500 (decoded by the GT algorithm (Giffler and Thompson, 1960); it satisfies the non-degeneracy condition of Section 3.1).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is fixed at standard values, not an independent variable.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 Code and scenario definitions: https://github.com/kitotakumi/stability_scheduling.</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mechanism confounds, we compare ILS-baseline vs. Memetic-LS with the local search aligned (</w:t>
      </w:r>
      <w:r>
        <w:rPr>
          <w:rFonts w:ascii="Times New Roman" w:hAnsi="Times New Roman" w:cs="Times New Roman"/>
          <w:i/>
        </w:rPr>
        <w:t xml:space="preserve">both carry the identical N5</w:t>
      </w:r>
      <w:r>
        <w:rPr>
          <w:rFonts w:ascii="Times New Roman" w:hAnsi="Times New Roman" w:cs="Times New Roman"/>
        </w:rPr>
        <w:t xml:space="preserve">, so differences stem from the search structure, not the presence of local search).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(the exceptions la36S and mt10 have small re-optimization subproblems where the population's early coverage pays off).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mechanisms (PR/repair) can fill by pulling back—picked up in H2 (Section 4.3).</w:t>
      </w: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mechanisms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mechanisms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mechanisms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 leaves little headroom by filling the neighborhood itself, and a small margin remains only when the disruption is so large that the filling cannot keep up.</w:t>
      </w: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reflects more than trial opportunities: ILS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short paths are themselves a symptom—so no headroom remains on the segments PR traverses, 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mechanism fires only upon stagnation (not in the early phase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the best method switches with the metric—the reshuffling of green (best) cells across the metrics is the visual evidence.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ILS in Section 4.2 was the plain population (Memetic-LS), and the mechanism-equipped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(the trajectory fills it natively) and H2 (the operators complement the population's coarseness so it catches up)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slow-warming Memetic+PR and GA trail (5.6, 7.0). The best method changes with the evaluation axis (Memetic+PR for overall quality; the ILS family for stability emphasis and speed), and the two structures complement the different demands of rescheduling.</w:t>
      </w: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it (isomorphic to H1)—</w:t>
      </w:r>
      <w:r>
        <w:rPr>
          <w:rFonts w:ascii="Times New Roman" w:hAnsi="Times New Roman" w:cs="Times New Roman"/>
          <w:i/>
        </w:rPr>
        <w:t xml:space="preserve">ρ</w:t>
      </w:r>
      <w:r>
        <w:rPr>
          <w:rFonts w:ascii="Times New Roman" w:hAnsi="Times New Roman" w:cs="Times New Roman"/>
        </w:rPr>
        <w:t xml:space="preserve"> thus proxies the difficulty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mechanism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from opposite directions, but ILS holds a good incumbent early while Memetic+PR ramps up after a warm-up (overtaking later when headroom exists); AOC aggregates this crossover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it wins in all 8 scenarios with complete separation over the counterpart sharing the identical N5 in the primary high-stability region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depending on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extremely high rescheduling ratios where ILS's filling cannot keep up (ta21L, 82%), a significant mechanism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and the two structures complement the different demands of rescheduling. The practical prescription is clear—Memetic+PR when final quality is paramount, Memetic+repair when the budget is tight and anytime performance matters, the ILS family when stability and responsiveness are the priority (Section 4.3).</w:t>
      </w:r>
    </w:p>
    <w:p>
      <w:pPr>
        <w:pStyle w:val="a8"/>
        <w:spacing w:line="240" w:lineRule="exact"/>
        <w:jc w:val="both"/>
      </w:pPr>
      <w:r>
        <w:rPr>
          <w:rFonts w:ascii="Times New Roman" w:hAnsi="Times New Roman" w:cs="Times New Roman"/>
        </w:rPr>
        <w:t xml:space="preserve">Implementing the stability lever as an "operator" made the same mechanism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(the saturated main conclusions are robust; borderline cases are another matter).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representation dependence,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3516-3531.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