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 effect was asymmetric. For population-based search, the high-stability hypervolume improved in every trial of every scenario and matched trajectory-based search in seven of the eight scenarios, and population-based search ranked first in the quality of the whole trade-off, whereas trajectory-based search, which fills this region by itself,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are either static, building in slack beforehand to raise tolerance, or dynamic, revising the schedule after the disruption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w:t>
      </w:r>
      <w:r>
        <w:rPr>
          <w:rFonts w:ascii="Times New Roman" w:hAnsi="Times New Roman" w:cs="Times New Roman"/>
          <w:i/>
        </w:rPr>
        <w:t xml:space="preserve">multi-objective optimization of efficiency and stability</w:t>
      </w:r>
      <w:r>
        <w:rPr>
          <w:rFonts w:ascii="Times New Roman" w:hAnsi="Times New Roman" w:cs="Times New Roman"/>
        </w:rPr>
        <w:t xml:space="preserve">.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 definitions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what is sought is a solution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one that keeps the change small yet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w:t>
      </w:r>
      <w:r>
        <w:rPr>
          <w:rFonts w:ascii="Times New Roman" w:hAnsi="Times New Roman" w:cs="Times New Roman"/>
          <w:i/>
        </w:rPr>
        <w:t xml:space="preserve">job-shop scheduling problem (JSSP)</w:t>
      </w:r>
      <w:r>
        <w:rPr>
          <w:rFonts w:ascii="Times New Roman" w:hAnsi="Times New Roman" w:cs="Times New Roman"/>
        </w:rPr>
        <w:t xml:space="preserve">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What the operators fill is the part left unfilled, so trajectory-based search, which fills this region by itself, improves only in the few scenarios where some of it remains unfilled.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sketches these findings on the same (</w:t>
      </w:r>
      <w:r>
        <w:rPr>
          <w:rFonts w:ascii="Times New Roman" w:hAnsi="Times New Roman" w:cs="Times New Roman"/>
          <w:i/>
        </w:rPr>
        <w:t xml:space="preserve">D</w:t>
      </w:r>
      <w:r>
        <w:rPr>
          <w:rFonts w:ascii="Times New Roman" w:hAnsi="Times New Roman" w:cs="Times New Roman"/>
        </w:rPr>
        <w:t xml:space="preserve">, MS) plane.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 The horizontal axis is the 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vertical axis is the makespan MS, the same coordinates as in the result figures (★: the right-shift solution that keeps the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boundary of the high-stability region is defined in Section 3.4). (a) Without operators; (b) with a stability-inducing operator mounted on the population-based side.</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This study presupposes the latter, and that lineage divides further into two by how stability is secured. Under this organization, this section surveys prior work and derives two hypotheses from the remaining issues.</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All treat stability as </w:t>
      </w:r>
      <w:r>
        <w:rPr>
          <w:rFonts w:ascii="Times New Roman" w:hAnsi="Times New Roman" w:cs="Times New Roman"/>
          <w:i/>
        </w:rPr>
        <w:t xml:space="preserve">one term of the objective function</w:t>
      </w:r>
      <w:r>
        <w:rPr>
          <w:rFonts w:ascii="Times New Roman" w:hAnsi="Times New Roman" w:cs="Times New Roman"/>
        </w:rPr>
        <w:t xml:space="preserve"> and balance it against efficiency through a weight.</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Another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which reschedules only up to the point of returning to the original schedule (Bean et al., 1991); AOR, which reschedules only the affected operations (Abumaizar and Svestka, 1997); Zakaria and Petrovic (2012), who restrict the chromosome to an interval; and Sun et al. (2026), who organize the range of operations allowed to be re-optimized into four levels, from right-shift only to full re-optimization.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Sun et al., 2026), and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search structures (trajectory-based versus population-based) has not been analyzed by comparing the two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The difference between search structures shows up in how well the solution set a method reaches fills the high-stability region. Comparisons, however, have taken the form of scalar values at a few weight settings (Rangsaritratsamee et al., 2004; Zhang et al., 2013) or an efficiency measure reported alongside stability (Sun et al., 2026); each gives only a few points per method and cannot measure how the region is filled. </w:t>
      </w:r>
      <w:r>
        <w:rPr>
          <w:rFonts w:ascii="Times New Roman" w:hAnsi="Times New Roman" w:cs="Times New Roman"/>
          <w:i/>
        </w:rPr>
        <w:t xml:space="preserve">Third, there is no means of supplying stability as a move.</w:t>
      </w:r>
      <w:r>
        <w:rPr>
          <w:rFonts w:ascii="Times New Roman" w:hAnsi="Times New Roman" w:cs="Times New Roman"/>
        </w:rPr>
        <w:t xml:space="preserve"> The objective-embedding lineage weaves stability into the evaluation of a solution, and the scope-limiting lineage cuts the search space to guarantee stability structurally, at the price of excluding from the search the efficiency–stability trade-off solutions outside the restriction. Neither has a move that shifts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while keeping the space intact.</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designs the move that supplies it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identical operators on both structures and compare them.</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the problem and the objective function (Section 3.1); factor 1, the search structure (ILS and Memetic with the local search aligned), which tests H1 (Section 3.2); factor 2, the stability-inducing operators mounted on both structures, which serves H2 and the cross-structure comparison (Section 3.3); and the responses, a framework of three metrics (Section 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one experiment yields both the speed in practice (by following each point's search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improves a single solution by iterating a perturbation of the current solution, a local search from the perturbed solution, and an acceptance decision on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the configuration standard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only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without evaluating the intermediate solutions on the path, re-optimizes the point reached by local search.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overall-HV-versus-log-time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HV(</w:t>
      </w:r>
      <w:r>
        <w:rPr>
          <w:rFonts w:ascii="Times New Roman" w:hAnsi="Times New Roman" w:cs="Times New Roman"/>
          <w:i/>
        </w:rPr>
        <w:t xml:space="preserve">t</w:t>
      </w:r>
      <w:r>
        <w:rPr>
          <w:rFonts w:ascii="Times New Roman" w:hAnsi="Times New Roman" w:cs="Times New Roman"/>
        </w:rPr>
        <w:t xml:space="preserve">) of each weight and each trial is averaged over wall-clock log-time (the time window is common to all methods for each weight), and the resulting values are averaged over all weights for each trial.</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 and as the relative deviation from the best method, ARPD% (</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rPr>
        <w:t xml:space="preserve">, lower is better).</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H1 is tested by comparing the high-stability HV of ILS-baseline and Memetic-baseline, which share the local search, and is regarded as supported if ILS is significantly ahead in all eight scenarios. H2 is tested in the same form on the gain in high-stability HV of operator-equipped Memetic over Memetic-baseline, and the level the gain reaches is checked by comparison with ILS-baseline. For the corresponding comparison on the trajectory side (ILS-baseline versus operator-equipped ILS), we do not predict the direction of the effect in advance, and contrast it as a difference from the population side in how the operators act. Multiple comparisons are handled by Holm correction, with the same comparison repeated across the eight scenarios forming one family. Neither hypothesis places a directional prediction on overall HV or AOC; these are reported as comparisons among methods.</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 H1 and H2 are tested on high-stability HV (Section 4.2), and overall HV and AOC are compared next (Section 4.3).</w:t>
      </w: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rPr>
        <w:t xml:space="preserve">The way Memetic-baseline fails to fill the region takes two forms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form, once the operators are mounted, the fronts of the two structures overlap in the high-stability region, and in five of the eight scenarios the non-dominated solutions of ILS+PR and Memetic+PR coincide exactly as point sets.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The coordinates are the same as in Figure 1; color and marker denote the search structure and line style the operator (common to Figures 3 and 4).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rPr>
        <w:t xml:space="preserve">We check with high-stability HV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high-stability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the level of ILS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The level reached matches that of ILS-baseline in seven scenarios: in six there is no significant difference (in five of them the medians differ by at most 1%), and in ta21L it is significantly higher, by 4–5%. Only la40 falls short, and even there the shortfall is only 5–10%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this one scenario.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The asymmetry in the effect of the same operators is less a difference between the structures themselves than a difference in whether the structure reaches the attainable level by itself. High-stability HV has a level at which several methods arrive and stop: in every scenario, three to five of the seven methods lie within 2% of the best value (Figure 3). Whether mounted on ILS or on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The anytime overall-HV curves of two representative scenarios show the level reached and the speed of reaching it at once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all eight scenarios;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keepNext/>
        <w:keepLines/>
        <w:spacing w:line="240" w:lineRule="exact"/>
        <w:jc w:val="center"/>
      </w:pPr>
      <w:r>
        <w:rPr>
          <w:rFonts w:ascii="Times New Roman" w:hAnsi="Times New Roman" w:cs="Times New Roman"/>
        </w:rPr>
        <w:t xml:space="preserve">Table 2: Cross-scenario summary of the three metrics. Each cell gives "Friedman average rank / ARPD% (relative deviation from the best method of each scenario, averaged over the eight scenarios) / number of top-group scenarios (scenarios with no significant difference from the best method of that scenario, out of 8; two-sided Mann–Whitney U, uncorrected)"; lower is better for the first two and higher for the last. The Friedman test gives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0.0001 for all three metrics, and Kendall's </w:t>
      </w:r>
      <w:r>
        <w:rPr>
          <w:rFonts w:ascii="Times New Roman" w:hAnsi="Times New Roman" w:cs="Times New Roman"/>
          <w:i/>
        </w:rPr>
        <w:t xml:space="preserve">W</w:t>
      </w:r>
      <w:r>
        <w:rPr>
          <w:rFonts w:ascii="Times New Roman" w:hAnsi="Times New Roman" w:cs="Times New Roman"/>
        </w:rPr>
        <w:t xml:space="preserve"> is 0.59, 0.81, and 0.63 in column order.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The level of the ILS variants depends on the scenario: in four scenarios (la36S, ta21S, la40, la21) they are level with the best, but in the remaining four they fall 5–38% short. Between the two methods without operators the winner switches as well: ILS-baseline is significantly ahead in the four scenarios where the ILS variants are level with the best, and Memetic-baseline in the other four (in one of which the difference is not significant). The difference in the high-stability region in Section 4.2 is therefore not a reflection of ILS being superior overall. The way the operators act divides here in the same direction as in Section 4.2: they raise the overall HV of Memetic significantly in six of the eight scenarios (+2.8–11.7%; in the remaining two Memetic already exceeds ILS without operators), whereas for ILS the change stays within ±0.5% in every scenario, including the three in which the overall HV of ILS is 15–38% below the best. The minimum MS reached over the whole sweep shows the same picture: in the four scenarios where the ILS variants are level with the best, all methods except GA coincide, and in the other four the Memetic variants are lower (by 1.2–2.2% in three of them,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The operators have no effect on this minimum.</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within 2% of the best in six scenarios (Table 2). In the remaining la36S and mt10, Memetic-baseline is best and the ILS variants fall 10–22% short. Because AOC weights the early phase heavily on the log-time scale, it strongly reflects the speed of ILS, which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(Figure 4). The operators act asymmetrically here too, but in the opposite direction, as a cost to Memetic.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before returning, so each call is expensive, and in Memetic, where it fires on every individual, it lowers AOC significantly in five of the eight scenarios (by 7–26%). In ILS, where the operators fire only upon stagnation, the three variants stay within 3% of one another in every scenario, with no significant difference.</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and the difference is significant only in two scenarios for overall HV, in opposite directions there. For Memetic the answer depends on the criterion. PR is slightly ahead in final quality: the significant differences are few (2/8 scenarios for overall HV, 3/8 for high-stability HV), but all of them favor PR. In AOC the order reverses, and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overall-HV curves (two representative scenarios; medians over trials). The horizontal axis is the elapsed time of each run, and the vertical axis is the overall HV of the merged points visited by the runs of the 10 weights up to time </w:t>
            </w:r>
            <w:r>
              <w:rPr>
                <w:rFonts w:ascii="Times New Roman" w:hAnsi="Times New Roman" w:cs="Times New Roman"/>
                <w:i/>
              </w:rPr>
              <w:t xml:space="preserve">t</w:t>
            </w:r>
            <w:r>
              <w:rPr>
                <w:rFonts w:ascii="Times New Roman" w:hAnsi="Times New Roman" w:cs="Times New Roman"/>
              </w:rPr>
              <w:t xml:space="preserve">; the endpoint corresponds to the overall HV of Section 4.3. AOC is the log-time average of the curve of each weight, then averaged over all weights, so it is not the area in this figure itself, but it can be read as the difference in ramp-up. The plotted range is cut off at the time by which all methods have reached 99.5% of their final values (all curves are flat thereafter).</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in hand before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at which several methods arrive and stop. Population-based search does not reach this level by itself, but with the operators mounted its high-stability HV rises in every trial and attains that level in seven of the eight scenarios. Trajectory-based search, which reaches the level by itself, gains little from the operators; they improve it only in the two scenarios where it falls short of the level on its own. Whether the operators help thus divides not along the difference between the structures but along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Memetic variants are at least as good). Of the operators mounted on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format that judges a rescheduling method by </w:t>
      </w:r>
      <w:r>
        <w:rPr>
          <w:rFonts w:ascii="Times New Roman" w:hAnsi="Times New Roman" w:cs="Times New Roman"/>
          <w:i/>
        </w:rPr>
        <w:t xml:space="preserve">the quality restricted to the high-stability region</w:t>
      </w:r>
      <w:r>
        <w:rPr>
          <w:rFonts w:ascii="Times New Roman" w:hAnsi="Times New Roman" w:cs="Times New Roman"/>
        </w:rPr>
        <w:t xml:space="preserve">, and, on that basis, to show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that mounts it already fills this region by itself. A report that an operator is effective cannot be generalized without reference to the structure it was mounted on.</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In addition to re-verification with these conditions varied, future work includes integration of the scope-limiting approach with the operators, verification of a scheme that builds stability into the crossover itself, and re-verification with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