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treat stability passively—as one more evaluation term folded into a (typically weighted-sum) objective (Rangsaritratsamee et al., 2004; Katragjini et al., 2013)—rather than as an independent mechanism.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and H2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Since the high-stability threshold P50 is pooled over the compared methods, we swept it over P25–P75: this dichotomy—GA and plain Memetic-LS in the bottom group, the ILS family and operator-equipped Memetic on top—holds at every threshold, and the H1/H2 comparisons behind it never reverse (H2's population-side gains hold at </w:t>
      </w:r>
      <w:r>
        <w:rPr>
          <w:rFonts w:ascii="Times New Roman" w:hAnsi="Times New Roman" w:cs="Times New Roman"/>
          <w:i/>
        </w:rPr>
        <w:t xml:space="preserve">p</w:t>
      </w:r>
      <w:r>
        <w:rPr>
          <w:rFonts w:ascii="Times New Roman" w:hAnsi="Times New Roman" w:cs="Times New Roman"/>
        </w:rPr>
        <w:t xml:space="preserve">=0.001 throughout; H1's complete separation holds over P33–P67, keeping its direction at the extremes). Only the ordering within the closely packed top group shifts with the threshold.</w:t>
      </w: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stability representation,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