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ima001"/>
      </w:pPr>
      <w:r>
        <w:rPr>
          <w:rFonts w:ascii="Times New Roman" w:hAnsi="Times New Roman" w:cs="Times New Roman" w:eastAsia="ＭＳ Ｐ明朝"/>
          <w:lang w:val="en-US" w:eastAsia="ja-JP"/>
        </w:rPr>
        <w:t xml:space="preserve">処理順序の変更量を考慮した再スケジューリングにおける</w:t>
      </w:r>
      <w:r>
        <w:br/>
      </w:r>
      <w:r>
        <w:rPr>
          <w:rFonts w:ascii="Times New Roman" w:hAnsi="Times New Roman" w:cs="Times New Roman" w:eastAsia="ＭＳ Ｐ明朝"/>
          <w:lang w:val="en-US" w:eastAsia="ja-JP"/>
        </w:rPr>
        <w:t xml:space="preserve">path relinking の適用と探索構造の比較評価</w:t>
      </w:r>
    </w:p>
    <w:p>
      <w:pPr>
        <w:pStyle w:val="ima002"/>
      </w:pPr>
      <w:r>
        <w:rPr>
          <w:rFonts w:ascii="Times New Roman" w:hAnsi="Times New Roman" w:cs="Times New Roman" w:eastAsia="ＭＳ Ｐ明朝"/>
          <w:lang w:val="en-US" w:eastAsia="ja-JP"/>
        </w:rPr>
        <w:t xml:space="preserve">早稲田大学大学院　＊鬼頭拓海</w:t>
      </w:r>
    </w:p>
    <w:p>
      <w:pPr>
        <w:pStyle w:val="ima003"/>
        <w:spacing w:afterLines="50" w:after="50"/>
      </w:pPr>
      <w:r>
        <w:rPr>
          <w:rFonts w:ascii="Times New Roman" w:hAnsi="Times New Roman" w:cs="Times New Roman" w:eastAsia="ＭＳ Ｐ明朝"/>
          <w:lang w:val="en-US" w:eastAsia="ja-JP"/>
        </w:rPr>
        <w:t xml:space="preserve">早稲田大学　谷水義隆，渡邉るりこ</w:t>
      </w:r>
    </w:p>
    <w:p>
      <w:pPr>
        <w:spacing w:line="14" w:lineRule="exact"/>
        <w:rPr>
          <w:sz w:val="2"/>
        </w:rPr>
        <w:sectPr w:rsidR="00471A89" w:rsidSect="00471A89">
          <w:pgSz w:w="11906" w:h="16838" w:code="9"/>
          <w:pgMar w:top="1134" w:right="1134" w:bottom="1134" w:left="1134" w:header="851" w:footer="992" w:gutter="0"/>
          <w:cols w:space="425"/>
          <w:docGrid w:type="lines" w:linePitch="291"/>
        </w:sectPr>
      </w:pPr>
    </w:p>
    <w:p>
      <w:pPr>
        <w:pStyle w:val="ima004"/>
      </w:pPr>
      <w:r>
        <w:rPr>
          <w:rFonts w:ascii="Times New Roman" w:hAnsi="Times New Roman" w:cs="Times New Roman" w:eastAsia="ＭＳ Ｐ明朝"/>
          <w:lang w:val="en-US" w:eastAsia="ja-JP"/>
        </w:rPr>
        <w:t xml:space="preserve">はじめに</w:t>
      </w:r>
    </w:p>
    <w:p>
      <w:pPr>
        <w:pStyle w:val="ima010"/>
      </w:pPr>
      <w:r>
        <w:rPr>
          <w:rFonts w:ascii="Times New Roman" w:hAnsi="Times New Roman" w:cs="Times New Roman" w:eastAsia="ＭＳ Ｐ明朝"/>
          <w:lang w:val="en-US" w:eastAsia="ja-JP"/>
        </w:rPr>
        <w:t xml:space="preserve">　製造現場では機械故障や作業遅延などの外乱により、事前に作成した初期スケジュール通りに実行できない場合がある。その対応策として、未着手の作業の処理順序を変更する再スケジューリングがある</w:t>
      </w:r>
      <w:r>
        <w:rPr>
          <w:rFonts w:ascii="Times New Roman" w:hAnsi="Times New Roman" w:cs="Times New Roman"/>
          <w:vertAlign w:val="superscript"/>
        </w:rPr>
        <w:t xml:space="preserve">1</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。ここで、総所要時間（メイクスパン, </w:t>
      </w:r>
      <w:r>
        <w:rPr>
          <w:rFonts w:ascii="Times New Roman" w:hAnsi="Times New Roman" w:cs="Times New Roman"/>
          <w:i/>
        </w:rPr>
        <w:t xml:space="preserve">M</w:t>
      </w:r>
      <w:r>
        <w:rPr>
          <w:rFonts w:ascii="Times New Roman" w:hAnsi="Times New Roman" w:cs="Times New Roman"/>
          <w:i/>
        </w:rPr>
        <w:t xml:space="preserve">S</w:t>
      </w:r>
      <w:r>
        <w:rPr>
          <w:rFonts w:ascii="Times New Roman" w:hAnsi="Times New Roman" w:cs="Times New Roman" w:eastAsia="ＭＳ Ｐ明朝"/>
          <w:lang w:val="en-US" w:eastAsia="ja-JP"/>
        </w:rPr>
        <w:t xml:space="preserve">）などの生産効率の指標のみを目的関数とすると、初期スケジュールと大幅に異なる解となり、段取り替えや資材の再手配などのコストが生じる。そのため再スケジューリングでは、生産効率の指標だけでなく、初期スケジュールからの処理順序の変更量という安定性の指標も必要である</w:t>
      </w:r>
      <w:r>
        <w:rPr>
          <w:rFonts w:ascii="Times New Roman" w:hAnsi="Times New Roman" w:cs="Times New Roman"/>
          <w:vertAlign w:val="superscript"/>
        </w:rPr>
        <w:t xml:space="preserve">2</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w:t>
      </w:r>
    </w:p>
    <w:p>
      <w:pPr>
        <w:pStyle w:val="Jima005"/>
      </w:pPr>
      <w:r>
        <w:rPr>
          <w:rFonts w:ascii="Times New Roman" w:hAnsi="Times New Roman" w:cs="Times New Roman" w:eastAsia="ＭＳ Ｐ明朝"/>
          <w:lang w:val="en-US" w:eastAsia="ja-JP"/>
        </w:rPr>
        <w:t xml:space="preserve">既存研究と本研究の位置づけ</w:t>
      </w:r>
    </w:p>
    <w:p>
      <w:pPr>
        <w:pStyle w:val="ima010"/>
      </w:pPr>
      <w:r>
        <w:rPr>
          <w:rFonts w:ascii="Times New Roman" w:hAnsi="Times New Roman" w:cs="Times New Roman" w:eastAsia="ＭＳ Ｐ明朝"/>
          <w:lang w:val="en-US" w:eastAsia="ja-JP"/>
        </w:rPr>
        <w:t xml:space="preserve">　再スケジューリングには、外乱前の初期スケジュール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が高品質な解としてすでに存在し、安定性の面ではこれが最適解にあたるという特性がある。この特性のもとでは、探索手法の優劣は大域的な探索能力だけでなく、</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近傍（以下、高安定領域）をどれだけ良く充填できるかという軸を帯びる。しかし既存研究は安定性を評価指標としてのみ扱うか</w:t>
      </w:r>
      <w:r>
        <w:rPr>
          <w:rFonts w:ascii="Times New Roman" w:hAnsi="Times New Roman" w:cs="Times New Roman"/>
          <w:vertAlign w:val="superscript"/>
        </w:rPr>
        <w:t xml:space="preserve">2</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、再スケジュールの範囲を限定することで安定性を確保する方式が多く、解法も多点探索に偏っており、この特性が探索構造の優劣に与える影響は十分に検討されていない。</w:t>
      </w:r>
    </w:p>
    <w:p>
      <w:pPr>
        <w:pStyle w:val="ima010"/>
      </w:pPr>
      <w:r>
        <w:rPr>
          <w:rFonts w:ascii="Times New Roman" w:hAnsi="Times New Roman" w:cs="Times New Roman" w:eastAsia="ＭＳ Ｐ明朝"/>
          <w:lang w:val="en-US" w:eastAsia="ja-JP"/>
        </w:rPr>
        <w:t xml:space="preserve">　本研究はジョブショップスケジューリング問題（JSP）の作業遅延を対象に、生産効率と安定性の二目的最適化として再スケジューリングを扱う。検証するのは次の二点である。第一に、</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を初期解として少しずつ変更する単点探索は、交叉で解を大きく組み替える多点探索よりも、安定性が高く生産効率も良い解を多く得られるという仮説。第二に、多点探索に欠けるこの能力を補うため、解を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へ引き寄せる操作を path relinking（以下、PR）</w:t>
      </w:r>
      <w:r>
        <w:rPr>
          <w:rFonts w:ascii="Times New Roman" w:hAnsi="Times New Roman" w:cs="Times New Roman"/>
          <w:vertAlign w:val="superscript"/>
        </w:rPr>
        <w:t xml:space="preserve">3</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 に基づいて提案し、その効果が探索構造によってどう変わるかである。</w:t>
      </w:r>
    </w:p>
    <w:p>
      <w:pPr>
        <w:pStyle w:val="Jima005"/>
      </w:pPr>
      <w:r>
        <w:rPr>
          <w:rFonts w:ascii="Times New Roman" w:hAnsi="Times New Roman" w:cs="Times New Roman" w:eastAsia="ＭＳ Ｐ明朝"/>
          <w:lang w:val="en-US" w:eastAsia="ja-JP"/>
        </w:rPr>
        <w:t xml:space="preserve">問題設定</w:t>
      </w:r>
    </w:p>
    <w:p>
      <w:pPr>
        <w:pStyle w:val="ima010"/>
      </w:pPr>
      <w:r>
        <w:rPr>
          <w:rFonts w:ascii="Times New Roman" w:hAnsi="Times New Roman" w:cs="Times New Roman" w:eastAsia="ＭＳ Ｐ明朝"/>
          <w:lang w:val="en-US" w:eastAsia="ja-JP"/>
        </w:rPr>
        <w:t xml:space="preserve">　</w:t>
      </w:r>
      <w:r>
        <w:rPr>
          <w:rFonts w:ascii="Times New Roman" w:hAnsi="Times New Roman" w:cs="Times New Roman"/>
          <w:i/>
        </w:rPr>
        <w:t xml:space="preserve">n</w:t>
      </w:r>
      <w:r>
        <w:rPr>
          <w:rFonts w:ascii="Times New Roman" w:hAnsi="Times New Roman" w:cs="Times New Roman" w:eastAsia="ＭＳ Ｐ明朝"/>
          <w:lang w:val="en-US" w:eastAsia="ja-JP"/>
        </w:rPr>
        <w:t xml:space="preserve"> ジョブ・</w:t>
      </w:r>
      <w:r>
        <w:rPr>
          <w:rFonts w:ascii="Times New Roman" w:hAnsi="Times New Roman" w:cs="Times New Roman"/>
          <w:i/>
        </w:rPr>
        <w:t xml:space="preserve">m</w:t>
      </w:r>
      <w:r>
        <w:rPr>
          <w:rFonts w:ascii="Times New Roman" w:hAnsi="Times New Roman" w:cs="Times New Roman" w:eastAsia="ＭＳ Ｐ明朝"/>
          <w:lang w:val="en-US" w:eastAsia="ja-JP"/>
        </w:rPr>
        <w:t xml:space="preserve"> 機械の JSP に外乱（単一作業の遅延、遅延量 </w:t>
      </w:r>
      <w:r>
        <w:rPr>
          <w:rFonts w:ascii="Times New Roman" w:hAnsi="Times New Roman" w:cs="Times New Roman"/>
          <w:i/>
        </w:rPr>
        <w:t xml:space="preserve">Δ</w:t>
      </w:r>
      <w:r>
        <w:rPr>
          <w:rFonts w:ascii="Times New Roman" w:hAnsi="Times New Roman" w:cs="Times New Roman" w:eastAsia="ＭＳ Ｐ明朝"/>
          <w:lang w:val="en-US" w:eastAsia="ja-JP"/>
        </w:rPr>
        <w:t xml:space="preserve">）が発生したのちに、初期スケジュール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に対する修正スケジュール </w:t>
      </w:r>
      <w:r>
        <w:rPr>
          <w:rFonts w:ascii="Times New Roman" w:hAnsi="Times New Roman" w:cs="Times New Roman"/>
          <w:i/>
        </w:rPr>
        <w:t xml:space="preserve">S</w:t>
      </w:r>
      <w:r>
        <w:rPr>
          <w:rFonts w:ascii="Times New Roman" w:hAnsi="Times New Roman" w:cs="Times New Roman"/>
          <w:i/>
          <w:vertAlign w:val="subscript"/>
        </w:rPr>
        <w:t xml:space="preserve">q</w:t>
      </w:r>
      <w:r>
        <w:rPr>
          <w:rFonts w:ascii="Times New Roman" w:hAnsi="Times New Roman" w:cs="Times New Roman" w:eastAsia="ＭＳ Ｐ明朝"/>
          <w:lang w:val="en-US" w:eastAsia="ja-JP"/>
        </w:rPr>
        <w:t xml:space="preserve"> を求める。再スケジューリング時刻 </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eastAsia="ＭＳ Ｐ明朝"/>
          <w:lang w:val="en-US" w:eastAsia="ja-JP"/>
        </w:rPr>
        <w:t xml:space="preserve">（遅延の解消時刻）より前に開始済みの作業は凍結し、</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eastAsia="ＭＳ Ｐ明朝"/>
          <w:lang w:val="en-US" w:eastAsia="ja-JP"/>
        </w:rPr>
        <w:t xml:space="preserve"> 以降の作業集合 </w:t>
      </w:r>
      <w:r>
        <w:rPr>
          <w:rFonts w:ascii="Times New Roman" w:hAnsi="Times New Roman" w:cs="Times New Roman"/>
          <w:i/>
        </w:rPr>
        <w:t xml:space="preserve">O</w:t>
      </w:r>
      <w:r>
        <w:rPr>
          <w:rFonts w:ascii="Times New Roman" w:hAnsi="Times New Roman" w:cs="Times New Roman"/>
          <w:vertAlign w:val="subscript"/>
        </w:rPr>
        <w:t xml:space="preserve">opt</w:t>
      </w:r>
      <w:r>
        <w:rPr>
          <w:rFonts w:ascii="Times New Roman" w:hAnsi="Times New Roman" w:cs="Times New Roman" w:eastAsia="ＭＳ Ｐ明朝"/>
          <w:lang w:val="en-US" w:eastAsia="ja-JP"/>
        </w:rPr>
        <w:t xml:space="preserve"> を最適化対象とする。決定変数は最適化対象作業の機械ごとの処理順序であり、各作業を最早可能時刻へ詰めて実スケジュールに変換する。</w:t>
      </w:r>
    </w:p>
    <w:p>
      <w:pPr>
        <w:pStyle w:val="ima010"/>
      </w:pPr>
      <w:r>
        <w:rPr>
          <w:rFonts w:ascii="Times New Roman" w:hAnsi="Times New Roman" w:cs="Times New Roman" w:eastAsia="ＭＳ Ｐ明朝"/>
          <w:lang w:val="en-US" w:eastAsia="ja-JP"/>
        </w:rPr>
        <w:t xml:space="preserve">　安定性は処理順序（順列）の変更量で測る。機械 </w:t>
      </w:r>
      <w:r>
        <w:rPr>
          <w:rFonts w:ascii="Times New Roman" w:hAnsi="Times New Roman" w:cs="Times New Roman"/>
          <w:i/>
        </w:rPr>
        <w:t xml:space="preserve">i</w:t>
      </w:r>
      <w:r>
        <w:rPr>
          <w:rFonts w:ascii="Times New Roman" w:hAnsi="Times New Roman" w:cs="Times New Roman" w:eastAsia="ＭＳ Ｐ明朝"/>
          <w:lang w:val="en-US" w:eastAsia="ja-JP"/>
        </w:rPr>
        <w:t xml:space="preserve"> におけるジョブ </w:t>
      </w:r>
      <w:r>
        <w:rPr>
          <w:rFonts w:ascii="Times New Roman" w:hAnsi="Times New Roman" w:cs="Times New Roman"/>
          <w:i/>
        </w:rPr>
        <w:t xml:space="preserve">j</w:t>
      </w:r>
      <w:r>
        <w:rPr>
          <w:rFonts w:ascii="Times New Roman" w:hAnsi="Times New Roman" w:cs="Times New Roman" w:eastAsia="ＭＳ Ｐ明朝"/>
          <w:lang w:val="en-US" w:eastAsia="ja-JP"/>
        </w:rPr>
        <w:t xml:space="preserve"> の処理順位を </w:t>
      </w:r>
      <w:r>
        <w:rPr>
          <w:rFonts w:ascii="Times New Roman" w:hAnsi="Times New Roman" w:cs="Times New Roman"/>
          <w:i/>
        </w:rPr>
        <w:t xml:space="preserve">r</w:t>
      </w:r>
      <w:r>
        <w:rPr>
          <w:rFonts w:ascii="Times New Roman" w:hAnsi="Times New Roman" w:cs="Times New Roman"/>
          <w:i/>
          <w:vertAlign w:val="subscript"/>
        </w:rPr>
        <w:t xml:space="preserve">i</w:t>
      </w:r>
      <w:r>
        <w:rPr>
          <w:rFonts w:ascii="Times New Roman" w:hAnsi="Times New Roman" w:cs="Times New Roman"/>
          <w:vertAlign w:val="subscript"/>
        </w:rPr>
        <w:t xml:space="preserve">,</w:t>
      </w:r>
      <w:r>
        <w:rPr>
          <w:rFonts w:ascii="Times New Roman" w:hAnsi="Times New Roman" w:cs="Times New Roman"/>
          <w:i/>
          <w:vertAlign w:val="subscript"/>
        </w:rPr>
        <w:t xml:space="preserve">j</w:t>
      </w:r>
      <w:r>
        <w:rPr>
          <w:rFonts w:ascii="Times New Roman" w:hAnsi="Times New Roman" w:cs="Times New Roman" w:eastAsia="ＭＳ Ｐ明朝"/>
          <w:lang w:val="en-US" w:eastAsia="ja-JP"/>
        </w:rPr>
        <w:t xml:space="preserve"> として、変更量 </w:t>
      </w:r>
      <w:r>
        <w:rPr>
          <w:rFonts w:ascii="Times New Roman" w:hAnsi="Times New Roman" w:cs="Times New Roman"/>
          <w:i/>
        </w:rPr>
        <w:t xml:space="preserve">D</w:t>
      </w:r>
      <w:r>
        <w:rPr>
          <w:rFonts w:ascii="Times New Roman" w:hAnsi="Times New Roman" w:cs="Times New Roman" w:eastAsia="ＭＳ Ｐ明朝"/>
          <w:lang w:val="en-US" w:eastAsia="ja-JP"/>
        </w:rPr>
        <w:t xml:space="preserve"> を式(1)で定義する。</w:t>
      </w:r>
    </w:p>
    <w:p>
      <w:pPr>
        <w:spacing w:before="60" w:after="60"/>
        <w:tabs>
          <w:tab w:val="center" w:pos="2310"/>
          <w:tab w:val="right" w:pos="4620"/>
        </w:tabs>
      </w:pPr>
      <w:r>
        <w:tab/>
      </w:r>
      <m:oMath>
        <m:r>
          <w:rPr>
            <w:rFonts w:ascii="Cambria Math" w:hAnsi="Cambria Math"/>
          </w:rPr>
          <m:t xml:space="preserve">D</m:t>
        </m:r>
        <m:r>
          <w:rPr>
            <w:rFonts w:ascii="Cambria Math" w:hAnsi="Cambria Math"/>
          </w:rPr>
          <m:t xml:space="preserve">(</m:t>
        </m:r>
        <m:sSub>
          <m:e>
            <m:r>
              <w:rPr>
                <w:rFonts w:ascii="Cambria Math" w:hAnsi="Cambria Math"/>
              </w:rPr>
              <m:t xml:space="preserve">S</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r>
          <w:rPr>
            <w:rFonts w:ascii="Cambria Math" w:hAnsi="Cambria Math"/>
          </w:rPr>
          <m:t xml:space="preserve">=</m:t>
        </m:r>
        <m:nary>
          <m:naryPr>
            <m:chr m:val="∑"/>
            <m:limLoc m:val="undOvr"/>
            <m:supHide m:val="1"/>
          </m:naryPr>
          <m: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m:t>
            </m:r>
            <m:sSub>
              <m:e>
                <m:r>
                  <w:rPr>
                    <w:rFonts w:ascii="Cambria Math" w:hAnsi="Cambria Math"/>
                  </w:rPr>
                  <m:t xml:space="preserve">O</m:t>
                </m:r>
              </m:e>
              <m:sub>
                <m:r>
                  <w:rPr>
                    <w:rFonts w:ascii="Cambria Math" w:hAnsi="Cambria Math"/>
                  </w:rPr>
                  <m:t xml:space="preserve">opt</m:t>
                </m:r>
              </m:sub>
            </m:sSub>
          </m:sub>
          <m:sup/>
          <m:e>
            <m:d>
              <m:dPr>
                <m:begChr m:val="|"/>
                <m:endChr m:val="|"/>
              </m:dPr>
              <m:e>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p</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q</m:t>
                    </m:r>
                  </m:sup>
                </m:sSubSup>
              </m:e>
            </m:d>
          </m:e>
        </m:nary>
      </m:oMath>
      <w:r>
        <w:tab/>
      </w:r>
      <w:r>
        <w:rPr>
          <w:rFonts w:ascii="Times New Roman" w:hAnsi="Times New Roman" w:cs="Times New Roman" w:eastAsia="ＭＳ Ｐ明朝"/>
          <w:lang w:val="en-US" w:eastAsia="ja-JP"/>
        </w:rPr>
        <w:t xml:space="preserve">(1)</w:t>
      </w:r>
    </w:p>
    <w:p>
      <w:pPr>
        <w:pStyle w:val="ima010"/>
      </w:pPr>
      <w:r>
        <w:rPr>
          <w:rFonts w:ascii="Times New Roman" w:hAnsi="Times New Roman" w:cs="Times New Roman" w:eastAsia="ＭＳ Ｐ明朝"/>
          <w:lang w:val="en-US" w:eastAsia="ja-JP"/>
        </w:rPr>
        <w:t xml:space="preserve">　</w:t>
      </w:r>
      <w:r>
        <w:rPr>
          <w:rFonts w:ascii="Times New Roman" w:hAnsi="Times New Roman" w:cs="Times New Roman"/>
          <w:i/>
        </w:rPr>
        <w:t xml:space="preserve">D</w:t>
      </w:r>
      <w:r>
        <w:rPr>
          <w:rFonts w:ascii="Times New Roman" w:hAnsi="Times New Roman" w:cs="Times New Roman" w:eastAsia="ＭＳ Ｐ明朝"/>
          <w:lang w:val="en-US" w:eastAsia="ja-JP"/>
        </w:rPr>
        <w:t xml:space="preserve">=0 は順序を変えずに遅延を吸収した right-shift 解に対応する。生産効率 </w:t>
      </w:r>
      <w:r>
        <w:rPr>
          <w:rFonts w:ascii="Times New Roman" w:hAnsi="Times New Roman" w:cs="Times New Roman"/>
          <w:i/>
        </w:rPr>
        <w:t xml:space="preserve">M</w:t>
      </w:r>
      <w:r>
        <w:rPr>
          <w:rFonts w:ascii="Times New Roman" w:hAnsi="Times New Roman" w:cs="Times New Roman"/>
          <w:i/>
        </w:rPr>
        <w:t xml:space="preserve">S</w:t>
      </w:r>
      <w:r>
        <w:rPr>
          <w:rFonts w:ascii="Times New Roman" w:hAnsi="Times New Roman" w:cs="Times New Roman"/>
        </w:rPr>
        <w:t xml:space="preserve">(</w:t>
      </w:r>
      <w:r>
        <w:rPr>
          <w:rFonts w:ascii="Times New Roman" w:hAnsi="Times New Roman" w:cs="Times New Roman"/>
          <w:i/>
        </w:rPr>
        <w:t xml:space="preserve">S</w:t>
      </w:r>
      <w:r>
        <w:rPr>
          <w:rFonts w:ascii="Times New Roman" w:hAnsi="Times New Roman" w:cs="Times New Roman"/>
          <w:i/>
          <w:vertAlign w:val="subscript"/>
        </w:rPr>
        <w:t xml:space="preserve">q</w:t>
      </w:r>
      <w:r>
        <w:rPr>
          <w:rFonts w:ascii="Times New Roman" w:hAnsi="Times New Roman" w:cs="Times New Roman"/>
        </w:rPr>
        <w:t xml:space="preserve">)</w:t>
      </w:r>
      <w:r>
        <w:rPr>
          <w:rFonts w:ascii="Times New Roman" w:hAnsi="Times New Roman" w:cs="Times New Roman" w:eastAsia="ＭＳ Ｐ明朝"/>
          <w:lang w:val="en-US" w:eastAsia="ja-JP"/>
        </w:rPr>
        <w:t xml:space="preserve"> と安定性 </w:t>
      </w:r>
      <w:r>
        <w:rPr>
          <w:rFonts w:ascii="Times New Roman" w:hAnsi="Times New Roman" w:cs="Times New Roman"/>
          <w:i/>
        </w:rPr>
        <w:t xml:space="preserve">D</w:t>
      </w:r>
      <w:r>
        <w:rPr>
          <w:rFonts w:ascii="Times New Roman" w:hAnsi="Times New Roman" w:cs="Times New Roman" w:eastAsia="ＭＳ Ｐ明朝"/>
          <w:lang w:val="en-US" w:eastAsia="ja-JP"/>
        </w:rPr>
        <w:t xml:space="preserve"> の二目的は、重み </w:t>
      </w:r>
      <w:r>
        <w:rPr>
          <w:rFonts w:ascii="Times New Roman" w:hAnsi="Times New Roman" w:cs="Times New Roman"/>
          <w:i/>
        </w:rPr>
        <w:t xml:space="preserve">λ</w:t>
      </w:r>
      <w:r>
        <w:rPr>
          <w:rFonts w:ascii="Times New Roman" w:hAnsi="Times New Roman" w:cs="Times New Roman" w:eastAsia="ＭＳ Ｐ明朝"/>
          <w:lang w:val="en-US" w:eastAsia="ja-JP"/>
        </w:rPr>
        <w:t xml:space="preserve">∈[0,1] による重み付き和 式(2) で解く。</w:t>
      </w:r>
    </w:p>
    <w:p>
      <w:pPr>
        <w:spacing w:before="60" w:after="60"/>
        <w:tabs>
          <w:tab w:val="center" w:pos="2310"/>
          <w:tab w:val="right" w:pos="4620"/>
        </w:tabs>
      </w:pPr>
      <w:r>
        <w:tab/>
      </w:r>
      <m:oMath>
        <m:r>
          <w:rPr>
            <w:rFonts w:ascii="Cambria Math" w:hAnsi="Cambria Math"/>
          </w:rPr>
          <m:t xml:space="preserve">F</m:t>
        </m:r>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r>
          <w:rPr>
            <w:rFonts w:ascii="Cambria Math" w:hAnsi="Cambria Math"/>
          </w:rPr>
          <m:t xml:space="preserve">=</m:t>
        </m:r>
        <m:r>
          <w:rPr>
            <w:rFonts w:ascii="Cambria Math" w:hAnsi="Cambria Math"/>
          </w:rPr>
          <m:t xml:space="preserve">λ</m:t>
        </m:r>
        <m:acc>
          <m:accPr>
            <m:chr m:val="̂"/>
          </m:accPr>
          <m:e>
            <m:r>
              <w:rPr>
                <w:rFonts w:ascii="Cambria Math" w:hAnsi="Cambria Math"/>
              </w:rPr>
              <m:t xml:space="preserve">D</m:t>
            </m:r>
          </m:e>
        </m:acc>
        <m:r>
          <w:rPr>
            <w:rFonts w:ascii="Cambria Math" w:hAnsi="Cambria Math"/>
          </w:rPr>
          <m:t xml:space="preserve">(</m:t>
        </m:r>
        <m:sSub>
          <m:e>
            <m:r>
              <w:rPr>
                <w:rFonts w:ascii="Cambria Math" w:hAnsi="Cambria Math"/>
              </w:rPr>
              <m:t xml:space="preserve">S</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λ</m:t>
        </m:r>
        <m:r>
          <w:rPr>
            <w:rFonts w:ascii="Cambria Math" w:hAnsi="Cambria Math"/>
          </w:rPr>
          <m:t xml:space="preserve">)</m:t>
        </m:r>
        <m:acc>
          <m:accPr>
            <m:chr m:val="̂"/>
          </m:accPr>
          <m:e>
            <m:r>
              <w:rPr>
                <w:rFonts w:ascii="Cambria Math" w:hAnsi="Cambria Math"/>
              </w:rPr>
              <m:t xml:space="preserve">MS</m:t>
            </m:r>
          </m:e>
        </m:acc>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oMath>
      <w:r>
        <w:tab/>
      </w:r>
      <w:r>
        <w:rPr>
          <w:rFonts w:ascii="Times New Roman" w:hAnsi="Times New Roman" w:cs="Times New Roman" w:eastAsia="ＭＳ Ｐ明朝"/>
          <w:lang w:val="en-US" w:eastAsia="ja-JP"/>
        </w:rPr>
        <w:t xml:space="preserve">(2)</w:t>
      </w:r>
    </w:p>
    <w:p>
      <w:pPr>
        <w:pStyle w:val="ima010"/>
      </w:pPr>
      <w:r>
        <w:rPr>
          <w:rFonts w:ascii="Times New Roman" w:hAnsi="Times New Roman" w:cs="Times New Roman" w:eastAsia="ＭＳ Ｐ明朝"/>
          <w:lang w:val="en-US" w:eastAsia="ja-JP"/>
        </w:rPr>
        <w:t xml:space="preserve">　式(2)では各目的関数値を min-max 正規化して用いる。</w:t>
      </w:r>
      <w:r>
        <w:rPr>
          <w:rFonts w:ascii="Times New Roman" w:hAnsi="Times New Roman" w:cs="Times New Roman"/>
          <w:i/>
        </w:rPr>
        <w:t xml:space="preserve">λ</w:t>
      </w:r>
      <w:r>
        <w:rPr>
          <w:rFonts w:ascii="Times New Roman" w:hAnsi="Times New Roman" w:cs="Times New Roman" w:eastAsia="ＭＳ Ｐ明朝"/>
          <w:lang w:val="en-US" w:eastAsia="ja-JP"/>
        </w:rPr>
        <w:t xml:space="preserve"> を 0〜0.9 の 10 点で掃引し、各探索が訪問した全非劣解を保存したうえで、得られた Pareto フロントの hypervolume（以下、HV）で評価する。評価軸は、全領域を対象とする統合 HV と、</w:t>
      </w:r>
      <w:r>
        <w:rPr>
          <w:rFonts w:ascii="Times New Roman" w:hAnsi="Times New Roman" w:cs="Times New Roman"/>
          <w:i/>
        </w:rPr>
        <w:t xml:space="preserve">D</w:t>
      </w:r>
      <w:r>
        <w:rPr>
          <w:rFonts w:ascii="Times New Roman" w:hAnsi="Times New Roman" w:cs="Times New Roman" w:eastAsia="ＭＳ Ｐ明朝"/>
          <w:lang w:val="en-US" w:eastAsia="ja-JP"/>
        </w:rPr>
        <w:t xml:space="preserve"> が全手法の Pareto 解の中央値未満である高安定領域に限った高安定 HV の 2 つとする。後者は、再スケジューリングが実際に重視する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近傍の充填度を測る。</w:t>
      </w:r>
    </w:p>
    <w:p>
      <w:pPr>
        <w:pStyle w:val="Jima005"/>
      </w:pPr>
      <w:r>
        <w:rPr>
          <w:rFonts w:ascii="Times New Roman" w:hAnsi="Times New Roman" w:cs="Times New Roman" w:eastAsia="ＭＳ Ｐ明朝"/>
          <w:lang w:val="en-US" w:eastAsia="ja-JP"/>
        </w:rPr>
        <w:t xml:space="preserve">比較する探索構造と提案操作</w:t>
      </w:r>
    </w:p>
    <w:p>
      <w:pPr>
        <w:pStyle w:val="Jima005"/>
        <w:numPr>
          <w:ilvl w:val="1"/>
          <w:numId w:val="1"/>
        </w:numPr>
      </w:pPr>
      <w:r>
        <w:rPr>
          <w:rFonts w:ascii="Times New Roman" w:hAnsi="Times New Roman" w:cs="Times New Roman" w:eastAsia="ＭＳ Ｐ明朝"/>
          <w:lang w:val="en-US" w:eastAsia="ja-JP"/>
        </w:rPr>
        <w:t xml:space="preserve">単点探索と多点探索</w:t>
      </w:r>
    </w:p>
    <w:p>
      <w:pPr>
        <w:pStyle w:val="ima010"/>
      </w:pPr>
      <w:r>
        <w:rPr>
          <w:rFonts w:ascii="Times New Roman" w:hAnsi="Times New Roman" w:cs="Times New Roman" w:eastAsia="ＭＳ Ｐ明朝"/>
          <w:lang w:val="en-US" w:eastAsia="ja-JP"/>
        </w:rPr>
        <w:t xml:space="preserve">　探索構造の差だけを比較するため、両者の局所探索を揃える。局所探索は JSP 標準の N5 近傍</w:t>
      </w:r>
      <w:r>
        <w:rPr>
          <w:rFonts w:ascii="Times New Roman" w:hAnsi="Times New Roman" w:cs="Times New Roman"/>
          <w:vertAlign w:val="superscript"/>
        </w:rPr>
        <w:t xml:space="preserve">4</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（クリティカルブロック端の隣接 swap）とし、採否は式(2)で判定する。単点探索は反復局所探索</w:t>
      </w:r>
      <w:r>
        <w:rPr>
          <w:rFonts w:ascii="Times New Roman" w:hAnsi="Times New Roman" w:cs="Times New Roman"/>
          <w:vertAlign w:val="superscript"/>
        </w:rPr>
        <w:t xml:space="preserve">5</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 とし、</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を初期解として、局所探索と insert 移動による摂動を交互に適用する。多点探索は operation-based 表現の GA の各個体に同じ N5 局所探索を適用した遺伝的局所探索とし、初期集団に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を含める。交叉は 2 親の構造を大きく組み替える操作であり、子個体が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近傍から飛びやすいため、同じ局所探索を備えても高安定領域の充填は粗くなると予想される。</w:t>
      </w:r>
    </w:p>
    <w:p>
      <w:pPr>
        <w:pStyle w:val="Jima005"/>
        <w:numPr>
          <w:ilvl w:val="1"/>
          <w:numId w:val="1"/>
        </w:numPr>
      </w:pPr>
      <w:r>
        <w:rPr>
          <w:rFonts w:ascii="Times New Roman" w:hAnsi="Times New Roman" w:cs="Times New Roman" w:eastAsia="ＭＳ Ｐ明朝"/>
          <w:lang w:val="en-US" w:eastAsia="ja-JP"/>
        </w:rPr>
        <w:t xml:space="preserve">安定性誘導操作（PR・repair）</w:t>
      </w:r>
    </w:p>
    <w:p>
      <w:pPr>
        <w:pStyle w:val="ima010"/>
      </w:pPr>
      <w:r>
        <w:rPr>
          <w:rFonts w:ascii="Times New Roman" w:hAnsi="Times New Roman" w:cs="Times New Roman" w:eastAsia="ＭＳ Ｐ明朝"/>
          <w:lang w:val="en-US" w:eastAsia="ja-JP"/>
        </w:rPr>
        <w:t xml:space="preserve">　PR は 2 つの高品質解を結ぶ経路上の中間解を探索する操作である</w:t>
      </w:r>
      <w:r>
        <w:rPr>
          <w:rFonts w:ascii="Times New Roman" w:hAnsi="Times New Roman" w:cs="Times New Roman"/>
          <w:vertAlign w:val="superscript"/>
        </w:rPr>
        <w:t xml:space="preserve">3</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。本研究はこれを再スケジューリングの構造に合わせ、経路の到達先（guiding solution）を初期スケジュール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の一点に固定する。すなわち現在解から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へ向けて、両者が食い違う機械上の位置に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の作業が来るよう入れ替える swap 移動で不一致数を 1 つずつ縮めながら経路をたどり、経路上の最良解を返す。</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は安定性目的の最適端点であり、この操作は解を安定側へ方向づける移動として解釈でき、経路上の中間解は生産効率と安定性のトレードオフ上に並ぶ。あわせて、この swap 移動を数手で打ち切って局所探索で再最適化する簡略版を repair と呼ぶ。両操作は、単点探索には摂動として、多点探索には各個体の精緻化として組み込む。搭載するのは同一の操作で、異なるのは発動のさせ方だけである。</w:t>
      </w:r>
    </w:p>
    <w:p>
      <w:pPr>
        <w:pStyle w:val="Jima005"/>
      </w:pPr>
      <w:r>
        <w:rPr>
          <w:rFonts w:ascii="Times New Roman" w:hAnsi="Times New Roman" w:cs="Times New Roman" w:eastAsia="ＭＳ Ｐ明朝"/>
          <w:lang w:val="en-US" w:eastAsia="ja-JP"/>
        </w:rPr>
        <w:t xml:space="preserve">数値実験</w:t>
      </w:r>
    </w:p>
    <w:p>
      <w:pPr>
        <w:pStyle w:val="Jima005"/>
        <w:numPr>
          <w:ilvl w:val="1"/>
          <w:numId w:val="1"/>
        </w:numPr>
      </w:pPr>
      <w:r>
        <w:rPr>
          <w:rFonts w:ascii="Times New Roman" w:hAnsi="Times New Roman" w:cs="Times New Roman" w:eastAsia="ＭＳ Ｐ明朝"/>
          <w:lang w:val="en-US" w:eastAsia="ja-JP"/>
        </w:rPr>
        <w:t xml:space="preserve">実験設定</w:t>
      </w:r>
    </w:p>
    <w:p>
      <w:pPr>
        <w:pStyle w:val="ima010"/>
      </w:pPr>
      <w:r>
        <w:rPr>
          <w:rFonts w:ascii="Times New Roman" w:hAnsi="Times New Roman" w:cs="Times New Roman" w:eastAsia="ＭＳ Ｐ明朝"/>
          <w:lang w:val="en-US" w:eastAsia="ja-JP"/>
        </w:rPr>
        <w:t xml:space="preserve">　ベンチマーク問題 mt10（10×10）・la21（15×10）・la36・la40（15×15）・ta21（20×20）に、遅延量 </w:t>
      </w:r>
      <w:r>
        <w:rPr>
          <w:rFonts w:ascii="Times New Roman" w:hAnsi="Times New Roman" w:cs="Times New Roman"/>
          <w:i/>
        </w:rPr>
        <w:t xml:space="preserve">Δ</w:t>
      </w:r>
      <w:r>
        <w:rPr>
          <w:rFonts w:ascii="Times New Roman" w:hAnsi="Times New Roman" w:cs="Times New Roman" w:eastAsia="ＭＳ Ｐ明朝"/>
          <w:lang w:val="en-US" w:eastAsia="ja-JP"/>
        </w:rPr>
        <w:t xml:space="preserve">=60〜148 の単一作業遅延を与えた 8 シナリオを用いる。シナリオは、全作業のうち再最適化対象となる割合（以下、再スケジューリング率 </w:t>
      </w:r>
      <w:r>
        <w:rPr>
          <w:rFonts w:ascii="Times New Roman" w:hAnsi="Times New Roman" w:cs="Times New Roman"/>
          <w:i/>
        </w:rPr>
        <w:t xml:space="preserve">ρ</w:t>
      </w:r>
      <w:r>
        <w:rPr>
          <w:rFonts w:ascii="Times New Roman" w:hAnsi="Times New Roman" w:cs="Times New Roman" w:eastAsia="ＭＳ Ｐ明朝"/>
          <w:lang w:val="en-US" w:eastAsia="ja-JP"/>
        </w:rPr>
        <w:t xml:space="preserve">）を統制軸として 27〜82% の範囲で構成し、la36 では同一問題・同一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のまま </w:t>
      </w:r>
      <w:r>
        <w:rPr>
          <w:rFonts w:ascii="Times New Roman" w:hAnsi="Times New Roman" w:cs="Times New Roman"/>
          <w:i/>
        </w:rPr>
        <w:t xml:space="preserve">ρ</w:t>
      </w:r>
      <w:r>
        <w:rPr>
          <w:rFonts w:ascii="Times New Roman" w:hAnsi="Times New Roman" w:cs="Times New Roman" w:eastAsia="ＭＳ Ｐ明朝"/>
          <w:lang w:val="en-US" w:eastAsia="ja-JP"/>
        </w:rPr>
        <w:t xml:space="preserve"> のみを 27/54/73% と変える。計算予算は単点探索 3000 反復・多点探索 500 世代とし、各（シナリオ×手法）条件で 10 試行を行う。検定には試行対応ありの片側 Wilcoxon 符号順位検定を、効果量には Cliff's </w:t>
      </w:r>
      <w:r>
        <w:rPr>
          <w:rFonts w:ascii="Times New Roman" w:hAnsi="Times New Roman" w:cs="Times New Roman"/>
          <w:i/>
        </w:rPr>
        <w:t xml:space="preserve">δ</w:t>
      </w:r>
      <w:r>
        <w:rPr>
          <w:rFonts w:ascii="Times New Roman" w:hAnsi="Times New Roman" w:cs="Times New Roman" w:eastAsia="ＭＳ Ｐ明朝"/>
          <w:lang w:val="en-US" w:eastAsia="ja-JP"/>
        </w:rPr>
        <w:t xml:space="preserve"> を用いる。</w:t>
      </w:r>
    </w:p>
    <w:p>
      <w:pPr>
        <w:pStyle w:val="Jima005"/>
        <w:numPr>
          <w:ilvl w:val="1"/>
          <w:numId w:val="1"/>
        </w:numPr>
      </w:pPr>
      <w:r>
        <w:rPr>
          <w:rFonts w:ascii="Times New Roman" w:hAnsi="Times New Roman" w:cs="Times New Roman" w:eastAsia="ＭＳ Ｐ明朝"/>
          <w:lang w:val="en-US" w:eastAsia="ja-JP"/>
        </w:rPr>
        <w:t xml:space="preserve">結果</w:t>
      </w:r>
    </w:p>
    <w:p>
      <w:pPr>
        <w:pStyle w:val="ima010"/>
      </w:pPr>
      <w:r>
        <w:rPr>
          <w:rFonts w:ascii="Times New Roman" w:hAnsi="Times New Roman" w:cs="Times New Roman" w:eastAsia="ＭＳ Ｐ明朝"/>
          <w:lang w:val="en-US" w:eastAsia="ja-JP"/>
        </w:rPr>
        <w:t xml:space="preserve">　高安定 HV を図1に示す。単点探索は全 8 シナリオで多点探索を上回り、その差は全試行で完全に分離した（</w:t>
      </w:r>
      <w:r>
        <w:rPr>
          <w:rFonts w:ascii="Times New Roman" w:hAnsi="Times New Roman" w:cs="Times New Roman"/>
          <w:i/>
        </w:rPr>
        <w:t xml:space="preserve">p</w:t>
      </w:r>
      <w:r>
        <w:rPr>
          <w:rFonts w:ascii="Times New Roman" w:hAnsi="Times New Roman" w:cs="Times New Roman" w:eastAsia="ＭＳ Ｐ明朝"/>
          <w:lang w:val="en-US" w:eastAsia="ja-JP"/>
        </w:rPr>
        <w:t xml:space="preserve">=0.001, |</w:t>
      </w:r>
      <w:r>
        <w:rPr>
          <w:rFonts w:ascii="Times New Roman" w:hAnsi="Times New Roman" w:cs="Times New Roman"/>
          <w:i/>
        </w:rPr>
        <w:t xml:space="preserve">δ</w:t>
      </w:r>
      <w:r>
        <w:rPr>
          <w:rFonts w:ascii="Times New Roman" w:hAnsi="Times New Roman" w:cs="Times New Roman" w:eastAsia="ＭＳ Ｐ明朝"/>
          <w:lang w:val="en-US" w:eastAsia="ja-JP"/>
        </w:rPr>
        <w:t xml:space="preserve">|=1.0）。とくに </w:t>
      </w:r>
      <w:r>
        <w:rPr>
          <w:rFonts w:ascii="Times New Roman" w:hAnsi="Times New Roman" w:cs="Times New Roman"/>
          <w:i/>
        </w:rPr>
        <w:t xml:space="preserve">ρ</w:t>
      </w:r>
      <w:r>
        <w:rPr>
          <w:rFonts w:ascii="Times New Roman" w:hAnsi="Times New Roman" w:cs="Times New Roman" w:eastAsia="ＭＳ Ｐ明朝"/>
          <w:lang w:val="en-US" w:eastAsia="ja-JP"/>
        </w:rPr>
        <w:t xml:space="preserve"> の低い 3 シナリオ（la36S・ta21S・la40）では、多点探索は高安定領域に解を 1 つも到達できなかった。一方で統合 HV では両者は互角であり（単点探索 5 勝・多点探索 3 勝）、差は高安定領域に限って現れる。すなわち、初期解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が存在するという特性のもとで単点探索が有利であるという仮説が支持された。</w:t>
      </w:r>
    </w:p>
    <w:p>
      <w:pPr>
        <w:keepNext/>
        <w:spacing w:line="240" w:lineRule="auto" w:before="60" w:after="0"/>
        <w:jc w:val="center"/>
      </w:pPr>
      <w:r>
        <w:drawing>
          <wp:inline xmlns:a="http://schemas.openxmlformats.org/drawingml/2006/main" xmlns:pic="http://schemas.openxmlformats.org/drawingml/2006/picture">
            <wp:extent cx="2933700" cy="1508760"/>
            <wp:docPr id="1" name="Picture 1"/>
            <wp:cNvGraphicFramePr>
              <a:graphicFrameLocks noChangeAspect="1"/>
            </wp:cNvGraphicFramePr>
            <a:graphic>
              <a:graphicData uri="http://schemas.openxmlformats.org/drawingml/2006/picture">
                <pic:pic>
                  <pic:nvPicPr>
                    <pic:cNvPr id="0" name="fig_highstab_ja.png"/>
                    <pic:cNvPicPr/>
                  </pic:nvPicPr>
                  <pic:blipFill>
                    <a:blip r:embed="rId12"/>
                    <a:stretch>
                      <a:fillRect/>
                    </a:stretch>
                  </pic:blipFill>
                  <pic:spPr>
                    <a:xfrm>
                      <a:off x="0" y="0"/>
                      <a:ext cx="2933700" cy="1508760"/>
                    </a:xfrm>
                    <a:prstGeom prst="rect"/>
                  </pic:spPr>
                </pic:pic>
              </a:graphicData>
            </a:graphic>
          </wp:inline>
        </w:drawing>
      </w:r>
    </w:p>
    <w:p>
      <w:pPr>
        <w:pStyle w:val="ima200"/>
        <w:keepLines/>
      </w:pPr>
      <w:r>
        <w:rPr>
          <w:rFonts w:ascii="Times New Roman" w:hAnsi="Times New Roman" w:cs="Times New Roman" w:eastAsia="ＭＳ Ｐ明朝"/>
          <w:lang w:val="en-US" w:eastAsia="ja-JP"/>
        </w:rPr>
        <w:t xml:space="preserve">図1　高安定 HV（中央値, </w:t>
      </w:r>
      <w:r>
        <w:rPr>
          <w:rFonts w:ascii="Times New Roman" w:hAnsi="Times New Roman" w:cs="Times New Roman"/>
          <w:i/>
        </w:rPr>
        <w:t xml:space="preserve">n</w:t>
      </w:r>
      <w:r>
        <w:rPr>
          <w:rFonts w:ascii="Times New Roman" w:hAnsi="Times New Roman" w:cs="Times New Roman" w:eastAsia="ＭＳ Ｐ明朝"/>
          <w:lang w:val="en-US" w:eastAsia="ja-JP"/>
        </w:rPr>
        <w:t xml:space="preserve">=10）。横軸は </w:t>
      </w:r>
      <w:r>
        <w:rPr>
          <w:rFonts w:ascii="Times New Roman" w:hAnsi="Times New Roman" w:cs="Times New Roman"/>
          <w:i/>
        </w:rPr>
        <w:t xml:space="preserve">ρ</w:t>
      </w:r>
      <w:r>
        <w:rPr>
          <w:rFonts w:ascii="Times New Roman" w:hAnsi="Times New Roman" w:cs="Times New Roman" w:eastAsia="ＭＳ Ｐ明朝"/>
          <w:lang w:val="en-US" w:eastAsia="ja-JP"/>
        </w:rPr>
        <w:t xml:space="preserve"> の昇順、「0」は高安定領域への到達なしを示す。</w:t>
      </w:r>
    </w:p>
    <w:p>
      <w:pPr>
        <w:pStyle w:val="ima010"/>
      </w:pPr>
      <w:r>
        <w:rPr>
          <w:rFonts w:ascii="Times New Roman" w:hAnsi="Times New Roman" w:cs="Times New Roman" w:eastAsia="ＭＳ Ｐ明朝"/>
          <w:lang w:val="en-US" w:eastAsia="ja-JP"/>
        </w:rPr>
        <w:t xml:space="preserve">　提案操作を組み込むと、多点探索の高安定 HV は全 8 シナリオの全試行で改善し（</w:t>
      </w:r>
      <w:r>
        <w:rPr>
          <w:rFonts w:ascii="Times New Roman" w:hAnsi="Times New Roman" w:cs="Times New Roman"/>
          <w:i/>
        </w:rPr>
        <w:t xml:space="preserve">p</w:t>
      </w:r>
      <w:r>
        <w:rPr>
          <w:rFonts w:ascii="Times New Roman" w:hAnsi="Times New Roman" w:cs="Times New Roman" w:eastAsia="ＭＳ Ｐ明朝"/>
          <w:lang w:val="en-US" w:eastAsia="ja-JP"/>
        </w:rPr>
        <w:t xml:space="preserve">=0.001, |</w:t>
      </w:r>
      <w:r>
        <w:rPr>
          <w:rFonts w:ascii="Times New Roman" w:hAnsi="Times New Roman" w:cs="Times New Roman"/>
          <w:i/>
        </w:rPr>
        <w:t xml:space="preserve">δ</w:t>
      </w:r>
      <w:r>
        <w:rPr>
          <w:rFonts w:ascii="Times New Roman" w:hAnsi="Times New Roman" w:cs="Times New Roman" w:eastAsia="ＭＳ Ｐ明朝"/>
          <w:lang w:val="en-US" w:eastAsia="ja-JP"/>
        </w:rPr>
        <w:t xml:space="preserve">|=1.0）、単点探索と同等の水準に達した（図1）。これに対し単点探索では改善はわずかで、有意な改善は </w:t>
      </w:r>
      <w:r>
        <w:rPr>
          <w:rFonts w:ascii="Times New Roman" w:hAnsi="Times New Roman" w:cs="Times New Roman"/>
          <w:i/>
        </w:rPr>
        <w:t xml:space="preserve">ρ</w:t>
      </w:r>
      <w:r>
        <w:rPr>
          <w:rFonts w:ascii="Times New Roman" w:hAnsi="Times New Roman" w:cs="Times New Roman" w:eastAsia="ＭＳ Ｐ明朝"/>
          <w:lang w:val="en-US" w:eastAsia="ja-JP"/>
        </w:rPr>
        <w:t xml:space="preserve"> が最も高い 2 シナリオ（la36L・ta21L）に限られた。すなわち、同一の操作でも効果は探索構造に依存して非対称に現れる。この非対称は、多点探索では交叉によって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から離れた解が多く、経路上に未最適化の中間解が残るのに対し、単点探索は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近傍を自力で充填済みで経路が短く、改善の余地が乏しいことによる。</w:t>
      </w:r>
    </w:p>
    <w:p>
      <w:pPr>
        <w:pStyle w:val="ima010"/>
      </w:pPr>
      <w:r>
        <w:rPr>
          <w:rFonts w:ascii="Times New Roman" w:hAnsi="Times New Roman" w:cs="Times New Roman" w:eastAsia="ＭＳ Ｐ明朝"/>
          <w:lang w:val="en-US" w:eastAsia="ja-JP"/>
        </w:rPr>
        <w:t xml:space="preserve">　最良手法は評価指標により異なる。解集合全体の質（統合 HV）では提案操作を組み込んだ多点探索が最良となる一方、限られた計算時間での解の質では、早期から良い解をもつ単点探索が優れた。両構造は再スケジューリングの異なる要求を補い合う。</w:t>
      </w:r>
    </w:p>
    <w:p>
      <w:pPr>
        <w:pStyle w:val="Jima005"/>
      </w:pPr>
      <w:r>
        <w:rPr>
          <w:rFonts w:ascii="Times New Roman" w:hAnsi="Times New Roman" w:cs="Times New Roman" w:eastAsia="ＭＳ Ｐ明朝"/>
          <w:lang w:val="en-US" w:eastAsia="ja-JP"/>
        </w:rPr>
        <w:t xml:space="preserve">おわりに</w:t>
      </w:r>
    </w:p>
    <w:p>
      <w:pPr>
        <w:pStyle w:val="ima010"/>
      </w:pPr>
      <w:r>
        <w:rPr>
          <w:rFonts w:ascii="Times New Roman" w:hAnsi="Times New Roman" w:cs="Times New Roman" w:eastAsia="ＭＳ Ｐ明朝"/>
          <w:lang w:val="en-US" w:eastAsia="ja-JP"/>
        </w:rPr>
        <w:t xml:space="preserve">　初期スケジュールが高品質な解として存在するという再スケジューリングの特性のもとで、単点探索が高安定領域の充填に優れることを、局所探索を揃えた統制比較で示した。また、解を初期スケジュールへ引き寄せる操作を PR に基づいて提案し、その効果が多点探索には大きく単点探索には小さいという非対称性を明らかにした。今後の課題は、安定性を開始時刻の偏差で測った場合の再検証、および特急ジョブの割込みなど作業集合そのものを変える外乱への拡張である。</w:t>
      </w:r>
    </w:p>
    <w:p>
      <w:pPr>
        <w:pStyle w:val="ima006"/>
        <w:numPr>
          <w:ilvl w:val="0"/>
          <w:numId w:val="0"/>
        </w:numPr>
        <w:spacing w:before="60"/>
      </w:pPr>
      <w:r>
        <w:rPr>
          <w:rFonts w:ascii="Times New Roman" w:hAnsi="Times New Roman" w:cs="Times New Roman" w:eastAsia="ＭＳ Ｐ明朝"/>
          <w:lang w:val="en-US" w:eastAsia="ja-JP"/>
        </w:rPr>
        <w:t xml:space="preserve">参考文献</w:t>
      </w:r>
    </w:p>
    <w:p>
      <w:pPr>
        <w:pStyle w:val="ima100References"/>
        <w:snapToGrid w:val="0"/>
        <w:spacing w:line="200" w:lineRule="exact"/>
        <w:ind w:left="420" w:hanging="420"/>
        <w:jc w:val="left"/>
      </w:pPr>
      <w:r>
        <w:rPr>
          <w:rFonts w:ascii="Times New Roman" w:hAnsi="Times New Roman" w:cs="Times New Roman" w:eastAsia="ＭＳ Ｐ明朝"/>
          <w:lang w:val="en-US" w:eastAsia="ja-JP"/>
          <w:sz w:val="18"/>
          <w:szCs w:val="18"/>
        </w:rPr>
        <w:t xml:space="preserve">Ouelhadj, D. and Petrovic, S., A survey of dynamic scheduling in manufacturing systems, Journal of Scheduling, Vol. 12, pp. 417-431 (2009).</w:t>
      </w:r>
    </w:p>
    <w:p>
      <w:pPr>
        <w:pStyle w:val="ima100References"/>
        <w:snapToGrid w:val="0"/>
        <w:spacing w:line="200" w:lineRule="exact"/>
        <w:ind w:left="420" w:hanging="420"/>
        <w:jc w:val="left"/>
      </w:pPr>
      <w:r>
        <w:rPr>
          <w:rFonts w:ascii="Times New Roman" w:hAnsi="Times New Roman" w:cs="Times New Roman" w:eastAsia="ＭＳ Ｐ明朝"/>
          <w:lang w:val="en-US" w:eastAsia="ja-JP"/>
          <w:sz w:val="18"/>
          <w:szCs w:val="18"/>
        </w:rPr>
        <w:t xml:space="preserve">Rangsaritratsamee, R., Ferrell Jr, W. G. and Kurz, M. B., Dynamic rescheduling that simultaneously considers efficiency and stability, Computers &amp; Industrial Engineering, Vol. 46, pp. 1-15 (2004).</w:t>
      </w:r>
    </w:p>
    <w:p>
      <w:pPr>
        <w:pStyle w:val="ima100References"/>
        <w:snapToGrid w:val="0"/>
        <w:spacing w:line="200" w:lineRule="exact"/>
        <w:ind w:left="420" w:hanging="420"/>
        <w:jc w:val="left"/>
      </w:pPr>
      <w:r>
        <w:rPr>
          <w:rFonts w:ascii="Times New Roman" w:hAnsi="Times New Roman" w:cs="Times New Roman" w:eastAsia="ＭＳ Ｐ明朝"/>
          <w:lang w:val="en-US" w:eastAsia="ja-JP"/>
          <w:sz w:val="18"/>
          <w:szCs w:val="18"/>
        </w:rPr>
        <w:t xml:space="preserve">Glover, F., Laguna, M. and Martí, R., Fundamentals of scatter search and path relinking, Control and Cybernetics, Vol. 29, pp. 653-684 (2000).</w:t>
      </w:r>
    </w:p>
    <w:p>
      <w:pPr>
        <w:pStyle w:val="ima100References"/>
        <w:snapToGrid w:val="0"/>
        <w:spacing w:line="200" w:lineRule="exact"/>
        <w:ind w:left="420" w:hanging="420"/>
        <w:jc w:val="left"/>
      </w:pPr>
      <w:r>
        <w:rPr>
          <w:rFonts w:ascii="Times New Roman" w:hAnsi="Times New Roman" w:cs="Times New Roman" w:eastAsia="ＭＳ Ｐ明朝"/>
          <w:lang w:val="en-US" w:eastAsia="ja-JP"/>
          <w:sz w:val="18"/>
          <w:szCs w:val="18"/>
        </w:rPr>
        <w:t xml:space="preserve">Nowicki, E. and Smutnicki, C., A fast taboo search algorithm for the job shop problem, Management Science, Vol. 42, pp. 797-813 (1996).</w:t>
      </w:r>
    </w:p>
    <w:p>
      <w:pPr>
        <w:pStyle w:val="ima100References"/>
        <w:snapToGrid w:val="0"/>
        <w:spacing w:line="200" w:lineRule="exact"/>
        <w:ind w:left="420" w:hanging="420"/>
        <w:jc w:val="left"/>
      </w:pPr>
      <w:r>
        <w:rPr>
          <w:rFonts w:ascii="Times New Roman" w:hAnsi="Times New Roman" w:cs="Times New Roman" w:eastAsia="ＭＳ Ｐ明朝"/>
          <w:lang w:val="en-US" w:eastAsia="ja-JP"/>
          <w:sz w:val="18"/>
          <w:szCs w:val="18"/>
        </w:rPr>
        <w:t xml:space="preserve">Lourenço, H. R., Martin, O. C. and Stützle, T., Iterated local search: framework and applications, Handbook of Metaheuristics, 3rd ed., Springer, pp. 129-168 (2019).</w:t>
      </w:r>
    </w:p>
    <w:sectPr w:rsidR="008F4A13" w:rsidRPr="008F4A13" w:rsidSect="009F56EC">
      <w:type w:val="continuous"/>
      <w:pgSz w:w="11906" w:h="16838" w:code="9"/>
      <w:pgMar w:top="1134" w:right="1134" w:bottom="1134" w:left="1134" w:header="851" w:footer="992" w:gutter="0"/>
      <w:cols w:num="2" w:space="398"/>
      <w:docGrid w:type="linesAndChars" w:linePitch="29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0558E" w14:textId="77777777" w:rsidR="00FB5589" w:rsidRDefault="00FB5589" w:rsidP="003E1E5F">
      <w:r>
        <w:separator/>
      </w:r>
    </w:p>
  </w:endnote>
  <w:endnote w:type="continuationSeparator" w:id="0">
    <w:p w14:paraId="0C37CF92" w14:textId="77777777" w:rsidR="00FB5589" w:rsidRDefault="00FB5589" w:rsidP="003E1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E6E86" w14:textId="77777777" w:rsidR="00FB5589" w:rsidRDefault="00FB5589" w:rsidP="003E1E5F">
      <w:r>
        <w:separator/>
      </w:r>
    </w:p>
  </w:footnote>
  <w:footnote w:type="continuationSeparator" w:id="0">
    <w:p w14:paraId="0E3D157D" w14:textId="77777777" w:rsidR="00FB5589" w:rsidRDefault="00FB5589" w:rsidP="003E1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0F7C"/>
    <w:multiLevelType w:val="multilevel"/>
    <w:tmpl w:val="345AACF4"/>
    <w:lvl w:ilvl="0">
      <w:start w:val="1"/>
      <w:numFmt w:val="decimal"/>
      <w:pStyle w:val="ima100References"/>
      <w:lvlText w:val="%1）"/>
      <w:lvlJc w:val="left"/>
      <w:pPr>
        <w:ind w:left="420" w:hanging="420"/>
      </w:pPr>
      <w:rPr>
        <w:rFonts w:ascii="Times New Roman" w:eastAsia="ＭＳ 明朝" w:hAnsi="Times New Roman" w:hint="default"/>
        <w:snapToGrid/>
        <w:spacing w:val="0"/>
        <w:w w:val="100"/>
        <w:kern w:val="16"/>
        <w:position w:val="0"/>
        <w:sz w:val="20"/>
      </w:rPr>
    </w:lvl>
    <w:lvl w:ilvl="1">
      <w:start w:val="1"/>
      <w:numFmt w:val="decimal"/>
      <w:lvlText w:val="%1.%2"/>
      <w:lvlJc w:val="left"/>
      <w:pPr>
        <w:tabs>
          <w:tab w:val="num" w:pos="1145"/>
        </w:tabs>
        <w:ind w:left="992" w:hanging="567"/>
      </w:pPr>
      <w:rPr>
        <w:rFonts w:hint="eastAsia"/>
      </w:rPr>
    </w:lvl>
    <w:lvl w:ilvl="2">
      <w:start w:val="1"/>
      <w:numFmt w:val="decimal"/>
      <w:lvlText w:val="%1.%2.%3"/>
      <w:lvlJc w:val="left"/>
      <w:pPr>
        <w:tabs>
          <w:tab w:val="num" w:pos="1931"/>
        </w:tabs>
        <w:ind w:left="1418" w:hanging="567"/>
      </w:pPr>
      <w:rPr>
        <w:rFonts w:hint="eastAsia"/>
      </w:rPr>
    </w:lvl>
    <w:lvl w:ilvl="3">
      <w:start w:val="1"/>
      <w:numFmt w:val="decimal"/>
      <w:lvlText w:val="%1.%2.%3.%4"/>
      <w:lvlJc w:val="left"/>
      <w:pPr>
        <w:tabs>
          <w:tab w:val="num" w:pos="2716"/>
        </w:tabs>
        <w:ind w:left="1984" w:hanging="708"/>
      </w:pPr>
      <w:rPr>
        <w:rFonts w:hint="eastAsia"/>
      </w:rPr>
    </w:lvl>
    <w:lvl w:ilvl="4">
      <w:start w:val="1"/>
      <w:numFmt w:val="decimal"/>
      <w:lvlText w:val="%1.%2.%3.%4.%5"/>
      <w:lvlJc w:val="left"/>
      <w:pPr>
        <w:tabs>
          <w:tab w:val="num" w:pos="3861"/>
        </w:tabs>
        <w:ind w:left="2551" w:hanging="850"/>
      </w:pPr>
      <w:rPr>
        <w:rFonts w:hint="eastAsia"/>
      </w:rPr>
    </w:lvl>
    <w:lvl w:ilvl="5">
      <w:start w:val="1"/>
      <w:numFmt w:val="decimal"/>
      <w:lvlText w:val="%1.%2.%3.%4.%5.%6"/>
      <w:lvlJc w:val="left"/>
      <w:pPr>
        <w:tabs>
          <w:tab w:val="num" w:pos="4646"/>
        </w:tabs>
        <w:ind w:left="3260" w:hanging="1134"/>
      </w:pPr>
      <w:rPr>
        <w:rFonts w:hint="eastAsia"/>
      </w:rPr>
    </w:lvl>
    <w:lvl w:ilvl="6">
      <w:start w:val="1"/>
      <w:numFmt w:val="decimal"/>
      <w:lvlText w:val="%1.%2.%3.%4.%5.%6.%7"/>
      <w:lvlJc w:val="left"/>
      <w:pPr>
        <w:tabs>
          <w:tab w:val="num" w:pos="5431"/>
        </w:tabs>
        <w:ind w:left="3827" w:hanging="1276"/>
      </w:pPr>
      <w:rPr>
        <w:rFonts w:hint="eastAsia"/>
      </w:rPr>
    </w:lvl>
    <w:lvl w:ilvl="7">
      <w:start w:val="1"/>
      <w:numFmt w:val="decimal"/>
      <w:lvlText w:val="%1.%2.%3.%4.%5.%6.%7.%8"/>
      <w:lvlJc w:val="left"/>
      <w:pPr>
        <w:tabs>
          <w:tab w:val="num" w:pos="6216"/>
        </w:tabs>
        <w:ind w:left="4394" w:hanging="1418"/>
      </w:pPr>
      <w:rPr>
        <w:rFonts w:hint="eastAsia"/>
      </w:rPr>
    </w:lvl>
    <w:lvl w:ilvl="8">
      <w:start w:val="1"/>
      <w:numFmt w:val="decimal"/>
      <w:lvlText w:val="%1.%2.%3.%4.%5.%6.%7.%8.%9"/>
      <w:lvlJc w:val="left"/>
      <w:pPr>
        <w:tabs>
          <w:tab w:val="num" w:pos="7002"/>
        </w:tabs>
        <w:ind w:left="5102" w:hanging="1700"/>
      </w:pPr>
      <w:rPr>
        <w:rFonts w:hint="eastAsia"/>
      </w:rPr>
    </w:lvl>
  </w:abstractNum>
  <w:abstractNum w:abstractNumId="1" w15:restartNumberingAfterBreak="0">
    <w:nsid w:val="3599747B"/>
    <w:multiLevelType w:val="multilevel"/>
    <w:tmpl w:val="B3DEC3AA"/>
    <w:name w:val="Jima"/>
    <w:lvl w:ilvl="0">
      <w:start w:val="1"/>
      <w:numFmt w:val="decimal"/>
      <w:pStyle w:val="ima004"/>
      <w:lvlText w:val="%1．"/>
      <w:lvlJc w:val="left"/>
      <w:pPr>
        <w:ind w:left="420" w:hanging="420"/>
      </w:pPr>
      <w:rPr>
        <w:rFonts w:ascii="ＭＳ Ｐゴシック" w:eastAsia="ＭＳ Ｐゴシック" w:hint="eastAsia"/>
        <w:b w:val="0"/>
        <w:i w:val="0"/>
        <w:sz w:val="21"/>
      </w:rPr>
    </w:lvl>
    <w:lvl w:ilvl="1">
      <w:start w:val="1"/>
      <w:numFmt w:val="decimal"/>
      <w:lvlText w:val="%1．%2"/>
      <w:lvlJc w:val="left"/>
      <w:pPr>
        <w:ind w:left="420" w:hanging="420"/>
      </w:pPr>
      <w:rPr>
        <w:rFonts w:ascii="ＭＳ Ｐゴシック" w:eastAsia="ＭＳ Ｐゴシック" w:hint="eastAsia"/>
        <w:sz w:val="21"/>
      </w:rPr>
    </w:lvl>
    <w:lvl w:ilvl="2">
      <w:start w:val="1"/>
      <w:numFmt w:val="decimalEnclosedCircle"/>
      <w:lvlText w:val="%3"/>
      <w:lvlJc w:val="left"/>
      <w:pPr>
        <w:ind w:left="420" w:hanging="420"/>
      </w:pPr>
      <w:rPr>
        <w:rFonts w:ascii="ＭＳ Ｐゴシック" w:eastAsia="ＭＳ Ｐゴシック" w:hint="eastAsia"/>
        <w:sz w:val="20"/>
      </w:rPr>
    </w:lvl>
    <w:lvl w:ilvl="3">
      <w:start w:val="1"/>
      <w:numFmt w:val="decimal"/>
      <w:lvlText w:val="%4."/>
      <w:lvlJc w:val="left"/>
      <w:pPr>
        <w:ind w:left="420" w:hanging="420"/>
      </w:pPr>
      <w:rPr>
        <w:rFonts w:hint="eastAsia"/>
      </w:rPr>
    </w:lvl>
    <w:lvl w:ilvl="4">
      <w:start w:val="1"/>
      <w:numFmt w:val="aiueoFullWidth"/>
      <w:lvlText w:val="(%5)"/>
      <w:lvlJc w:val="left"/>
      <w:pPr>
        <w:ind w:left="420" w:hanging="420"/>
      </w:pPr>
      <w:rPr>
        <w:rFonts w:hint="eastAsia"/>
      </w:rPr>
    </w:lvl>
    <w:lvl w:ilvl="5">
      <w:start w:val="1"/>
      <w:numFmt w:val="decimalEnclosedCircle"/>
      <w:lvlText w:val="%6"/>
      <w:lvlJc w:val="left"/>
      <w:pPr>
        <w:ind w:left="420" w:hanging="420"/>
      </w:pPr>
      <w:rPr>
        <w:rFonts w:hint="eastAsia"/>
      </w:rPr>
    </w:lvl>
    <w:lvl w:ilvl="6">
      <w:start w:val="1"/>
      <w:numFmt w:val="decimal"/>
      <w:lvlText w:val="%7."/>
      <w:lvlJc w:val="left"/>
      <w:pPr>
        <w:ind w:left="420" w:hanging="420"/>
      </w:pPr>
      <w:rPr>
        <w:rFonts w:hint="eastAsia"/>
      </w:rPr>
    </w:lvl>
    <w:lvl w:ilvl="7">
      <w:start w:val="1"/>
      <w:numFmt w:val="aiueoFullWidth"/>
      <w:lvlText w:val="(%8)"/>
      <w:lvlJc w:val="left"/>
      <w:pPr>
        <w:ind w:left="420" w:hanging="420"/>
      </w:pPr>
      <w:rPr>
        <w:rFonts w:hint="eastAsia"/>
      </w:rPr>
    </w:lvl>
    <w:lvl w:ilvl="8">
      <w:start w:val="1"/>
      <w:numFmt w:val="decimalEnclosedCircle"/>
      <w:lvlText w:val="%9"/>
      <w:lvlJc w:val="left"/>
      <w:pPr>
        <w:ind w:left="420" w:hanging="420"/>
      </w:pPr>
      <w:rPr>
        <w:rFonts w:hint="eastAsia"/>
      </w:rPr>
    </w:lvl>
  </w:abstractNum>
  <w:num w:numId="1" w16cid:durableId="450175851">
    <w:abstractNumId w:val="1"/>
  </w:num>
  <w:num w:numId="2" w16cid:durableId="135953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1823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840"/>
  <w:drawingGridHorizontalSpacing w:val="105"/>
  <w:drawingGridVerticalSpacing w:val="291"/>
  <w:displayHorizontalDrawingGridEvery w:val="0"/>
  <w:characterSpacingControl w:val="compressPunctuation"/>
  <w:hdrShapeDefaults>
    <o:shapedefaults v:ext="edit" spidmax="205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1A89"/>
    <w:rsid w:val="0001561C"/>
    <w:rsid w:val="000E442A"/>
    <w:rsid w:val="00131BED"/>
    <w:rsid w:val="00136080"/>
    <w:rsid w:val="001D7CF2"/>
    <w:rsid w:val="00234E1F"/>
    <w:rsid w:val="00245B2B"/>
    <w:rsid w:val="00252697"/>
    <w:rsid w:val="002C70CC"/>
    <w:rsid w:val="003C5ADD"/>
    <w:rsid w:val="003E1E5F"/>
    <w:rsid w:val="004152B0"/>
    <w:rsid w:val="00471A89"/>
    <w:rsid w:val="004E15CC"/>
    <w:rsid w:val="004F20CA"/>
    <w:rsid w:val="004F7C4A"/>
    <w:rsid w:val="00535E91"/>
    <w:rsid w:val="005B6ADB"/>
    <w:rsid w:val="006F32AD"/>
    <w:rsid w:val="00705C60"/>
    <w:rsid w:val="007108BB"/>
    <w:rsid w:val="007B54D4"/>
    <w:rsid w:val="007E1E01"/>
    <w:rsid w:val="007E3DB7"/>
    <w:rsid w:val="00862604"/>
    <w:rsid w:val="008C02FD"/>
    <w:rsid w:val="008F4A13"/>
    <w:rsid w:val="00967146"/>
    <w:rsid w:val="00977DA8"/>
    <w:rsid w:val="009931AD"/>
    <w:rsid w:val="009A557F"/>
    <w:rsid w:val="009F56EC"/>
    <w:rsid w:val="00AD2283"/>
    <w:rsid w:val="00AD5086"/>
    <w:rsid w:val="00B409AA"/>
    <w:rsid w:val="00B409AD"/>
    <w:rsid w:val="00B8596E"/>
    <w:rsid w:val="00BF3A33"/>
    <w:rsid w:val="00C22DB0"/>
    <w:rsid w:val="00D506C3"/>
    <w:rsid w:val="00D867F3"/>
    <w:rsid w:val="00EB66F7"/>
    <w:rsid w:val="00EE5421"/>
    <w:rsid w:val="00F46784"/>
    <w:rsid w:val="00F72250"/>
    <w:rsid w:val="00F83237"/>
    <w:rsid w:val="00FB543A"/>
    <w:rsid w:val="00FB5589"/>
    <w:rsid w:val="00FD11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2">
      <v:textbox inset="5.85pt,.7pt,5.85pt,.7pt"/>
    </o:shapedefaults>
    <o:shapelayout v:ext="edit">
      <o:idmap v:ext="edit" data="2"/>
    </o:shapelayout>
  </w:shapeDefaults>
  <w:decimalSymbol w:val="."/>
  <w:listSeparator w:val=","/>
  <w14:docId w14:val="740F397C"/>
  <w15:chartTrackingRefBased/>
  <w15:docId w15:val="{C7D7DC95-3B34-48BF-9B63-A2FF4149C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1A89"/>
    <w:pPr>
      <w:widowControl w:val="0"/>
      <w:jc w:val="both"/>
    </w:pPr>
    <w:rPr>
      <w:rFonts w:eastAsia="ＭＳ Ｐ明朝"/>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ima001">
    <w:name w:val="Ｊima_001_タイトル"/>
    <w:basedOn w:val="a"/>
    <w:qFormat/>
    <w:rsid w:val="00471A89"/>
    <w:pPr>
      <w:jc w:val="center"/>
    </w:pPr>
    <w:rPr>
      <w:sz w:val="24"/>
    </w:rPr>
  </w:style>
  <w:style w:type="paragraph" w:customStyle="1" w:styleId="ima002">
    <w:name w:val="Ｊima_002_＊所属＆氏名"/>
    <w:basedOn w:val="a"/>
    <w:next w:val="ima003"/>
    <w:qFormat/>
    <w:rsid w:val="007E3DB7"/>
    <w:pPr>
      <w:spacing w:beforeLines="100" w:before="100"/>
      <w:contextualSpacing/>
      <w:jc w:val="right"/>
    </w:pPr>
  </w:style>
  <w:style w:type="paragraph" w:customStyle="1" w:styleId="ima003">
    <w:name w:val="Ｊima_003_所属＆氏名"/>
    <w:basedOn w:val="a"/>
    <w:qFormat/>
    <w:rsid w:val="007E3DB7"/>
    <w:pPr>
      <w:spacing w:afterLines="100" w:after="100"/>
      <w:contextualSpacing/>
      <w:jc w:val="right"/>
    </w:pPr>
  </w:style>
  <w:style w:type="paragraph" w:customStyle="1" w:styleId="ima004">
    <w:name w:val="Ｊima_004_スタート見出し（前スペースなし）"/>
    <w:basedOn w:val="a"/>
    <w:next w:val="ima010"/>
    <w:qFormat/>
    <w:rsid w:val="004F20CA"/>
    <w:pPr>
      <w:numPr>
        <w:numId w:val="1"/>
      </w:numPr>
      <w:topLinePunct/>
    </w:pPr>
    <w:rPr>
      <w:rFonts w:eastAsia="ＭＳ Ｐゴシック"/>
    </w:rPr>
  </w:style>
  <w:style w:type="paragraph" w:customStyle="1" w:styleId="ima010">
    <w:name w:val="Ｊima_010_本文"/>
    <w:basedOn w:val="a"/>
    <w:qFormat/>
    <w:rsid w:val="004152B0"/>
    <w:pPr>
      <w:topLinePunct/>
    </w:pPr>
  </w:style>
  <w:style w:type="paragraph" w:customStyle="1" w:styleId="Jima005">
    <w:name w:val="Jima_005_見出し（前スペースあり）"/>
    <w:basedOn w:val="ima004"/>
    <w:next w:val="ima010"/>
    <w:qFormat/>
    <w:rsid w:val="004152B0"/>
    <w:pPr>
      <w:spacing w:beforeLines="100" w:before="100"/>
      <w:contextualSpacing/>
    </w:pPr>
  </w:style>
  <w:style w:type="paragraph" w:customStyle="1" w:styleId="ima006">
    <w:name w:val="Ｊima_006_参考文献"/>
    <w:basedOn w:val="Jima005"/>
    <w:next w:val="ima100References"/>
    <w:qFormat/>
    <w:rsid w:val="004152B0"/>
    <w:pPr>
      <w:jc w:val="center"/>
    </w:pPr>
    <w:rPr>
      <w:rFonts w:ascii="ＭＳ Ｐゴシック" w:hAnsi="ＭＳ Ｐゴシック"/>
    </w:rPr>
  </w:style>
  <w:style w:type="paragraph" w:customStyle="1" w:styleId="ima100References">
    <w:name w:val="Ｊima_100_References"/>
    <w:rsid w:val="0001561C"/>
    <w:pPr>
      <w:keepNext/>
      <w:keepLines/>
      <w:numPr>
        <w:numId w:val="3"/>
      </w:numPr>
      <w:topLinePunct/>
      <w:contextualSpacing/>
      <w:jc w:val="both"/>
    </w:pPr>
    <w:rPr>
      <w:rFonts w:ascii="Times New Roman" w:eastAsia="ＭＳ Ｐ明朝" w:hAnsi="Times New Roman" w:cs="ＭＳ 明朝"/>
      <w:kern w:val="2"/>
      <w:lang w:val="pl-PL"/>
    </w:rPr>
  </w:style>
  <w:style w:type="paragraph" w:customStyle="1" w:styleId="ima200">
    <w:name w:val="Ｊima_200_図説"/>
    <w:basedOn w:val="a3"/>
    <w:qFormat/>
    <w:rsid w:val="003E1E5F"/>
    <w:pPr>
      <w:contextualSpacing/>
      <w:jc w:val="center"/>
    </w:pPr>
    <w:rPr>
      <w:rFonts w:ascii="ＭＳ ゴシック" w:eastAsia="ＭＳ ゴシック" w:hAnsi="ＭＳ ゴシック"/>
      <w:b w:val="0"/>
      <w:sz w:val="20"/>
      <w:szCs w:val="18"/>
    </w:rPr>
  </w:style>
  <w:style w:type="paragraph" w:styleId="a3">
    <w:name w:val="caption"/>
    <w:basedOn w:val="a"/>
    <w:next w:val="a"/>
    <w:uiPriority w:val="35"/>
    <w:unhideWhenUsed/>
    <w:qFormat/>
    <w:rsid w:val="001D7CF2"/>
    <w:rPr>
      <w:b/>
      <w:bCs/>
      <w:szCs w:val="21"/>
    </w:rPr>
  </w:style>
  <w:style w:type="paragraph" w:styleId="a4">
    <w:name w:val="header"/>
    <w:basedOn w:val="a"/>
    <w:link w:val="a5"/>
    <w:uiPriority w:val="99"/>
    <w:unhideWhenUsed/>
    <w:rsid w:val="003E1E5F"/>
    <w:pPr>
      <w:tabs>
        <w:tab w:val="center" w:pos="4252"/>
        <w:tab w:val="right" w:pos="8504"/>
      </w:tabs>
      <w:snapToGrid w:val="0"/>
    </w:pPr>
  </w:style>
  <w:style w:type="character" w:customStyle="1" w:styleId="a5">
    <w:name w:val="ヘッダー (文字)"/>
    <w:link w:val="a4"/>
    <w:uiPriority w:val="99"/>
    <w:rsid w:val="003E1E5F"/>
    <w:rPr>
      <w:rFonts w:eastAsia="ＭＳ Ｐ明朝"/>
      <w:kern w:val="2"/>
      <w:sz w:val="21"/>
      <w:szCs w:val="22"/>
    </w:rPr>
  </w:style>
  <w:style w:type="paragraph" w:styleId="a6">
    <w:name w:val="footer"/>
    <w:basedOn w:val="a"/>
    <w:link w:val="a7"/>
    <w:uiPriority w:val="99"/>
    <w:unhideWhenUsed/>
    <w:rsid w:val="003E1E5F"/>
    <w:pPr>
      <w:tabs>
        <w:tab w:val="center" w:pos="4252"/>
        <w:tab w:val="right" w:pos="8504"/>
      </w:tabs>
      <w:snapToGrid w:val="0"/>
    </w:pPr>
  </w:style>
  <w:style w:type="character" w:customStyle="1" w:styleId="a7">
    <w:name w:val="フッター (文字)"/>
    <w:link w:val="a6"/>
    <w:uiPriority w:val="99"/>
    <w:rsid w:val="003E1E5F"/>
    <w:rPr>
      <w:rFonts w:eastAsia="ＭＳ Ｐ明朝"/>
      <w:kern w:val="2"/>
      <w:sz w:val="21"/>
      <w:szCs w:val="22"/>
    </w:rPr>
  </w:style>
  <w:style w:type="paragraph" w:styleId="a8">
    <w:name w:val="Balloon Text"/>
    <w:basedOn w:val="a"/>
    <w:link w:val="a9"/>
    <w:uiPriority w:val="99"/>
    <w:semiHidden/>
    <w:unhideWhenUsed/>
    <w:rsid w:val="005B6ADB"/>
    <w:rPr>
      <w:rFonts w:ascii="Arial" w:eastAsia="ＭＳ ゴシック" w:hAnsi="Arial"/>
      <w:sz w:val="18"/>
      <w:szCs w:val="18"/>
    </w:rPr>
  </w:style>
  <w:style w:type="character" w:customStyle="1" w:styleId="a9">
    <w:name w:val="吹き出し (文字)"/>
    <w:link w:val="a8"/>
    <w:uiPriority w:val="99"/>
    <w:semiHidden/>
    <w:rsid w:val="005B6ADB"/>
    <w:rPr>
      <w:rFonts w:ascii="Arial" w:eastAsia="ＭＳ ゴシック" w:hAnsi="Arial"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tbn1.google.com/images?q=tbn:T6kRsuswVOngwM:http://www.wallpaperlink.com/images/wallpaper/2006/0603/02082x.jpg" TargetMode="External"/><Relationship Id="rId12"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F72157-E974-43BE-8069-3261C9F36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557</Words>
  <Characters>3175</Characters>
  <Application>Microsoft Office Word</Application>
  <DocSecurity>4</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3725</CharactersWithSpaces>
  <SharedDoc>false</SharedDoc>
  <HLinks>
    <vt:vector size="12" baseType="variant">
      <vt:variant>
        <vt:i4>1114232</vt:i4>
      </vt:variant>
      <vt:variant>
        <vt:i4>-1</vt:i4>
      </vt:variant>
      <vt:variant>
        <vt:i4>1026</vt:i4>
      </vt:variant>
      <vt:variant>
        <vt:i4>4</vt:i4>
      </vt:variant>
      <vt:variant>
        <vt:lpwstr>http://images.google.co.jp/imgres?imgurl=http://www.wallpaperlink.com/images/wallpaper/2006/0603/02082x.jpg&amp;imgrefurl=http://www.wallpaperlink.com/bin/0603/02082.html&amp;usg=__o30ZsathKao_zBhnRzs-4s3SVPs=&amp;h=768&amp;w=1024&amp;sz=166&amp;hl=ja&amp;start=6&amp;tbnid=T6kRsuswVOngwM:&amp;tbnh=113&amp;tbnw=150&amp;prev=/images%3Fq%3Dwindows%2B%25E3%2583%25AD%25E3%2582%25B4%26gbv%3D2%26hl%3Dja</vt:lpwstr>
      </vt:variant>
      <vt:variant>
        <vt:lpwstr/>
      </vt:variant>
      <vt:variant>
        <vt:i4>589843</vt:i4>
      </vt:variant>
      <vt:variant>
        <vt:i4>-1</vt:i4>
      </vt:variant>
      <vt:variant>
        <vt:i4>1026</vt:i4>
      </vt:variant>
      <vt:variant>
        <vt:i4>1</vt:i4>
      </vt:variant>
      <vt:variant>
        <vt:lpwstr>http://tbn1.google.com/images?q=tbn:T6kRsuswVOngwM:http://www.wallpaperlink.com/images/wallpaper/2006/0603/02082x.jpg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JIMA</dc:creator>
  <cp:keywords/>
  <cp:lastModifiedBy>拓海 鬼頭</cp:lastModifiedBy>
  <cp:revision>2</cp:revision>
  <cp:lastPrinted>2015-07-22T07:16:00Z</cp:lastPrinted>
  <dcterms:created xsi:type="dcterms:W3CDTF">2026-09-01T05:01:00Z</dcterms:created>
  <dcterms:modified xsi:type="dcterms:W3CDTF">2026-09-01T05:01:00Z</dcterms:modified>
</cp:coreProperties>
</file>