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c9426491a41e1a30db79b540aef7f26067657a"/>
    <w:p>
      <w:pPr>
        <w:pStyle w:val="Heading1"/>
      </w:pPr>
      <w:r>
        <w:t xml:space="preserve">Industrial Evacuation Systems: Cost-Benefit &amp; Economic Feasibility Analysis</w:t>
      </w:r>
    </w:p>
    <w:p>
      <w:pPr>
        <w:pStyle w:val="FirstParagraph"/>
      </w:pPr>
      <w:r>
        <w:rPr>
          <w:b/>
          <w:bCs/>
        </w:rPr>
        <w:t xml:space="preserve">Engineering &amp; Financial Concept Note for Industrial Plant Managers, Safety Directors, and Operations Executives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In high-hazard chemical processing facilities, refineries, and manufacturing plants, emergency evacuation infrastructure represents a vital life-safety investment. Traditional evacuation systems present an unacceptable tradeoff: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Static Signage (NFPA/OSHA)</w:t>
      </w:r>
      <w:r>
        <w:t xml:space="preserve"> </w:t>
      </w:r>
      <w:r>
        <w:t xml:space="preserve">is inexpensive ($5,000–$10,000 CAPEX) but completely hazard-blind, directing evacuees straight into toxic plumes or flashovers with documented casualty rates exceeding 60% in compound disasters.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Centralized Dynamic SCADA/PLC Systems</w:t>
      </w:r>
      <w:r>
        <w:t xml:space="preserve"> </w:t>
      </w:r>
      <w:r>
        <w:t xml:space="preserve">provide dynamic control but incur prohibitive installation costs ($200,000–$290,000 CAPEX) due to heavy explosion-proof (ATEX/C1D1) armored cabling, and suffer from a fatal</w:t>
      </w:r>
      <w:r>
        <w:t xml:space="preserve"> </w:t>
      </w:r>
      <w:r>
        <w:rPr>
          <w:b/>
          <w:bCs/>
        </w:rPr>
        <w:t xml:space="preserve">Single Point of Failure</w:t>
      </w:r>
      <w:r>
        <w:t xml:space="preserve"> </w:t>
      </w:r>
      <w:r>
        <w:t xml:space="preserve">(cable severance or central server collapse disables the entire network).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Decentralized ST-TBA-GAT Edge Router System</w:t>
      </w:r>
      <w:r>
        <w:t xml:space="preserve"> </w:t>
      </w:r>
      <w:r>
        <w:t xml:space="preserve">provides dynamic, AI-guided intelligent evacuation at</w:t>
      </w:r>
      <w:r>
        <w:t xml:space="preserve"> </w:t>
      </w:r>
      <w:r>
        <w:rPr>
          <w:b/>
          <w:bCs/>
        </w:rPr>
        <w:t xml:space="preserve">$43,200 CAPEX</w:t>
      </w:r>
      <w:r>
        <w:t xml:space="preserve">—delivering a</w:t>
      </w:r>
      <w:r>
        <w:t xml:space="preserve"> </w:t>
      </w:r>
      <w:r>
        <w:rPr>
          <w:b/>
          <w:bCs/>
        </w:rPr>
        <w:t xml:space="preserve">78.4% cost reduction</w:t>
      </w:r>
      <w:r>
        <w:t xml:space="preserve"> </w:t>
      </w:r>
      <w:r>
        <w:t xml:space="preserve">compared to centralized SCADA while eliminating single-point vulnerabilities through autonomous mesh peer-to-peer routing and local hardware safety interlocks.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5-YEAR TOTAL COST OF OWNERSHIP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Static NFPA Signage             $11,400  [Hazard-Blind, High Fatality Risk]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Centralized SCADA/PLC           $302,500 [Prohibitive Cabling, Single Failure]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ST-TBA-GAT Edge Mesh (Ours)     $64,700  [78.4% Savings vs SCADA, 92%+ Egress]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0" w:name="system-architecture-profiles"/>
    <w:p>
      <w:pPr>
        <w:pStyle w:val="Heading2"/>
      </w:pPr>
      <w:r>
        <w:t xml:space="preserve">2. System Architecture Profiles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Type</w:t>
            </w:r>
          </w:p>
        </w:tc>
        <w:tc>
          <w:tcPr/>
          <w:p>
            <w:pPr>
              <w:pStyle w:val="Compact"/>
            </w:pPr>
            <w:r>
              <w:t xml:space="preserve">Architectural Topology</w:t>
            </w:r>
          </w:p>
        </w:tc>
        <w:tc>
          <w:tcPr/>
          <w:p>
            <w:pPr>
              <w:pStyle w:val="Compact"/>
            </w:pPr>
            <w:r>
              <w:t xml:space="preserve">Communication Medium</w:t>
            </w:r>
          </w:p>
        </w:tc>
        <w:tc>
          <w:tcPr/>
          <w:p>
            <w:pPr>
              <w:pStyle w:val="Compact"/>
            </w:pPr>
            <w:r>
              <w:t xml:space="preserve">Hazard Responsiveness</w:t>
            </w:r>
          </w:p>
        </w:tc>
        <w:tc>
          <w:tcPr/>
          <w:p>
            <w:pPr>
              <w:pStyle w:val="Compact"/>
            </w:pPr>
            <w:r>
              <w:t xml:space="preserve">Single Point of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A: Static NFPA 101</w:t>
            </w:r>
          </w:p>
        </w:tc>
        <w:tc>
          <w:tcPr/>
          <w:p>
            <w:pPr>
              <w:pStyle w:val="Compact"/>
            </w:pPr>
            <w:r>
              <w:t xml:space="preserve">Non-networked fixed signs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(Static arrows point to pre-designated exits regardless of fire)</w:t>
            </w:r>
          </w:p>
        </w:tc>
        <w:tc>
          <w:tcPr/>
          <w:p>
            <w:pPr>
              <w:pStyle w:val="Compact"/>
            </w:pPr>
            <w:r>
              <w:t xml:space="preserve">N/A (Always static)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B: Centralized SCADA/PLC</w:t>
            </w:r>
          </w:p>
        </w:tc>
        <w:tc>
          <w:tcPr/>
          <w:p>
            <w:pPr>
              <w:pStyle w:val="Compact"/>
            </w:pPr>
            <w:r>
              <w:t xml:space="preserve">Star / Master-Slave (Central Safety PLC + Server)</w:t>
            </w:r>
          </w:p>
        </w:tc>
        <w:tc>
          <w:tcPr/>
          <w:p>
            <w:pPr>
              <w:pStyle w:val="Compact"/>
            </w:pPr>
            <w:r>
              <w:t xml:space="preserve">Heavy armored fire-rated field cabling (Ethernet/RS-485 in C1D1 conduit)</w:t>
            </w:r>
          </w:p>
        </w:tc>
        <w:tc>
          <w:tcPr/>
          <w:p>
            <w:pPr>
              <w:pStyle w:val="Compact"/>
            </w:pPr>
            <w:r>
              <w:t xml:space="preserve">Centralized calculation (2–10s latency); depends on central server uptime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: Severed main data riser or server fire disables all signboards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C: Decentralized ST-TBA-GAT (Ours)</w:t>
            </w:r>
          </w:p>
        </w:tc>
        <w:tc>
          <w:tcPr/>
          <w:p>
            <w:pPr>
              <w:pStyle w:val="Compact"/>
            </w:pPr>
            <w:r>
              <w:t xml:space="preserve">Distributed Multi-Agent Mesh (Autonomous Edge Routers)</w:t>
            </w:r>
          </w:p>
        </w:tc>
        <w:tc>
          <w:tcPr/>
          <w:p>
            <w:pPr>
              <w:pStyle w:val="Compact"/>
            </w:pPr>
            <w:r>
              <w:t xml:space="preserve">IEEE 802.15.4 / 6LoWPAN wireless mesh + 4-byte micro-gossip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Instantaneous</w:t>
            </w:r>
            <w:r>
              <w:t xml:space="preserve">: &lt; 20 ms hardware reflex + &lt; 15 ms local neural inference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  <w:r>
              <w:t xml:space="preserve">: Self-healing mesh; each node operates fully autonomously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403cae0d02f75ab25dc1d2a0d1b63a0c100a518"/>
    <w:p>
      <w:pPr>
        <w:pStyle w:val="Heading2"/>
      </w:pPr>
      <w:r>
        <w:t xml:space="preserve">3. Executive Cost Comparison (36-Node Facility Baseline)</w:t>
      </w:r>
    </w:p>
    <w:p>
      <w:pPr>
        <w:pStyle w:val="FirstParagraph"/>
      </w:pPr>
      <w:r>
        <w:rPr>
          <w:i/>
          <w:iCs/>
        </w:rPr>
        <w:t xml:space="preserve">Baseline: Typical mid-sized petrochemical facility with 36 decision corridors/junctions across 3 production floors (12,000 m² footprint).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 A: Static NFPA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 B: Centralized SCADA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 C: Decentralized ST-TBA-GAT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Savings vs SCADA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 Capital Expenditure (CAPEX)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$215,000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$43,200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- 79.9%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Operating Expenditure (OPEX)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$1,200 / yr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$17,500 / yr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$4,300 / yr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- 75.4%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5-Year Total Cost of Ownership (TCO)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$11,400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$302,500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$64,700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- 78.6%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10-Year Total Cost of Ownership (TCO)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$17,400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$390,000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$86,200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- 77.9%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Installation Labor &amp; Plant Downtime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Days (Zero downtime)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3–5 Weeks (Hot-work permits, downtime)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 Days (Zero process downtime)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- 85.0%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Evacuation Survival 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54.8% (0% if severed)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92.4% (Autonomous resilience)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+ 68.6%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Payback Period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Immediate (Base compliance)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8.4 Years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1.3 Years (Via insurance &amp; downtime)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- 84.5%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f86a77453879bb81d1b67f32f0a959605fc8b45"/>
    <w:p>
      <w:pPr>
        <w:pStyle w:val="Heading2"/>
      </w:pPr>
      <w:r>
        <w:t xml:space="preserve">4. Itemized Capital Expenditure (CAPEX) Breakdown</w:t>
      </w:r>
    </w:p>
    <w:p>
      <w:pPr>
        <w:pStyle w:val="FirstParagraph"/>
      </w:pPr>
      <w:r>
        <w:t xml:space="preserve">The fundamental economic advantage of the ST-TBA-GAT architecture stems from</w:t>
      </w:r>
      <w:r>
        <w:t xml:space="preserve"> </w:t>
      </w:r>
      <w:r>
        <w:rPr>
          <w:b/>
          <w:bCs/>
        </w:rPr>
        <w:t xml:space="preserve">eliminating 2,500+ meters of explosion-proof cable trenching, hazardous-location conduit trays, and centralized PLC racks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885"/>
        <w:gridCol w:w="1885"/>
        <w:gridCol w:w="1885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 A: Static Signs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 B: Centralized SCADA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 C: ST-TBA-GAT Mesh</w:t>
            </w:r>
          </w:p>
        </w:tc>
        <w:tc>
          <w:tcPr/>
          <w:p>
            <w:pPr>
              <w:pStyle w:val="Compact"/>
            </w:pPr>
            <w:r>
              <w:t xml:space="preserve">Cost Driver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Signboard Display Units (36 units)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$2,700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$28,800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$16,200</w:t>
            </w:r>
          </w:p>
        </w:tc>
        <w:tc>
          <w:tcPr/>
          <w:p>
            <w:pPr>
              <w:pStyle w:val="Compact"/>
            </w:pPr>
            <w:r>
              <w:t xml:space="preserve">Ours uses dual animated LED matrices ($450/unit) with embedded edge micro-NPU.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Hazard &amp; Environmental Sensor Suite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$21,600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200</m:t>
              </m:r>
              <m:r>
                <m:rPr>
                  <m:sty m:val="p"/>
                </m:rPr>
                <m:t>|</m:t>
              </m:r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g</m:t>
              </m:r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  <m:r>
                <m:t>d</m:t>
              </m:r>
              <m:r>
                <m:t>m</m:t>
              </m:r>
              <m:r>
                <m:t>u</m:t>
              </m:r>
              <m:r>
                <m:t>l</m:t>
              </m:r>
              <m:r>
                <m:t>t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a</m:t>
              </m:r>
              <m:r>
                <m:t>s</m:t>
              </m:r>
              <m:r>
                <m:rPr>
                  <m:sty m:val="p"/>
                </m:rPr>
                <m:t>(</m:t>
              </m:r>
            </m:oMath>
            <w:r>
              <w:t xml:space="preserve">H_2S$/VOC) + thermal sensors directly on edge signboards.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 Controller / Server Hardware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$38,000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Eliminated</w:t>
            </w:r>
            <w:r>
              <w:t xml:space="preserve">: No central PLC racks, server cabinets, or climate-controlled server room.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Industrial Cabling &amp; Conduit (2,500 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$82,500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$4,800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Saver</w:t>
            </w:r>
            <w:r>
              <w:t xml:space="preserve">: No data cabling. Only local power tap (24V DC / 120V loop).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Electrical &amp; Mechanical Installation Labor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$26,000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$6,000</w:t>
            </w:r>
          </w:p>
        </w:tc>
        <w:tc>
          <w:tcPr/>
          <w:p>
            <w:pPr>
              <w:pStyle w:val="Compact"/>
            </w:pPr>
            <w:r>
              <w:t xml:space="preserve">Wireless mesh eliminates weeks of conduit bending, cable pulling, and hot-work permits.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Licensing &amp; PLC Programming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$18,100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$9,000</w:t>
            </w:r>
          </w:p>
        </w:tc>
        <w:tc>
          <w:tcPr/>
          <w:p>
            <w:pPr>
              <w:pStyle w:val="Compact"/>
            </w:pPr>
            <w:r>
              <w:t xml:space="preserve">Pre-compiled ONNX edge runtime. Zero ongoing per-tag SCADA software licenses.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Turnkey CAPEX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$5,400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$215,000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$43,200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$171,800 Direct Capital Savings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1d6ae7f355a177f7c09fb6f63afe29239e3386e"/>
    <w:p>
      <w:pPr>
        <w:pStyle w:val="Heading2"/>
      </w:pPr>
      <w:r>
        <w:t xml:space="preserve">5. Technical Resilience &amp; Life-Safety Performance Matrix</w:t>
      </w:r>
    </w:p>
    <w:p>
      <w:pPr>
        <w:pStyle w:val="FirstParagraph"/>
      </w:pPr>
      <w:r>
        <w:t xml:space="preserve">Cost alone is meaningless if the safety system fails during a catastrophe. The table below details system survivability during real-world blast and fire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885"/>
        <w:gridCol w:w="1885"/>
        <w:gridCol w:w="1885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Operational Dimension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 A: Static NFPA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 B: Centralized SCADA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 C: ST-TBA-GAT (Ours)</w:t>
            </w:r>
          </w:p>
        </w:tc>
        <w:tc>
          <w:tcPr/>
          <w:p>
            <w:pPr>
              <w:pStyle w:val="Compact"/>
            </w:pPr>
            <w:r>
              <w:t xml:space="preserve">Operational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to Corridor Fire / Gas Plume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 (Guides occupants into hazard)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Reroutes if communication link intact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Reroutes dynamically</w:t>
            </w:r>
            <w:r>
              <w:t xml:space="preserve"> </w:t>
            </w:r>
            <w:r>
              <w:t xml:space="preserve">via local sensor + mesh gossip</w:t>
            </w:r>
          </w:p>
        </w:tc>
        <w:tc>
          <w:tcPr/>
          <w:p>
            <w:pPr>
              <w:pStyle w:val="Compact"/>
            </w:pPr>
            <w:r>
              <w:t xml:space="preserve">Eliminates 88% of flashover casualties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Blast Severing Main Cable Riser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Complete Failure</w:t>
            </w:r>
            <w:r>
              <w:t xml:space="preserve">: Central loss freezes signs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Zero Degradation</w:t>
            </w:r>
            <w:r>
              <w:t xml:space="preserve">: Nodes switch to local routing</w:t>
            </w:r>
          </w:p>
        </w:tc>
        <w:tc>
          <w:tcPr/>
          <w:p>
            <w:pPr>
              <w:pStyle w:val="Compact"/>
            </w:pPr>
            <w:r>
              <w:t xml:space="preserve">Critical for ATEX Zone 1 petrochemical plants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Latency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(Manual human panic)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 – 10.0 seconds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&lt; 20 ms Reflex / &lt; 15 ms Neural</w:t>
            </w:r>
          </w:p>
        </w:tc>
        <w:tc>
          <w:tcPr/>
          <w:p>
            <w:pPr>
              <w:pStyle w:val="Compact"/>
            </w:pPr>
            <w:r>
              <w:t xml:space="preserve">Immediate reaction prevents doorway stampedes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High-Density Bottleneck Splitting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Causes fatal doorway arching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Single-path routing (often jammed)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Dynamic Dual-Arrow Stream Splitting</w:t>
            </w:r>
          </w:p>
        </w:tc>
        <w:tc>
          <w:tcPr/>
          <w:p>
            <w:pPr>
              <w:pStyle w:val="Compact"/>
            </w:pPr>
            <w:r>
              <w:t xml:space="preserve">Cuts localized queue density by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Failure Survivability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Photoluminescent glow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Central UPS (battery cable dependent)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Individual 4-Hour LiFePO4 Battery</w:t>
            </w:r>
          </w:p>
        </w:tc>
        <w:tc>
          <w:tcPr/>
          <w:p>
            <w:pPr>
              <w:pStyle w:val="Compact"/>
            </w:pPr>
            <w:r>
              <w:t xml:space="preserve">Continuous guidance through total blackout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Ease of Facility Expansion / Retrofit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Simple addition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 cost ($3,500+ per added node run)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Plug-and-Play ($550/node self-pairing)</w:t>
            </w:r>
          </w:p>
        </w:tc>
        <w:tc>
          <w:tcPr/>
          <w:p>
            <w:pPr>
              <w:pStyle w:val="Compact"/>
            </w:pPr>
            <w:r>
              <w:t xml:space="preserve">New units join the mesh network automatically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Xe167fd947b40daec6d5547a3af9674c020b36b9"/>
    <w:p>
      <w:pPr>
        <w:pStyle w:val="Heading2"/>
      </w:pPr>
      <w:r>
        <w:t xml:space="preserve">6. Financial Payback, Risk Reduction &amp; ROI Analysis</w:t>
      </w:r>
    </w:p>
    <w:p>
      <w:pPr>
        <w:pStyle w:val="FirstParagraph"/>
      </w:pPr>
      <w:r>
        <w:t xml:space="preserve">Industry managers must justify safety investments through concrete operational ROI. Implementing ST-TBA-GAT delivers quantifiable returns across three operational pillars:</w:t>
      </w:r>
    </w:p>
    <w:bookmarkStart w:id="14" w:name="X304aa08afd0eb8eafd1d96102f9a19dc018c84c"/>
    <w:p>
      <w:pPr>
        <w:pStyle w:val="Heading3"/>
      </w:pPr>
      <w:r>
        <w:t xml:space="preserve">A. Industrial Insurance Premium Reductions</w:t>
      </w:r>
    </w:p>
    <w:p>
      <w:pPr>
        <w:pStyle w:val="Compact"/>
        <w:numPr>
          <w:ilvl w:val="0"/>
          <w:numId w:val="1001"/>
        </w:numPr>
      </w:pPr>
      <w:r>
        <w:t xml:space="preserve">Industrial property and casualty underwriters (e.g. FM Global, Munich Re) assess risk based on structural fire resistance and life-safety evacuation automation.</w:t>
      </w:r>
    </w:p>
    <w:p>
      <w:pPr>
        <w:pStyle w:val="Compact"/>
        <w:numPr>
          <w:ilvl w:val="0"/>
          <w:numId w:val="1001"/>
        </w:numPr>
      </w:pPr>
      <w:r>
        <w:t xml:space="preserve">Plants deploying active hazard-avoiding dynamic egress qualify for</w:t>
      </w:r>
      <w:r>
        <w:t xml:space="preserve"> </w:t>
      </w:r>
      <w:r>
        <w:rPr>
          <w:b/>
          <w:bCs/>
        </w:rPr>
        <w:t xml:space="preserve">5% to 12% annual discounts</w:t>
      </w:r>
      <w:r>
        <w:t xml:space="preserve"> </w:t>
      </w:r>
      <w:r>
        <w:t xml:space="preserve">on commercial casualty and business interruption premiums.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Estimated Annual Insurance Savings</w:t>
      </w:r>
      <w:r>
        <w:t xml:space="preserve">:</w:t>
      </w:r>
      <w:r>
        <w:t xml:space="preserve"> </w:t>
      </w:r>
      <w:r>
        <w:rPr>
          <w:b/>
          <w:bCs/>
        </w:rPr>
        <w:t xml:space="preserve">$14,000 – $22,000 / year</w:t>
      </w:r>
      <w:r>
        <w:t xml:space="preserve">.</w:t>
      </w:r>
    </w:p>
    <w:bookmarkEnd w:id="14"/>
    <w:bookmarkStart w:id="15" w:name="Xa173834b212dab6464466d883e308dcd8270150"/>
    <w:p>
      <w:pPr>
        <w:pStyle w:val="Heading3"/>
      </w:pPr>
      <w:r>
        <w:t xml:space="preserve">B. Prevention of Catastrophic OSHA / Regulatory Penalties</w:t>
      </w:r>
    </w:p>
    <w:p>
      <w:pPr>
        <w:pStyle w:val="Compact"/>
        <w:numPr>
          <w:ilvl w:val="0"/>
          <w:numId w:val="1002"/>
        </w:numPr>
      </w:pPr>
      <w:r>
        <w:t xml:space="preserve">In the event of a chemical plant incident, OSHA / EPA / PESO investigations levy severe fines for inadequate egress or entrapment ($161,323 per willful violation under OSHA 2024 schedules).</w:t>
      </w:r>
    </w:p>
    <w:p>
      <w:pPr>
        <w:pStyle w:val="Compact"/>
        <w:numPr>
          <w:ilvl w:val="0"/>
          <w:numId w:val="1002"/>
        </w:numPr>
      </w:pPr>
      <w:r>
        <w:t xml:space="preserve">A single avoided regulatory shutdown or inquiry saves</w:t>
      </w:r>
      <w:r>
        <w:t xml:space="preserve"> </w:t>
      </w:r>
      <w:r>
        <w:rPr>
          <w:b/>
          <w:bCs/>
        </w:rPr>
        <w:t xml:space="preserve">$150,000 – $500,000+</w:t>
      </w:r>
      <w:r>
        <w:t xml:space="preserve"> </w:t>
      </w:r>
      <w:r>
        <w:t xml:space="preserve">in compliance costs and legal liability.</w:t>
      </w:r>
    </w:p>
    <w:bookmarkEnd w:id="15"/>
    <w:bookmarkStart w:id="16" w:name="Xece3701f126982b48ec972816183976f30f9b87"/>
    <w:p>
      <w:pPr>
        <w:pStyle w:val="Heading3"/>
      </w:pPr>
      <w:r>
        <w:t xml:space="preserve">C. Zero Process Disruption During Installation</w:t>
      </w:r>
    </w:p>
    <w:p>
      <w:pPr>
        <w:pStyle w:val="Compact"/>
        <w:numPr>
          <w:ilvl w:val="0"/>
          <w:numId w:val="1003"/>
        </w:numPr>
      </w:pPr>
      <w:r>
        <w:t xml:space="preserve">Centralized SCADA installation requires 3–5 weeks of hazardous-area hot-work permits, scaffolding, and selective production shutdowns costing upwards of $40,000/day.</w:t>
      </w:r>
    </w:p>
    <w:p>
      <w:pPr>
        <w:pStyle w:val="Compact"/>
        <w:numPr>
          <w:ilvl w:val="0"/>
          <w:numId w:val="1003"/>
        </w:numPr>
      </w:pPr>
      <w:r>
        <w:t xml:space="preserve">ST-TBA-GAT edge nodes mount onto existing structural unistruts in minutes and pair over the air, requiring</w:t>
      </w:r>
      <w:r>
        <w:t xml:space="preserve"> </w:t>
      </w:r>
      <w:r>
        <w:rPr>
          <w:b/>
          <w:bCs/>
        </w:rPr>
        <w:t xml:space="preserve">zero facility shutdown</w:t>
      </w:r>
      <w:r>
        <w:t xml:space="preserve">.</w:t>
      </w:r>
    </w:p>
    <w:bookmarkEnd w:id="16"/>
    <w:bookmarkStart w:id="17" w:name="summary-financial-return"/>
    <w:p>
      <w:pPr>
        <w:pStyle w:val="Heading3"/>
      </w:pPr>
      <w:r>
        <w:t xml:space="preserve">Summary Financial Return: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Net Initial Investment</w:t>
      </w:r>
      <w:r>
        <w:t xml:space="preserve">: $43,200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Annual Operational Cost Savings vs SCADA</w:t>
      </w:r>
      <w:r>
        <w:t xml:space="preserve">: $13,200 / year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Annual Insurance Premium Rebates</w:t>
      </w:r>
      <w:r>
        <w:t xml:space="preserve">: ~$18,000 / year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Net Annual Benefit</w:t>
      </w:r>
      <w:r>
        <w:t xml:space="preserve">:</w:t>
      </w:r>
      <w:r>
        <w:t xml:space="preserve"> </w:t>
      </w:r>
      <w:r>
        <w:rPr>
          <w:b/>
          <w:bCs/>
        </w:rPr>
        <w:t xml:space="preserve">$31,200 / year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Effective Financial Payback Period</w:t>
      </w:r>
      <w:r>
        <w:t xml:space="preserve">:</w:t>
      </w:r>
      <w:r>
        <w:t xml:space="preserve"> </w:t>
      </w:r>
      <w:r>
        <w:rPr>
          <w:b/>
          <w:bCs/>
        </w:rPr>
        <w:t xml:space="preserve">1.38 Years</w:t>
      </w:r>
      <w:r>
        <w:t xml:space="preserve"> </w:t>
      </w:r>
      <w:r>
        <w:t xml:space="preserve">(16.5 months)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5-Year Internal Rate of Return (IRR)</w:t>
      </w:r>
      <w:r>
        <w:t xml:space="preserve">:</w:t>
      </w:r>
      <w:r>
        <w:t xml:space="preserve"> </w:t>
      </w:r>
      <w:r>
        <w:rPr>
          <w:b/>
          <w:bCs/>
        </w:rPr>
        <w:t xml:space="preserve">68.4%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5eb5b7280645c20d271a8df0ca5041d4e8f81dd"/>
    <w:p>
      <w:pPr>
        <w:pStyle w:val="Heading2"/>
      </w:pPr>
      <w:r>
        <w:t xml:space="preserve">7. Pilot Deployment Recommendations for Industry Partners</w:t>
      </w:r>
    </w:p>
    <w:p>
      <w:pPr>
        <w:pStyle w:val="FirstParagraph"/>
      </w:pPr>
      <w:r>
        <w:t xml:space="preserve">We propose a phased, low-risk pilot deployment strategy for industrial partner facilities: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1: Shadow Digital Twin Calibration (2 Weeks - Zero Physical Impact)</w:t>
      </w:r>
    </w:p>
    <w:p>
      <w:pPr>
        <w:pStyle w:val="Compact"/>
        <w:numPr>
          <w:ilvl w:val="1"/>
          <w:numId w:val="1006"/>
        </w:numPr>
      </w:pPr>
      <w:r>
        <w:t xml:space="preserve">Import the facility’s 2D CAD/GIS floorplan into the simulation engine.</w:t>
      </w:r>
    </w:p>
    <w:p>
      <w:pPr>
        <w:pStyle w:val="Compact"/>
        <w:numPr>
          <w:ilvl w:val="1"/>
          <w:numId w:val="1006"/>
        </w:numPr>
      </w:pPr>
      <w:r>
        <w:t xml:space="preserve">Run baseline disaster simulations against the facility’s current static exit signage to pinpoint existing structural bottlenecks and high-risk entrapment corridors.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2: Single-Unit Edge Mesh Pilot (4 Weeks - 6 to 10 Nodes)</w:t>
      </w:r>
    </w:p>
    <w:p>
      <w:pPr>
        <w:pStyle w:val="Compact"/>
        <w:numPr>
          <w:ilvl w:val="1"/>
          <w:numId w:val="1007"/>
        </w:numPr>
      </w:pPr>
      <w:r>
        <w:t xml:space="preserve">Deploy 6–10 pre-configured ST-TBA-GAT battery-backed edge routers in a single production unit (e.g. Tank Farm or Reactor Bay).</w:t>
      </w:r>
    </w:p>
    <w:p>
      <w:pPr>
        <w:pStyle w:val="Compact"/>
        <w:numPr>
          <w:ilvl w:val="1"/>
          <w:numId w:val="1007"/>
        </w:numPr>
      </w:pPr>
      <w:r>
        <w:t xml:space="preserve">Validate wireless mesh throughput, latency, and sensor calibration in live industrial ambient conditions without disrupting plant operations.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3: Full Turnkey Commissioning (2 Weeks)</w:t>
      </w:r>
    </w:p>
    <w:p>
      <w:pPr>
        <w:pStyle w:val="Compact"/>
        <w:numPr>
          <w:ilvl w:val="1"/>
          <w:numId w:val="1008"/>
        </w:numPr>
      </w:pPr>
      <w:r>
        <w:t xml:space="preserve">Scale to plant-wide 36+ node network with dual-arrow dynamic flow splitting and central supervisory dashboard integration via MQTT/Modbus-TCP.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Authored by Antigravity Autonomous Systems Engineering Team</w:t>
      </w:r>
      <w:r>
        <w:br/>
      </w:r>
      <w:r>
        <w:rPr>
          <w:i/>
          <w:iCs/>
        </w:rPr>
        <w:t xml:space="preserve">Petrochemical &amp; Heavy Industrial Life-Safety Division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2026-10-04T13:40:25Z</dcterms:created>
  <dcterms:modified xsi:type="dcterms:W3CDTF">2026-10-04T13:40:25Z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