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[Date]</w:t>
      </w:r>
    </w:p>
    <w:p>
      <w:r>
        <w:t>Editors</w:t>
        <w:br/>
        <w:t>Bioinformatics Advances</w:t>
        <w:br/>
        <w:t>Oxford University Press / International Society for Computational Biology</w:t>
      </w:r>
    </w:p>
    <w:p>
      <w:r>
        <w:t>Re: Original Article submission, “Symmetry-resolved GC-skew reveals higher-harmonic phase coherence beyond the first Fourier mode in bacterial chromosomes”</w:t>
      </w:r>
    </w:p>
    <w:p>
      <w:r>
        <w:t>Dear Editors,</w:t>
      </w:r>
    </w:p>
    <w:p>
      <w:r>
        <w:t>Please consider our manuscript for publication as an Original Article in Bioinformatics Advances. The work introduces a symmetry-resolved method for analyzing bacterial GC-skew profiles and tests a specific signal property that is not captured by standard first-harmonic summaries: whether higher odd Fourier modes are phase-organized around a common replication axis.</w:t>
      </w:r>
    </w:p>
    <w:p>
      <w:r>
        <w:t>The central empirical result was tested in a preregistered independent cohort of 15 previously unopened complete circular bacterial chromosomes from 15 genera. The primary null preserved the complete Fourier magnitude spectrum and the exact complex k=1 coefficient while randomizing only higher-harmonic phases. The prespecified Fisher combination was X=104.46 (30 df), P=3.6e-10; six of 15 chromosomes remained significant after Benjamini-Hochberg correction (40%; Wilson 95% CI 19.8%-64.3%). We therefore report a confirmed subset-limited higher-harmonic phase-coherence signal while explicitly avoiding a broader claim that the method universally improves replication-origin localization.</w:t>
      </w:r>
    </w:p>
    <w:p>
      <w:r>
        <w:t>The manuscript combines an exact projector formulation, an O(M log M) implementation, a spectrum-preserving mechanistic null, frozen provenance controls, an exploratory pilot, and an independent confirmatory analysis. For transparency, it also discloses a separately frozen tomography endpoint that was not executed because its prespecified implementation was unavailable at unblinding; it was not reconstructed post hoc on the opened cohort. We believe this fits the journal's Sequence Analysis / Genome Analysis scope and its interest in computational methods with quantitatively demonstrated biological utility.</w:t>
      </w:r>
    </w:p>
    <w:p>
      <w:r>
        <w:t>The work uses only public genomic sequence data and computational analysis; no new wet-lab experiments were performed. All code, accession manifests, provenance hashes, frozen analysis specifications and result tables will be made openly available in a version-controlled repository and archived with a persistent DOI before submission.</w:t>
      </w:r>
    </w:p>
    <w:p>
      <w:r>
        <w:t>Generative AI (OpenAI ChatGPT) was used to assist with mathematical formalization, code development, analysis workflow design, debugging and manuscript drafting. All analyses were executed by frozen code, and the authors take responsibility for the study design, interpretation, verification and final text. We disclose this use in accordance with the journal’s current author guidance.</w:t>
      </w:r>
    </w:p>
    <w:p>
      <w:r>
        <w:t>This manuscript is original, is not under consideration elsewhere, and all authors have approved the submission. [EDIT THIS SENTENCE IF NEEDED.]</w:t>
      </w:r>
    </w:p>
    <w:p>
      <w:r>
        <w:t>Thank you for your consideration.</w:t>
      </w:r>
    </w:p>
    <w:p>
      <w:r>
        <w:t>Sincerely,</w:t>
        <w:br/>
        <w:t>[Corresponding Author]</w:t>
        <w:br/>
        <w:t>[Affiliation]</w:t>
        <w:br/>
        <w:t>[Email]</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