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tiff" ContentType="image/tiff"/>
  <Default Extension="emf" ContentType="image/x-em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SENTINEL DOCX PICTURE LEMUR</w:t>
      </w:r>
    </w:p>
    <w:p>
      <w:r>
        <w:drawing>
          <wp:inline>
            <wp:extent cx="1143000" cy="762000"/>
            <wp:docPr id="1" name="Picture 1" descr="A blue rectangle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1"/>
                    <pic:cNvPicPr/>
                  </pic:nvPicPr>
                  <pic:blipFill>
                    <a:blip r:embed="rId1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1143000" cy="762000"/>
            <wp:docPr id="2" name="Picture 2" descr="A green rectangle, stored as TIFF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2"/>
                    <pic:cNvPicPr/>
                  </pic:nvPicPr>
                  <pic:blipFill>
                    <a:blip r:embed="rId2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1143000" cy="762000"/>
            <wp:docPr id="3" name="Picture 3" descr="A red rectangle, stored as a metafile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3"/>
                    <pic:cNvPicPr/>
                  </pic:nvPicPr>
                  <pic:blipFill>
                    <a:blip r:embed="rId3"/>
                  </pic:blipFill>
                  <pic:spPr/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tiff"/><Relationship Id="rId3" Type="http://schemas.openxmlformats.org/officeDocument/2006/relationships/image" Target="media/image3.emf"/></Relationships>

</file>