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ข้อมูลเชิงเทคนิคและอายุการใช้งานของแบตเตอรี่ลิเธียมพอลิเมอร์</w:t>
      </w:r>
      <w:r>
        <w:t xml:space="preserve"> </w:t>
      </w:r>
      <w:r>
        <w:t xml:space="preserve">802540</w:t>
      </w:r>
      <w:r>
        <w:t xml:space="preserve"> </w:t>
      </w:r>
      <w:r>
        <w:t xml:space="preserve">(3.7</w:t>
      </w:r>
      <w:r>
        <w:t xml:space="preserve"> </w:t>
      </w:r>
      <w:r>
        <w:t xml:space="preserve">V</w:t>
      </w:r>
      <w:r>
        <w:t xml:space="preserve"> </w:t>
      </w:r>
      <w:r>
        <w:t xml:space="preserve">600</w:t>
      </w:r>
      <w:r>
        <w:t xml:space="preserve"> </w:t>
      </w:r>
      <w:r>
        <w:t xml:space="preserve">mAh)</w:t>
      </w:r>
    </w:p>
    <w:p>
      <w:pPr>
        <w:pStyle w:val="Subtitle"/>
      </w:pPr>
      <w:r>
        <w:t xml:space="preserve">เอกสารประกอบโครงการ</w:t>
      </w:r>
      <w:r>
        <w:t xml:space="preserve"> </w:t>
      </w:r>
      <w:r>
        <w:t xml:space="preserve">Smart</w:t>
      </w:r>
      <w:r>
        <w:t xml:space="preserve"> </w:t>
      </w:r>
      <w:r>
        <w:t xml:space="preserve">IV</w:t>
      </w:r>
      <w:r>
        <w:t xml:space="preserve"> </w:t>
      </w:r>
      <w:r>
        <w:t xml:space="preserve">Alert</w:t>
      </w:r>
    </w:p>
    <w:p>
      <w:pPr>
        <w:pStyle w:val="Date"/>
      </w:pPr>
      <w:r>
        <w:t xml:space="preserve">6</w:t>
      </w:r>
      <w:r>
        <w:t xml:space="preserve"> </w:t>
      </w:r>
      <w:r>
        <w:t xml:space="preserve">ตุลาคม</w:t>
      </w:r>
      <w:r>
        <w:t xml:space="preserve"> </w:t>
      </w:r>
      <w:r>
        <w:t xml:space="preserve">2569</w:t>
      </w:r>
    </w:p>
    <w:bookmarkStart w:id="20" w:name="ขอบเขตและทมาของขอมล"/>
    <w:p>
      <w:pPr>
        <w:pStyle w:val="Heading1"/>
      </w:pPr>
      <w:r>
        <w:t xml:space="preserve">1. ขอบเขตและที่มาของข้อมูล</w:t>
      </w:r>
    </w:p>
    <w:p>
      <w:pPr>
        <w:pStyle w:val="FirstParagraph"/>
      </w:pPr>
      <w:r>
        <w:t xml:space="preserve">เอกสารนี้รวบรวมข้อมูลเชิงเทคนิคของแบตเตอรี่ที่พิมพ์บนฉลากว่า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HJ 802540 + 3.7V 600mAh</w:t>
      </w:r>
      <w:r>
        <w:rPr>
          <w:bCs/>
          <w:b/>
        </w:rPr>
        <w:t xml:space="preserve">”</w:t>
      </w:r>
      <w:r>
        <w:t xml:space="preserve"> </w:t>
      </w:r>
      <w:r>
        <w:t xml:space="preserve">(เซลล์ลิเธียมพอลิเมอร์แบบซองอะลูมิเนียม เซลล์เดียว</w:t>
      </w:r>
      <w:r>
        <w:t xml:space="preserve"> </w:t>
      </w:r>
      <w:r>
        <w:t xml:space="preserve">พร้อมสายสีแดง-ดำและขั้วต่อพลาสติกสีขาว ๒ ขา) ซึ่งเป็นแบตเตอรี่ขนาดที่พบมากในโดรนขนาดเล็ก</w:t>
      </w:r>
      <w:r>
        <w:t xml:space="preserve"> </w:t>
      </w:r>
      <w:r>
        <w:t xml:space="preserve">และอุปกรณ์อิเล็กทรอนิกส์พกพา</w:t>
      </w:r>
    </w:p>
    <w:p>
      <w:pPr>
        <w:pStyle w:val="BodyText"/>
      </w:pPr>
      <w:r>
        <w:rPr>
          <w:bCs/>
          <w:b/>
        </w:rPr>
        <w:t xml:space="preserve">ข้อจำกัดสำคัญ</w:t>
      </w:r>
      <w:r>
        <w:t xml:space="preserve"> </w:t>
      </w:r>
      <w:r>
        <w:t xml:space="preserve">ผู้ผลิตที่ใช้รหัส</w:t>
      </w:r>
      <w:r>
        <w:t xml:space="preserve"> </w:t>
      </w:r>
      <w:r>
        <w:t xml:space="preserve">“</w:t>
      </w:r>
      <w:r>
        <w:t xml:space="preserve">HJ</w:t>
      </w:r>
      <w:r>
        <w:t xml:space="preserve">”</w:t>
      </w:r>
      <w:r>
        <w:t xml:space="preserve"> </w:t>
      </w:r>
      <w:r>
        <w:t xml:space="preserve">ไม่ได้เผยแพร่เอกสารข้อมูลจำเพาะ (datasheet)</w:t>
      </w:r>
      <w:r>
        <w:t xml:space="preserve"> </w:t>
      </w:r>
      <w:r>
        <w:t xml:space="preserve">ต่อสาธารณะ ตัวเลขในเอกสารนี้จึงมาจาก ๓ แหล่งตามลำดับความน่าเชื่อถือ และระบุแหล่งไว้ทุกแถว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686"/>
        <w:gridCol w:w="4013"/>
        <w:gridCol w:w="3372"/>
      </w:tblGrid>
      <w:tr>
        <w:trPr>
          <w:tblHeader w:val="true"/>
        </w:trPr>
        <w:tc>
          <w:tcPr>
            <w:tcW w:type="dxa" w:w="168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สัญลักษณ์</w:t>
            </w:r>
          </w:p>
        </w:tc>
        <w:tc>
          <w:tcPr>
            <w:tcW w:type="dxa" w:w="401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แหล่ง</w:t>
            </w:r>
          </w:p>
        </w:tc>
        <w:tc>
          <w:tcPr>
            <w:tcW w:type="dxa" w:w="33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ความหมาย</w:t>
            </w:r>
          </w:p>
        </w:tc>
      </w:tr>
      <w:tr>
        <w:tc>
          <w:tcPr>
            <w:tcW w:type="dxa" w:w="168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[ฉ]</w:t>
            </w:r>
          </w:p>
        </w:tc>
        <w:tc>
          <w:tcPr>
            <w:tcW w:type="dxa" w:w="4013"/>
          </w:tcPr>
          <w:p>
            <w:pPr>
              <w:pStyle w:val="Compact"/>
              <w:jc w:val="left"/>
            </w:pPr>
            <w:r>
              <w:t xml:space="preserve">ฉลากบนตัวแบตเตอรี่</w:t>
            </w:r>
          </w:p>
        </w:tc>
        <w:tc>
          <w:tcPr>
            <w:tcW w:type="dxa" w:w="3372"/>
          </w:tcPr>
          <w:p>
            <w:pPr>
              <w:pStyle w:val="Compact"/>
              <w:jc w:val="left"/>
            </w:pPr>
            <w:r>
              <w:t xml:space="preserve">ข้อมูลที่ผู้ผลิตรับรองโดยตรง</w:t>
            </w:r>
          </w:p>
        </w:tc>
      </w:tr>
      <w:tr>
        <w:tc>
          <w:tcPr>
            <w:tcW w:type="dxa" w:w="168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[ม]</w:t>
            </w:r>
          </w:p>
        </w:tc>
        <w:tc>
          <w:tcPr>
            <w:tcW w:type="dxa" w:w="4013"/>
          </w:tcPr>
          <w:p>
            <w:pPr>
              <w:pStyle w:val="Compact"/>
              <w:jc w:val="left"/>
            </w:pPr>
            <w:r>
              <w:t xml:space="preserve">มาตรฐานสากล / datasheet ของเซลล์ขนาดและเคมีเดียวกัน</w:t>
            </w:r>
          </w:p>
        </w:tc>
        <w:tc>
          <w:tcPr>
            <w:tcW w:type="dxa" w:w="3372"/>
          </w:tcPr>
          <w:p>
            <w:pPr>
              <w:pStyle w:val="Compact"/>
              <w:jc w:val="left"/>
            </w:pPr>
            <w:r>
              <w:t xml:space="preserve">ค่าที่เซลล์ประเภทนี้</w:t>
            </w:r>
            <w:r>
              <w:t xml:space="preserve"> </w:t>
            </w:r>
            <w:r>
              <w:t xml:space="preserve">“</w:t>
            </w:r>
            <w:r>
              <w:t xml:space="preserve">ควร</w:t>
            </w:r>
            <w:r>
              <w:t xml:space="preserve">”</w:t>
            </w:r>
            <w:r>
              <w:t xml:space="preserve"> </w:t>
            </w:r>
            <w:r>
              <w:t xml:space="preserve">เป็น</w:t>
            </w:r>
          </w:p>
        </w:tc>
      </w:tr>
      <w:tr>
        <w:tc>
          <w:tcPr>
            <w:tcW w:type="dxa" w:w="1686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[ท]</w:t>
            </w:r>
          </w:p>
        </w:tc>
        <w:tc>
          <w:tcPr>
            <w:tcW w:type="dxa" w:w="4013"/>
          </w:tcPr>
          <w:p>
            <w:pPr>
              <w:pStyle w:val="Compact"/>
              <w:jc w:val="left"/>
            </w:pPr>
            <w:r>
              <w:t xml:space="preserve">ทฤษฎีไฟฟ้าเคมีและงานวิจัยที่ตีพิมพ์</w:t>
            </w:r>
          </w:p>
        </w:tc>
        <w:tc>
          <w:tcPr>
            <w:tcW w:type="dxa" w:w="3372"/>
          </w:tcPr>
          <w:p>
            <w:pPr>
              <w:pStyle w:val="Compact"/>
              <w:jc w:val="left"/>
            </w:pPr>
            <w:r>
              <w:t xml:space="preserve">ค่าคำนวณ หรือค่าทั่วไปของเคมีชนิดนี้</w:t>
            </w:r>
          </w:p>
        </w:tc>
      </w:tr>
    </w:tbl>
    <w:p>
      <w:pPr>
        <w:pStyle w:val="BodyText"/>
      </w:pPr>
      <w:r>
        <w:t xml:space="preserve">datasheet ที่ใช้เทียบหลักคือ</w:t>
      </w:r>
      <w:r>
        <w:t xml:space="preserve"> </w:t>
      </w:r>
      <w:r>
        <w:rPr>
          <w:bCs/>
          <w:b/>
        </w:rPr>
        <w:t xml:space="preserve">Renata ICP622540PMT</w:t>
      </w:r>
      <w:r>
        <w:t xml:space="preserve"> </w:t>
      </w:r>
      <w:r>
        <w:t xml:space="preserve">(3.7 V 600 mAh ลิเธียมพอลิเมอร์</w:t>
      </w:r>
      <w:r>
        <w:t xml:space="preserve"> </w:t>
      </w:r>
      <w:r>
        <w:t xml:space="preserve">ขนาดใกล้เคียงกัน) [R5] เพราะเป็นผู้ผลิตที่เผยแพร่ข้อมูลครบและตรวจสอบได้</w:t>
      </w:r>
      <w:r>
        <w:t xml:space="preserve"> </w:t>
      </w:r>
      <w:r>
        <w:t xml:space="preserve">ค่าใดที่จะใช้ตัดสินใจทางวิศวกรรม</w:t>
      </w:r>
      <w:r>
        <w:t xml:space="preserve"> </w:t>
      </w:r>
      <w:r>
        <w:rPr>
          <w:bCs/>
          <w:b/>
        </w:rPr>
        <w:t xml:space="preserve">ต้องยืนยันด้วยการวัดเซลล์จริงตามภาคผนวก ก</w:t>
      </w:r>
    </w:p>
    <w:bookmarkEnd w:id="20"/>
    <w:bookmarkStart w:id="21" w:name="การถอดรหสฉลาก"/>
    <w:p>
      <w:pPr>
        <w:pStyle w:val="Heading1"/>
      </w:pPr>
      <w:r>
        <w:t xml:space="preserve">2. การถอดรหัสฉลาก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347"/>
        <w:gridCol w:w="5498"/>
        <w:gridCol w:w="1226"/>
      </w:tblGrid>
      <w:tr>
        <w:trPr>
          <w:tblHeader w:val="true"/>
        </w:trPr>
        <w:tc>
          <w:tcPr>
            <w:tcW w:type="dxa" w:w="234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ข้อความบนฉลาก</w:t>
            </w:r>
          </w:p>
        </w:tc>
        <w:tc>
          <w:tcPr>
            <w:tcW w:type="dxa" w:w="549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ความหมาย</w:t>
            </w:r>
          </w:p>
        </w:tc>
        <w:tc>
          <w:tcPr>
            <w:tcW w:type="dxa" w:w="122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แหล่ง</w:t>
            </w:r>
          </w:p>
        </w:tc>
      </w:tr>
      <w:tr>
        <w:tc>
          <w:tcPr>
            <w:tcW w:type="dxa" w:w="234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HJ</w:t>
            </w:r>
          </w:p>
        </w:tc>
        <w:tc>
          <w:tcPr>
            <w:tcW w:type="dxa" w:w="5498"/>
          </w:tcPr>
          <w:p>
            <w:pPr>
              <w:pStyle w:val="Compact"/>
              <w:jc w:val="left"/>
            </w:pPr>
            <w:r>
              <w:t xml:space="preserve">รหัสผู้ผลิต/ตราสินค้า</w:t>
            </w:r>
          </w:p>
        </w:tc>
        <w:tc>
          <w:tcPr>
            <w:tcW w:type="dxa" w:w="1226"/>
          </w:tcPr>
          <w:p>
            <w:pPr>
              <w:pStyle w:val="Compact"/>
              <w:jc w:val="left"/>
            </w:pPr>
            <w:r>
              <w:t xml:space="preserve">[ฉ]</w:t>
            </w:r>
          </w:p>
        </w:tc>
      </w:tr>
      <w:tr>
        <w:tc>
          <w:tcPr>
            <w:tcW w:type="dxa" w:w="234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802540</w:t>
            </w:r>
          </w:p>
        </w:tc>
        <w:tc>
          <w:tcPr>
            <w:tcW w:type="dxa" w:w="5498"/>
          </w:tcPr>
          <w:p>
            <w:pPr>
              <w:pStyle w:val="Compact"/>
              <w:jc w:val="left"/>
            </w:pPr>
            <w:r>
              <w:t xml:space="preserve">รหัสขนาดเซลล์ซองตามธรรมเนียมอุตสาหกรรม: หนา</w:t>
            </w:r>
            <w:r>
              <w:t xml:space="preserve"> </w:t>
            </w:r>
            <w:r>
              <w:rPr>
                <w:bCs/>
                <w:b/>
              </w:rPr>
              <w:t xml:space="preserve">8.0 mm</w:t>
            </w:r>
            <w:r>
              <w:t xml:space="preserve"> </w:t>
            </w:r>
            <w:r>
              <w:t xml:space="preserve">× กว้าง</w:t>
            </w:r>
            <w:r>
              <w:t xml:space="preserve"> </w:t>
            </w:r>
            <w:r>
              <w:rPr>
                <w:bCs/>
                <w:b/>
              </w:rPr>
              <w:t xml:space="preserve">25 mm</w:t>
            </w:r>
            <w:r>
              <w:t xml:space="preserve"> </w:t>
            </w:r>
            <w:r>
              <w:t xml:space="preserve">× ยาว</w:t>
            </w:r>
            <w:r>
              <w:t xml:space="preserve"> </w:t>
            </w:r>
            <w:r>
              <w:rPr>
                <w:bCs/>
                <w:b/>
              </w:rPr>
              <w:t xml:space="preserve">40 mm</w:t>
            </w:r>
            <w:r>
              <w:t xml:space="preserve"> </w:t>
            </w:r>
            <w:r>
              <w:t xml:space="preserve">(ตัวเลข ๒-๒-๒ หลัก หน่วยมิลลิเมตร หลักแรกเป็นทศนิยม 1 ตำแหน่งของความหนา)</w:t>
            </w:r>
          </w:p>
        </w:tc>
        <w:tc>
          <w:tcPr>
            <w:tcW w:type="dxa" w:w="1226"/>
          </w:tcPr>
          <w:p>
            <w:pPr>
              <w:pStyle w:val="Compact"/>
              <w:jc w:val="left"/>
            </w:pPr>
            <w:r>
              <w:t xml:space="preserve">[ม]</w:t>
            </w:r>
          </w:p>
        </w:tc>
      </w:tr>
      <w:tr>
        <w:tc>
          <w:tcPr>
            <w:tcW w:type="dxa" w:w="234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+ 3.7V</w:t>
            </w:r>
          </w:p>
        </w:tc>
        <w:tc>
          <w:tcPr>
            <w:tcW w:type="dxa" w:w="5498"/>
          </w:tcPr>
          <w:p>
            <w:pPr>
              <w:pStyle w:val="Compact"/>
              <w:jc w:val="left"/>
            </w:pPr>
            <w:r>
              <w:t xml:space="preserve">แรงดันกำหนด (nominal) ของเซลล์ลิเธียม-โคบอลต์ออกไซด์ (LiCoO₂) กับขั้วลบกราไฟต์</w:t>
            </w:r>
          </w:p>
        </w:tc>
        <w:tc>
          <w:tcPr>
            <w:tcW w:type="dxa" w:w="1226"/>
          </w:tcPr>
          <w:p>
            <w:pPr>
              <w:pStyle w:val="Compact"/>
              <w:jc w:val="left"/>
            </w:pPr>
            <w:r>
              <w:t xml:space="preserve">[ฉ] [ท]</w:t>
            </w:r>
          </w:p>
        </w:tc>
      </w:tr>
      <w:tr>
        <w:tc>
          <w:tcPr>
            <w:tcW w:type="dxa" w:w="234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600mAh</w:t>
            </w:r>
          </w:p>
        </w:tc>
        <w:tc>
          <w:tcPr>
            <w:tcW w:type="dxa" w:w="5498"/>
          </w:tcPr>
          <w:p>
            <w:pPr>
              <w:pStyle w:val="Compact"/>
              <w:jc w:val="left"/>
            </w:pPr>
            <w:r>
              <w:t xml:space="preserve">ความจุกำหนด (rated capacity) เมื่อคายประจุที่อัตราต่ำ (ปกติ 0.2C) จาก 4.2 V ลงถึง 3.0 V</w:t>
            </w:r>
          </w:p>
        </w:tc>
        <w:tc>
          <w:tcPr>
            <w:tcW w:type="dxa" w:w="1226"/>
          </w:tcPr>
          <w:p>
            <w:pPr>
              <w:pStyle w:val="Compact"/>
              <w:jc w:val="left"/>
            </w:pPr>
            <w:r>
              <w:t xml:space="preserve">[ฉ] [ม]</w:t>
            </w:r>
          </w:p>
        </w:tc>
      </w:tr>
      <w:tr>
        <w:tc>
          <w:tcPr>
            <w:tcW w:type="dxa" w:w="2347"/>
          </w:tcPr>
          <w:p>
            <w:pPr>
              <w:pStyle w:val="Compact"/>
              <w:jc w:val="left"/>
            </w:pPr>
            <w:r>
              <w:t xml:space="preserve">ถังขยะมีกากบาท</w:t>
            </w:r>
          </w:p>
        </w:tc>
        <w:tc>
          <w:tcPr>
            <w:tcW w:type="dxa" w:w="5498"/>
          </w:tcPr>
          <w:p>
            <w:pPr>
              <w:pStyle w:val="Compact"/>
              <w:jc w:val="left"/>
            </w:pPr>
            <w:r>
              <w:t xml:space="preserve">สัญลักษณ์ห้ามทิ้งปนขยะทั่วไป ตามระเบียบ WEEE / ระเบียบแบตเตอรี่ของสหภาพยุโรป</w:t>
            </w:r>
          </w:p>
        </w:tc>
        <w:tc>
          <w:tcPr>
            <w:tcW w:type="dxa" w:w="1226"/>
          </w:tcPr>
          <w:p>
            <w:pPr>
              <w:pStyle w:val="Compact"/>
              <w:jc w:val="left"/>
            </w:pPr>
            <w:r>
              <w:t xml:space="preserve">[ฉ] [R12]</w:t>
            </w:r>
          </w:p>
        </w:tc>
      </w:tr>
      <w:tr>
        <w:tc>
          <w:tcPr>
            <w:tcW w:type="dxa" w:w="2347"/>
          </w:tcPr>
          <w:p>
            <w:pPr>
              <w:pStyle w:val="Compact"/>
              <w:jc w:val="left"/>
            </w:pPr>
            <w:r>
              <w:t xml:space="preserve">สายแดง (+) ดำ (−) ขั้วต่อขาว ๒ ขา</w:t>
            </w:r>
          </w:p>
        </w:tc>
        <w:tc>
          <w:tcPr>
            <w:tcW w:type="dxa" w:w="5498"/>
          </w:tcPr>
          <w:p>
            <w:pPr>
              <w:pStyle w:val="Compact"/>
              <w:jc w:val="left"/>
            </w:pPr>
            <w:r>
              <w:t xml:space="preserve">ขั้วต่อระยะห่างขา 2.0 mm แบบที่ใช้ในโดรนขนาดเล็ก (มักเรียก Molex 51005 /</w:t>
            </w:r>
            <w:r>
              <w:t xml:space="preserve"> </w:t>
            </w:r>
            <w:r>
              <w:t xml:space="preserve">“</w:t>
            </w:r>
            <w:r>
              <w:t xml:space="preserve">Syma</w:t>
            </w:r>
            <w:r>
              <w:t xml:space="preserve">”</w:t>
            </w:r>
            <w:r>
              <w:t xml:space="preserve">) —</w:t>
            </w:r>
            <w:r>
              <w:t xml:space="preserve"> </w:t>
            </w:r>
            <w:r>
              <w:rPr>
                <w:bCs/>
                <w:b/>
              </w:rPr>
              <w:t xml:space="preserve">ไม่ใช่</w:t>
            </w:r>
            <w:r>
              <w:t xml:space="preserve"> </w:t>
            </w:r>
            <w:r>
              <w:t xml:space="preserve">JST-PH และเสียบสลับขั้วได้ถ้าใส่ผิดด้าน ต้องตรวจขั้วด้วยมัลติมิเตอร์ก่อนต่อเข้าวงจรทุกครั้ง</w:t>
            </w:r>
          </w:p>
        </w:tc>
        <w:tc>
          <w:tcPr>
            <w:tcW w:type="dxa" w:w="1226"/>
          </w:tcPr>
          <w:p>
            <w:pPr>
              <w:pStyle w:val="Compact"/>
              <w:jc w:val="left"/>
            </w:pPr>
            <w:r>
              <w:t xml:space="preserve">[ม]</w:t>
            </w:r>
          </w:p>
        </w:tc>
      </w:tr>
    </w:tbl>
    <w:bookmarkEnd w:id="21"/>
    <w:bookmarkStart w:id="23" w:name="ขอมลจำเพาะทางไฟฟา"/>
    <w:p>
      <w:pPr>
        <w:pStyle w:val="Heading1"/>
      </w:pPr>
      <w:r>
        <w:t xml:space="preserve">3. ข้อมูลจำเพาะทางไฟฟ้า</w:t>
      </w:r>
    </w:p>
    <w:p>
      <w:pPr>
        <w:pStyle w:val="FirstParagraph"/>
      </w:pPr>
      <w:r>
        <w:t xml:space="preserve">ตาราง 1 ข้อมูลจำเพาะทางไฟฟ้า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784"/>
        <w:gridCol w:w="4318"/>
        <w:gridCol w:w="1968"/>
      </w:tblGrid>
      <w:tr>
        <w:trPr>
          <w:tblHeader w:val="true"/>
        </w:trPr>
        <w:tc>
          <w:tcPr>
            <w:tcW w:type="dxa" w:w="278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รายการ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ค่า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แหล่ง / หมายเหตุ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jc w:val="left"/>
            </w:pPr>
            <w:r>
              <w:t xml:space="preserve">เคมี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t xml:space="preserve">ลิเธียมไอออนพอลิเมอร์ (LiCoO₂ / กราไฟต์, อิเล็กโทรไลต์เจล)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t xml:space="preserve">[ท] R1, R2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jc w:val="left"/>
            </w:pPr>
            <w:r>
              <w:t xml:space="preserve">แรงดันกำหนด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t xml:space="preserve">3.7 V (บางผู้ผลิตระบุ 3.6–3.8 V)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t xml:space="preserve">[ฉ]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jc w:val="left"/>
            </w:pPr>
            <w:r>
              <w:t xml:space="preserve">แรงดันชาร์จเต็ม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4.20 V ± 0.05 V</w:t>
            </w:r>
            <w:r>
              <w:t xml:space="preserve"> </w:t>
            </w:r>
            <w:r>
              <w:t xml:space="preserve">(ห้ามเกิน 4.25 V)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t xml:space="preserve">[ม] R5, R6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jc w:val="left"/>
            </w:pPr>
            <w:r>
              <w:t xml:space="preserve">แรงดันตัดการคายประจุ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t xml:space="preserve">3.0 V (ปลายทางการวัดความจุ) / ต่ำสุดที่ยอมรับ 2.75 V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t xml:space="preserve">[ม] R5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jc w:val="left"/>
            </w:pPr>
            <w:r>
              <w:t xml:space="preserve">ความจุกำหนด / ความจุต่ำสุด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t xml:space="preserve">600 mAh / ≈ 550 mAh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t xml:space="preserve">[ฉ] / [ม] R5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jc w:val="left"/>
            </w:pPr>
            <w:r>
              <w:t xml:space="preserve">พลังงานกำหนด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t xml:space="preserve">3.7 V × 0.600 Ah =</w:t>
            </w:r>
            <w:r>
              <w:t xml:space="preserve"> </w:t>
            </w:r>
            <w:r>
              <w:rPr>
                <w:bCs/>
                <w:b/>
              </w:rPr>
              <w:t xml:space="preserve">2.22 Wh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t xml:space="preserve">[ท] คำนวณ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jc w:val="left"/>
            </w:pPr>
            <w:r>
              <w:t xml:space="preserve">วิธีชาร์จ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t xml:space="preserve">กระแสคงที่-แรงดันคงที่ (CC/CV) ตัดเมื่อกระแสลดเหลือ ≈ 0.05C (30 mA)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t xml:space="preserve">[ม] R5, R6, R10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jc w:val="left"/>
            </w:pPr>
            <w:r>
              <w:t xml:space="preserve">กระแสชาร์จมาตรฐาน / สูงสุด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t xml:space="preserve">0.5C =</w:t>
            </w:r>
            <w:r>
              <w:t xml:space="preserve"> </w:t>
            </w:r>
            <w:r>
              <w:rPr>
                <w:bCs/>
                <w:b/>
              </w:rPr>
              <w:t xml:space="preserve">300 mA</w:t>
            </w:r>
            <w:r>
              <w:t xml:space="preserve"> </w:t>
            </w:r>
            <w:r>
              <w:t xml:space="preserve">/ 1C = 600 mA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t xml:space="preserve">[ม] R5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jc w:val="left"/>
            </w:pPr>
            <w:r>
              <w:t xml:space="preserve">กระแสคายประจุต่อเนื่อง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t xml:space="preserve">1C = 600 mA สำหรับเซลล์ทั่วไป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t xml:space="preserve">[ม] R5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jc w:val="left"/>
            </w:pPr>
            <w:r>
              <w:t xml:space="preserve">กระแสคายประจุสำหรับเซลล์รุ่นโดรน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t xml:space="preserve">ผู้ขายมักอ้าง 15C–25C (9–15 A) แต่ฉลากเซลล์นี้</w:t>
            </w:r>
            <w:r>
              <w:t xml:space="preserve"> </w:t>
            </w:r>
            <w:r>
              <w:rPr>
                <w:bCs/>
                <w:b/>
              </w:rPr>
              <w:t xml:space="preserve">ไม่ระบุ</w:t>
            </w:r>
            <w:r>
              <w:t xml:space="preserve"> </w:t>
            </w:r>
            <w:r>
              <w:t xml:space="preserve">จึงห้ามใช้ค่านี้ออกแบบ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t xml:space="preserve">[ม] ไม่มีหลักฐาน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jc w:val="left"/>
            </w:pPr>
            <w:r>
              <w:t xml:space="preserve">ความต้านทานภายใน (AC 1 kHz)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t xml:space="preserve">≈ 50–150 mΩ รวมวงจรป้องกัน (เซลล์ใหม่)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t xml:space="preserve">[ม] [ท] R1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jc w:val="left"/>
            </w:pPr>
            <w:r>
              <w:t xml:space="preserve">อัตราคายประจุเอง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t xml:space="preserve">≈ 2–3 % ต่อเดือนที่ 20 °C บวกอีก ≈ 3 % ต่อเดือนจากวงจรป้องกัน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t xml:space="preserve">[ท] R8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jc w:val="left"/>
            </w:pPr>
            <w:r>
              <w:t xml:space="preserve">อุณหภูมิชาร์จ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t xml:space="preserve">0 °C ถึง 45 °C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t xml:space="preserve">[ม] R5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jc w:val="left"/>
            </w:pPr>
            <w:r>
              <w:t xml:space="preserve">อุณหภูมิคายประจุ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t xml:space="preserve">−20 °C ถึง 60 °C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t xml:space="preserve">[ม] R5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jc w:val="left"/>
            </w:pPr>
            <w:r>
              <w:t xml:space="preserve">อุณหภูมิเก็บรักษา</w:t>
            </w:r>
          </w:p>
        </w:tc>
        <w:tc>
          <w:tcPr>
            <w:tcW w:type="dxa" w:w="4318"/>
          </w:tcPr>
          <w:p>
            <w:pPr>
              <w:pStyle w:val="Compact"/>
              <w:jc w:val="left"/>
            </w:pPr>
            <w:r>
              <w:t xml:space="preserve">−20 °C ถึง 35 °C (ระยะยาว ≤ 25 °C)</w:t>
            </w:r>
          </w:p>
        </w:tc>
        <w:tc>
          <w:tcPr>
            <w:tcW w:type="dxa" w:w="1968"/>
          </w:tcPr>
          <w:p>
            <w:pPr>
              <w:pStyle w:val="Compact"/>
              <w:jc w:val="left"/>
            </w:pPr>
            <w:r>
              <w:t xml:space="preserve">[ม] R5, R9</w:t>
            </w:r>
          </w:p>
        </w:tc>
      </w:tr>
    </w:tbl>
    <w:bookmarkStart w:id="22" w:name="วงจรปองกน-pcm"/>
    <w:p>
      <w:pPr>
        <w:pStyle w:val="Heading2"/>
      </w:pPr>
      <w:r>
        <w:t xml:space="preserve">3.1 วงจรป้องกัน (PCM)</w:t>
      </w:r>
    </w:p>
    <w:p>
      <w:pPr>
        <w:pStyle w:val="FirstParagraph"/>
      </w:pPr>
      <w:r>
        <w:t xml:space="preserve">เซลล์ขายปลีกแบบนี้มักมีแผ่นวงจรป้องกันเล็ก ๆ ซ่อนอยู่ใต้เทปฝั่งขั้ว (ส่วนสีฟ้าด้านซ้ายในภาพ)</w:t>
      </w:r>
      <w:r>
        <w:t xml:space="preserve"> </w:t>
      </w:r>
      <w:r>
        <w:t xml:space="preserve">ประกอบด้วยไอซีป้องกันตระกูล DW01 กับมอสเฟตคู่ 8205A ค่าตัดของไอซี DW01-P [R11]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137"/>
        <w:gridCol w:w="2773"/>
        <w:gridCol w:w="4160"/>
      </w:tblGrid>
      <w:tr>
        <w:trPr>
          <w:tblHeader w:val="true"/>
        </w:trPr>
        <w:tc>
          <w:tcPr>
            <w:tcW w:type="dxa" w:w="213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การป้องกัน</w:t>
            </w:r>
          </w:p>
        </w:tc>
        <w:tc>
          <w:tcPr>
            <w:tcW w:type="dxa" w:w="277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ค่าตัด (ตามไอซี DW01-P)</w:t>
            </w:r>
          </w:p>
        </w:tc>
        <w:tc>
          <w:tcPr>
            <w:tcW w:type="dxa" w:w="416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ผลต่อการใช้งาน</w:t>
            </w:r>
          </w:p>
        </w:tc>
      </w:tr>
      <w:tr>
        <w:tc>
          <w:tcPr>
            <w:tcW w:type="dxa" w:w="2137"/>
          </w:tcPr>
          <w:p>
            <w:pPr>
              <w:pStyle w:val="Compact"/>
              <w:jc w:val="left"/>
            </w:pPr>
            <w:r>
              <w:t xml:space="preserve">ชาร์จเกิน</w:t>
            </w:r>
          </w:p>
        </w:tc>
        <w:tc>
          <w:tcPr>
            <w:tcW w:type="dxa" w:w="2773"/>
          </w:tcPr>
          <w:p>
            <w:pPr>
              <w:pStyle w:val="Compact"/>
              <w:jc w:val="left"/>
            </w:pPr>
            <w:r>
              <w:t xml:space="preserve">4.30 V ± 0.05 V</w:t>
            </w:r>
          </w:p>
        </w:tc>
        <w:tc>
          <w:tcPr>
            <w:tcW w:type="dxa" w:w="4160"/>
          </w:tcPr>
          <w:p>
            <w:pPr>
              <w:pStyle w:val="Compact"/>
              <w:jc w:val="left"/>
            </w:pPr>
            <w:r>
              <w:t xml:space="preserve">เป็นเพียงด่านสุดท้าย ตัวชาร์จต้องหยุดที่ 4.20 V เอง</w:t>
            </w:r>
          </w:p>
        </w:tc>
      </w:tr>
      <w:tr>
        <w:tc>
          <w:tcPr>
            <w:tcW w:type="dxa" w:w="2137"/>
          </w:tcPr>
          <w:p>
            <w:pPr>
              <w:pStyle w:val="Compact"/>
              <w:jc w:val="left"/>
            </w:pPr>
            <w:r>
              <w:t xml:space="preserve">คายประจุเกิน</w:t>
            </w:r>
          </w:p>
        </w:tc>
        <w:tc>
          <w:tcPr>
            <w:tcW w:type="dxa" w:w="2773"/>
          </w:tcPr>
          <w:p>
            <w:pPr>
              <w:pStyle w:val="Compact"/>
              <w:jc w:val="left"/>
            </w:pPr>
            <w:r>
              <w:t xml:space="preserve">2.40 V ± 0.10 V</w:t>
            </w:r>
          </w:p>
        </w:tc>
        <w:tc>
          <w:tcPr>
            <w:tcW w:type="dxa" w:w="4160"/>
          </w:tcPr>
          <w:p>
            <w:pPr>
              <w:pStyle w:val="Compact"/>
              <w:jc w:val="left"/>
            </w:pPr>
            <w:r>
              <w:t xml:space="preserve">ต่ำกว่าจุดที่ดีต่ออายุเซลล์มาก เฟิร์มแวร์ควรหยุดใช้งานเองตั้งแต่ ≈ 3.3 V</w:t>
            </w:r>
          </w:p>
        </w:tc>
      </w:tr>
      <w:tr>
        <w:tc>
          <w:tcPr>
            <w:tcW w:type="dxa" w:w="2137"/>
          </w:tcPr>
          <w:p>
            <w:pPr>
              <w:pStyle w:val="Compact"/>
              <w:jc w:val="left"/>
            </w:pPr>
            <w:r>
              <w:t xml:space="preserve">กระแสเกิน / ลัดวงจร</w:t>
            </w:r>
          </w:p>
        </w:tc>
        <w:tc>
          <w:tcPr>
            <w:tcW w:type="dxa" w:w="2773"/>
          </w:tcPr>
          <w:p>
            <w:pPr>
              <w:pStyle w:val="Compact"/>
              <w:jc w:val="left"/>
            </w:pPr>
            <w:r>
              <w:t xml:space="preserve">แรงดันตกคร่อมมอสเฟต 0.15 V ≈ 3 A</w:t>
            </w:r>
          </w:p>
        </w:tc>
        <w:tc>
          <w:tcPr>
            <w:tcW w:type="dxa" w:w="4160"/>
          </w:tcPr>
          <w:p>
            <w:pPr>
              <w:pStyle w:val="Compact"/>
              <w:jc w:val="left"/>
            </w:pPr>
            <w:r>
              <w:t xml:space="preserve">ป้องกันการลัดวงจร ไม่ได้ป้องกันการใช้งานหนักเกินพิกัดเซลล์</w:t>
            </w:r>
          </w:p>
        </w:tc>
      </w:tr>
    </w:tbl>
    <w:p>
      <w:pPr>
        <w:pStyle w:val="BodyText"/>
      </w:pPr>
      <w:r>
        <w:rPr>
          <w:bCs/>
          <w:b/>
        </w:rPr>
        <w:t xml:space="preserve">ต้องยืนยันว่ามี PCM จริง</w:t>
      </w:r>
      <w:r>
        <w:t xml:space="preserve"> </w:t>
      </w:r>
      <w:r>
        <w:t xml:space="preserve">โดยแกะเทปดู หรือวัดว่าแรงดันที่สายกลับขึ้นมาหลังลัดวงจรชั่วขณะผ่าน</w:t>
      </w:r>
      <w:r>
        <w:t xml:space="preserve"> </w:t>
      </w:r>
      <w:r>
        <w:t xml:space="preserve">ตัวต้านทาน 1 Ω (ทำได้เฉพาะผู้มีความชำนาญ) ถ้าไม่มี PCM ต้องใช้โมดูลชาร์จที่มีวงจรป้องกันในตัวเท่านั้น</w:t>
      </w:r>
    </w:p>
    <w:bookmarkEnd w:id="22"/>
    <w:bookmarkEnd w:id="23"/>
    <w:bookmarkStart w:id="24" w:name="ขอมลจำเพาะทางกายภาพ"/>
    <w:p>
      <w:pPr>
        <w:pStyle w:val="Heading1"/>
      </w:pPr>
      <w:r>
        <w:t xml:space="preserve">4. ข้อมูลจำเพาะทางกายภาพ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699"/>
        <w:gridCol w:w="3580"/>
        <w:gridCol w:w="2791"/>
      </w:tblGrid>
      <w:tr>
        <w:trPr>
          <w:tblHeader w:val="true"/>
        </w:trPr>
        <w:tc>
          <w:tcPr>
            <w:tcW w:type="dxa" w:w="269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รายการ</w:t>
            </w:r>
          </w:p>
        </w:tc>
        <w:tc>
          <w:tcPr>
            <w:tcW w:type="dxa" w:w="35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ค่า</w:t>
            </w:r>
          </w:p>
        </w:tc>
        <w:tc>
          <w:tcPr>
            <w:tcW w:type="dxa" w:w="279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แหล่ง</w:t>
            </w:r>
          </w:p>
        </w:tc>
      </w:tr>
      <w:tr>
        <w:tc>
          <w:tcPr>
            <w:tcW w:type="dxa" w:w="2699"/>
          </w:tcPr>
          <w:p>
            <w:pPr>
              <w:pStyle w:val="Compact"/>
              <w:jc w:val="left"/>
            </w:pPr>
            <w:r>
              <w:t xml:space="preserve">ขนาด (ไม่รวมสาย)</w:t>
            </w:r>
          </w:p>
        </w:tc>
        <w:tc>
          <w:tcPr>
            <w:tcW w:type="dxa" w:w="3580"/>
          </w:tcPr>
          <w:p>
            <w:pPr>
              <w:pStyle w:val="Compact"/>
              <w:jc w:val="left"/>
            </w:pPr>
            <w:r>
              <w:t xml:space="preserve">8.0 × 25 × 40 mm (เผื่อ +0.5 mm ทุกด้าน)</w:t>
            </w:r>
          </w:p>
        </w:tc>
        <w:tc>
          <w:tcPr>
            <w:tcW w:type="dxa" w:w="2791"/>
          </w:tcPr>
          <w:p>
            <w:pPr>
              <w:pStyle w:val="Compact"/>
              <w:jc w:val="left"/>
            </w:pPr>
            <w:r>
              <w:t xml:space="preserve">[ม] รหัสขนาด</w:t>
            </w:r>
          </w:p>
        </w:tc>
      </w:tr>
      <w:tr>
        <w:tc>
          <w:tcPr>
            <w:tcW w:type="dxa" w:w="2699"/>
          </w:tcPr>
          <w:p>
            <w:pPr>
              <w:pStyle w:val="Compact"/>
              <w:jc w:val="left"/>
            </w:pPr>
            <w:r>
              <w:t xml:space="preserve">น้ำหนัก</w:t>
            </w:r>
          </w:p>
        </w:tc>
        <w:tc>
          <w:tcPr>
            <w:tcW w:type="dxa" w:w="3580"/>
          </w:tcPr>
          <w:p>
            <w:pPr>
              <w:pStyle w:val="Compact"/>
              <w:jc w:val="left"/>
            </w:pPr>
            <w:r>
              <w:t xml:space="preserve">≈ 14–16 g</w:t>
            </w:r>
          </w:p>
        </w:tc>
        <w:tc>
          <w:tcPr>
            <w:tcW w:type="dxa" w:w="2791"/>
          </w:tcPr>
          <w:p>
            <w:pPr>
              <w:pStyle w:val="Compact"/>
              <w:jc w:val="left"/>
            </w:pPr>
            <w:r>
              <w:t xml:space="preserve">[ม] ประมาณจากความหนาแน่นพลังงาน</w:t>
            </w:r>
          </w:p>
        </w:tc>
      </w:tr>
      <w:tr>
        <w:tc>
          <w:tcPr>
            <w:tcW w:type="dxa" w:w="2699"/>
          </w:tcPr>
          <w:p>
            <w:pPr>
              <w:pStyle w:val="Compact"/>
              <w:jc w:val="left"/>
            </w:pPr>
            <w:r>
              <w:t xml:space="preserve">ความหนาแน่นพลังงานเชิงน้ำหนัก</w:t>
            </w:r>
          </w:p>
        </w:tc>
        <w:tc>
          <w:tcPr>
            <w:tcW w:type="dxa" w:w="3580"/>
          </w:tcPr>
          <w:p>
            <w:pPr>
              <w:pStyle w:val="Compact"/>
              <w:jc w:val="left"/>
            </w:pPr>
            <w:r>
              <w:t xml:space="preserve">≈ 140–160 Wh/kg</w:t>
            </w:r>
          </w:p>
        </w:tc>
        <w:tc>
          <w:tcPr>
            <w:tcW w:type="dxa" w:w="2791"/>
          </w:tcPr>
          <w:p>
            <w:pPr>
              <w:pStyle w:val="Compact"/>
              <w:jc w:val="left"/>
            </w:pPr>
            <w:r>
              <w:t xml:space="preserve">[ท] 2.22 Wh ÷ 0.015 kg</w:t>
            </w:r>
          </w:p>
        </w:tc>
      </w:tr>
      <w:tr>
        <w:tc>
          <w:tcPr>
            <w:tcW w:type="dxa" w:w="2699"/>
          </w:tcPr>
          <w:p>
            <w:pPr>
              <w:pStyle w:val="Compact"/>
              <w:jc w:val="left"/>
            </w:pPr>
            <w:r>
              <w:t xml:space="preserve">ความหนาแน่นพลังงานเชิงปริมาตร</w:t>
            </w:r>
          </w:p>
        </w:tc>
        <w:tc>
          <w:tcPr>
            <w:tcW w:type="dxa" w:w="3580"/>
          </w:tcPr>
          <w:p>
            <w:pPr>
              <w:pStyle w:val="Compact"/>
              <w:jc w:val="left"/>
            </w:pPr>
            <w:r>
              <w:t xml:space="preserve">≈ 280 Wh/L</w:t>
            </w:r>
          </w:p>
        </w:tc>
        <w:tc>
          <w:tcPr>
            <w:tcW w:type="dxa" w:w="2791"/>
          </w:tcPr>
          <w:p>
            <w:pPr>
              <w:pStyle w:val="Compact"/>
              <w:jc w:val="left"/>
            </w:pPr>
            <w:r>
              <w:t xml:space="preserve">[ท] 2.22 Wh ÷ 8 cm³</w:t>
            </w:r>
          </w:p>
        </w:tc>
      </w:tr>
      <w:tr>
        <w:tc>
          <w:tcPr>
            <w:tcW w:type="dxa" w:w="2699"/>
          </w:tcPr>
          <w:p>
            <w:pPr>
              <w:pStyle w:val="Compact"/>
              <w:jc w:val="left"/>
            </w:pPr>
            <w:r>
              <w:t xml:space="preserve">เปลือก</w:t>
            </w:r>
          </w:p>
        </w:tc>
        <w:tc>
          <w:tcPr>
            <w:tcW w:type="dxa" w:w="3580"/>
          </w:tcPr>
          <w:p>
            <w:pPr>
              <w:pStyle w:val="Compact"/>
              <w:jc w:val="left"/>
            </w:pPr>
            <w:r>
              <w:t xml:space="preserve">ซองอะลูมิเนียมลามิเนต (pouch) ไม่มีวาล์วระบายแรงดัน</w:t>
            </w:r>
          </w:p>
        </w:tc>
        <w:tc>
          <w:tcPr>
            <w:tcW w:type="dxa" w:w="2791"/>
          </w:tcPr>
          <w:p>
            <w:pPr>
              <w:pStyle w:val="Compact"/>
              <w:jc w:val="left"/>
            </w:pPr>
            <w:r>
              <w:t xml:space="preserve">[ม] R1</w:t>
            </w:r>
          </w:p>
        </w:tc>
      </w:tr>
    </w:tbl>
    <w:p>
      <w:pPr>
        <w:pStyle w:val="BodyText"/>
      </w:pPr>
      <w:r>
        <w:t xml:space="preserve">ซองแบบ pouch</w:t>
      </w:r>
      <w:r>
        <w:t xml:space="preserve"> </w:t>
      </w:r>
      <w:r>
        <w:rPr>
          <w:bCs/>
          <w:b/>
        </w:rPr>
        <w:t xml:space="preserve">บวมได้</w:t>
      </w:r>
      <w:r>
        <w:t xml:space="preserve"> </w:t>
      </w:r>
      <w:r>
        <w:t xml:space="preserve">เมื่อเสื่อมหรือถูกใช้ผิดวิธี กล่องต้องเผื่อช่องว่างด้านความหนา</w:t>
      </w:r>
      <w:r>
        <w:t xml:space="preserve"> </w:t>
      </w:r>
      <w:r>
        <w:t xml:space="preserve">≈ 8–10 % (ราว 0.8 mm) และห้ามบีบอัดเซลล์ด้วยโครงหรือสกรู [R1, R7]</w:t>
      </w:r>
    </w:p>
    <w:bookmarkEnd w:id="24"/>
    <w:bookmarkStart w:id="31" w:name="ทฤษฎการทำงาน"/>
    <w:p>
      <w:pPr>
        <w:pStyle w:val="Heading1"/>
      </w:pPr>
      <w:r>
        <w:t xml:space="preserve">5. ทฤษฎีการทำงาน</w:t>
      </w:r>
    </w:p>
    <w:bookmarkStart w:id="25" w:name="ปฏกรยาไฟฟาเคม"/>
    <w:p>
      <w:pPr>
        <w:pStyle w:val="Heading2"/>
      </w:pPr>
      <w:r>
        <w:t xml:space="preserve">5.1 ปฏิกิริยาไฟฟ้าเคมี</w:t>
      </w:r>
    </w:p>
    <w:p>
      <w:pPr>
        <w:pStyle w:val="FirstParagraph"/>
      </w:pPr>
      <w:r>
        <w:t xml:space="preserve">ขณะคายประจุ ลิเธียมไอออนเคลื่อนออกจากชั้นกราไฟต์ (ขั้วลบ) ผ่านอิเล็กโทรไลต์เจล</w:t>
      </w:r>
      <w:r>
        <w:t xml:space="preserve"> </w:t>
      </w:r>
      <w:r>
        <w:t xml:space="preserve">ไปแทรกในโครงผลึก LiCoO₂ (ขั้วบวก) ส่วนอิเล็กตรอนไหลผ่านวงจรภายนอก [R1, R2]</w:t>
      </w:r>
    </w:p>
    <w:p>
      <w:pPr>
        <w:pStyle w:val="SourceCode"/>
      </w:pPr>
      <w:r>
        <w:rPr>
          <w:rStyle w:val="VerbatimChar"/>
        </w:rPr>
        <w:t xml:space="preserve">Cathode (+) :  Li(1−x)CoO₂ + x Li⁺ + x e⁻   ⇌   LiCoO₂</w:t>
      </w:r>
      <w:r>
        <w:br/>
      </w:r>
      <w:r>
        <w:rPr>
          <w:rStyle w:val="VerbatimChar"/>
        </w:rPr>
        <w:t xml:space="preserve">Anode   (−) :  LiₓC₆                         ⇌   C₆ + x Li⁺ + x e⁻</w:t>
      </w:r>
      <w:r>
        <w:br/>
      </w:r>
      <w:r>
        <w:rPr>
          <w:rStyle w:val="VerbatimChar"/>
        </w:rPr>
        <w:t xml:space="preserve">Overall     :  Li(1−x)CoO₂ + LiₓC₆           ⇌   LiCoO₂ + C₆</w:t>
      </w:r>
    </w:p>
    <w:p>
      <w:pPr>
        <w:pStyle w:val="FirstParagraph"/>
      </w:pPr>
      <w:r>
        <w:t xml:space="preserve">ปฏิกิริยาไปทางขวาคือการคายประจุ ไปทางซ้ายคือการชาร์จ</w:t>
      </w:r>
      <w:r>
        <w:t xml:space="preserve"> </w:t>
      </w:r>
      <w:r>
        <w:t xml:space="preserve">ความต่างศักย์ของคู่ขั้วนี้อยู่ราว 3.0–4.2 V และใช้ได้เพียง x ≈ 0.5 ของลิเธียมในขั้วบวก</w:t>
      </w:r>
      <w:r>
        <w:t xml:space="preserve"> </w:t>
      </w:r>
      <w:r>
        <w:t xml:space="preserve">การชาร์จเกิน 4.2 V ดึงลิเธียมออกเกินจุดนี้ ทำให้โครงผลึกขั้วบวกเสียรูปถาวรและอิเล็กโทรไลต์แตกตัว</w:t>
      </w:r>
      <w:r>
        <w:t xml:space="preserve"> </w:t>
      </w:r>
      <w:r>
        <w:t xml:space="preserve">ซึ่งเป็นเหตุผลทางทฤษฎีที่แรงดันชาร์จเต็มถูกตรึงไว้ที่ 4.20 V [R1, R2]</w:t>
      </w:r>
    </w:p>
    <w:bookmarkEnd w:id="25"/>
    <w:bookmarkStart w:id="26" w:name="ความจ-พลงงาน-และเวลาใชงาน"/>
    <w:p>
      <w:pPr>
        <w:pStyle w:val="Heading2"/>
      </w:pPr>
      <w:r>
        <w:t xml:space="preserve">5.2 ความจุ พลังงาน และเวลาใช้งาน</w:t>
      </w:r>
    </w:p>
    <w:p>
      <w:pPr>
        <w:pStyle w:val="SourceCode"/>
      </w:pPr>
      <w:r>
        <w:rPr>
          <w:rStyle w:val="VerbatimChar"/>
        </w:rPr>
        <w:t xml:space="preserve">Energy   E = V_nom × C = 3.7 V × 0.600 Ah = 2.22 Wh</w:t>
      </w:r>
      <w:r>
        <w:br/>
      </w:r>
      <w:r>
        <w:rPr>
          <w:rStyle w:val="VerbatimChar"/>
        </w:rPr>
        <w:t xml:space="preserve">Runtime  t = (C × η_DoD) ÷ I_avg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η_DoD</w:t>
      </w:r>
      <w:r>
        <w:t xml:space="preserve"> </w:t>
      </w:r>
      <w:r>
        <w:t xml:space="preserve">คือสัดส่วนความจุที่ใช้ได้จริงก่อนถึงแรงดันตัด (0.85 เมื่อหยุดที่ ≈ 3.5 V ตามรูปที่ 1)</w:t>
      </w:r>
    </w:p>
    <w:p>
      <w:pPr>
        <w:numPr>
          <w:ilvl w:val="0"/>
          <w:numId w:val="1001"/>
        </w:numPr>
        <w:pStyle w:val="Compact"/>
      </w:pPr>
      <w:r>
        <w:t xml:space="preserve">อัตรา C: 1C ของเซลล์นี้ = 600 mA ; 0.5C = 300 mA ; 0.2C = 120 mA</w:t>
      </w:r>
    </w:p>
    <w:p>
      <w:pPr>
        <w:numPr>
          <w:ilvl w:val="0"/>
          <w:numId w:val="1001"/>
        </w:numPr>
        <w:pStyle w:val="Compact"/>
      </w:pPr>
      <w:r>
        <w:t xml:space="preserve">ผล Peukert ของลิเธียมไอออนน้อยมาก (เลขชี้กำลัง ≈ 1.05) ที่อัตรา ≤ 1C ความจุที่ได้จึง</w:t>
      </w:r>
      <w:r>
        <w:t xml:space="preserve"> </w:t>
      </w:r>
      <w:r>
        <w:t xml:space="preserve">ลดลงไม่เกินราว 5 % เทียบกับ 0.2C [R1]</w:t>
      </w:r>
    </w:p>
    <w:bookmarkEnd w:id="26"/>
    <w:bookmarkStart w:id="30" w:name="ความสมพนธระหวางแรงดนกบสถานะประจ-soc"/>
    <w:p>
      <w:pPr>
        <w:pStyle w:val="Heading2"/>
      </w:pPr>
      <w:r>
        <w:t xml:space="preserve">5.3 ความสัมพันธ์ระหว่างแรงดันกับสถานะประจุ (SOC)</w:t>
      </w:r>
    </w:p>
    <w:p>
      <w:pPr>
        <w:pStyle w:val="FirstParagraph"/>
      </w:pPr>
      <w:r>
        <w:t xml:space="preserve">แรงดันวงจรเปิด (OCV) ของ LiCoO₂</w:t>
      </w:r>
      <w:r>
        <w:t xml:space="preserve"> </w:t>
      </w:r>
      <w:r>
        <w:rPr>
          <w:bCs/>
          <w:b/>
        </w:rPr>
        <w:t xml:space="preserve">ไม่เป็นเส้นตรง</w:t>
      </w:r>
      <w:r>
        <w:t xml:space="preserve"> </w:t>
      </w:r>
      <w:r>
        <w:t xml:space="preserve">ช่วงกลาง 20–80 % แบนมาก</w:t>
      </w:r>
      <w:r>
        <w:t xml:space="preserve"> </w:t>
      </w:r>
      <w:r>
        <w:t xml:space="preserve">(3.74–3.98 V) และดิ่งลงเร็วใต้ 3.7 V [R1, R4] ตาราง 2 เป็นค่าประมาณทั่วไปของเคมีนี้</w:t>
      </w:r>
      <w:r>
        <w:t xml:space="preserve"> </w:t>
      </w:r>
      <w:r>
        <w:t xml:space="preserve">ขณะพักอย่างน้อย 1 ชั่วโมงที่ 25 °C</w:t>
      </w:r>
      <w:r>
        <w:t xml:space="preserve"> </w:t>
      </w:r>
      <w:r>
        <w:rPr>
          <w:bCs/>
          <w:b/>
        </w:rPr>
        <w:t xml:space="preserve">ไม่ใช่ค่าวัดจากเซลล์ HJ ตัวนี้</w:t>
      </w:r>
    </w:p>
    <w:p>
      <w:pPr>
        <w:pStyle w:val="BodyText"/>
      </w:pPr>
      <w:r>
        <w:t xml:space="preserve">ตาราง 2 แรงดันวงจรเปิดกับสถานะประจุ (ค่าประมาณ)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90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tblHeader w:val="true"/>
        </w:trPr>
        <w:tc>
          <w:tcPr>
            <w:tcW w:type="dxa" w:w="90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SOC (%)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100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90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80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70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60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50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40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30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20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</w:tr>
      <w:tr>
        <w:tc>
          <w:tcPr>
            <w:tcW w:type="dxa" w:w="900"/>
          </w:tcPr>
          <w:p>
            <w:pPr>
              <w:pStyle w:val="Compact"/>
              <w:jc w:val="left"/>
            </w:pPr>
            <w:r>
              <w:t xml:space="preserve">OCV (V)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t xml:space="preserve">4.06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t xml:space="preserve">3.98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t xml:space="preserve">3.92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t xml:space="preserve">3.87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t xml:space="preserve">3.82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t xml:space="preserve">3.79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t xml:space="preserve">3.74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t xml:space="preserve">3.68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t xml:space="preserve">3.45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t xml:space="preserve">3.00</w:t>
            </w:r>
          </w:p>
        </w:tc>
      </w:tr>
    </w:tbl>
    <w:p>
      <w:pPr>
        <w:pStyle w:val="CaptionedFigure"/>
      </w:pPr>
      <w:r>
        <w:drawing>
          <wp:inline>
            <wp:extent cx="5753100" cy="3308032"/>
            <wp:effectExtent b="0" l="0" r="0" t="0"/>
            <wp:docPr descr="รูปที่ 1 แรงดันขั้วกับสถานะประจุ เทียบกับสูตรเส้นตรงที่เฟิร์มแวร์ Host ใช้อยู่" title="" id="28" name="Picture"/>
            <a:graphic>
              <a:graphicData uri="http://schemas.openxmlformats.org/drawingml/2006/picture">
                <pic:pic>
                  <pic:nvPicPr>
                    <pic:cNvPr descr="img/fig1_soc_vs_voltag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08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รูปที่ 1 แรงดันขั้วกับสถานะประจุ เทียบกับสูตรเส้นตรงที่เฟิร์มแวร์ Host ใช้อยู่</w:t>
      </w:r>
    </w:p>
    <w:p>
      <w:pPr>
        <w:pStyle w:val="BodyText"/>
      </w:pPr>
      <w:r>
        <w:t xml:space="preserve">ขณะมีโหลด แรงดันที่ขั้วจะต่ำกว่า OCV เท่ากับ</w:t>
      </w:r>
      <w:r>
        <w:t xml:space="preserve"> </w:t>
      </w:r>
      <w:r>
        <w:rPr>
          <w:rStyle w:val="VerbatimChar"/>
        </w:rPr>
        <w:t xml:space="preserve">I × R_int</w:t>
      </w:r>
      <w:r>
        <w:t xml:space="preserve"> </w:t>
      </w:r>
      <w:r>
        <w:t xml:space="preserve">เช่นที่ 130 mA กับ 120 mΩ</w:t>
      </w:r>
      <w:r>
        <w:t xml:space="preserve"> </w:t>
      </w:r>
      <w:r>
        <w:t xml:space="preserve">แรงดันตก ≈ 16 mV ซึ่งเล็กมากสำหรับโหลดของโครงการนี้</w:t>
      </w:r>
    </w:p>
    <w:bookmarkEnd w:id="30"/>
    <w:bookmarkEnd w:id="31"/>
    <w:bookmarkStart w:id="38" w:name="อายการใชงานเชงเทคนค"/>
    <w:p>
      <w:pPr>
        <w:pStyle w:val="Heading1"/>
      </w:pPr>
      <w:r>
        <w:t xml:space="preserve">6. อายุการใช้งานเชิงเทคนิค</w:t>
      </w:r>
    </w:p>
    <w:p>
      <w:pPr>
        <w:pStyle w:val="FirstParagraph"/>
      </w:pPr>
      <w:r>
        <w:t xml:space="preserve">อายุของเซลล์ลิเธียมไอออนแบ่งเป็น ๒ ส่วนที่</w:t>
      </w:r>
      <w:r>
        <w:t xml:space="preserve"> </w:t>
      </w:r>
      <w:r>
        <w:rPr>
          <w:bCs/>
          <w:b/>
        </w:rPr>
        <w:t xml:space="preserve">เกิดพร้อมกันและรวมกัน</w:t>
      </w:r>
      <w:r>
        <w:t xml:space="preserve"> </w:t>
      </w:r>
      <w:r>
        <w:t xml:space="preserve">[R3, R4, R7]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อายุตามรอบ (cycle life)</w:t>
      </w:r>
      <w:r>
        <w:t xml:space="preserve"> </w:t>
      </w:r>
      <w:r>
        <w:t xml:space="preserve">เสื่อมจากการชาร์จ-คายประจุ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อายุตามปฏิทิน (calendar life)</w:t>
      </w:r>
      <w:r>
        <w:t xml:space="preserve"> </w:t>
      </w:r>
      <w:r>
        <w:t xml:space="preserve">เสื่อมตามเวลาแม้ไม่ได้ใช้ ขึ้นกับอุณหภูมิและ SOC ที่เก็บ</w:t>
      </w:r>
    </w:p>
    <w:p>
      <w:pPr>
        <w:pStyle w:val="FirstParagraph"/>
      </w:pPr>
      <w:r>
        <w:t xml:space="preserve">เกณฑ์สิ้นอายุที่ใช้ทั่วไปคือ</w:t>
      </w:r>
      <w:r>
        <w:t xml:space="preserve"> </w:t>
      </w:r>
      <w:r>
        <w:rPr>
          <w:bCs/>
          <w:b/>
        </w:rPr>
        <w:t xml:space="preserve">ความจุเหลือ 80 % ของความจุกำหนด</w:t>
      </w:r>
      <w:r>
        <w:t xml:space="preserve"> </w:t>
      </w:r>
      <w:r>
        <w:t xml:space="preserve">(480 mAh สำหรับเซลล์นี้)</w:t>
      </w:r>
      <w:r>
        <w:t xml:space="preserve"> </w:t>
      </w:r>
      <w:r>
        <w:t xml:space="preserve">หรือความต้านทานภายในเพิ่มเป็น ๒ เท่า [R5, R7]</w:t>
      </w:r>
    </w:p>
    <w:bookmarkStart w:id="32" w:name="กลไกการเสอมตามทฤษฎ"/>
    <w:p>
      <w:pPr>
        <w:pStyle w:val="Heading2"/>
      </w:pPr>
      <w:r>
        <w:t xml:space="preserve">6.1 กลไกการเสื่อมตามทฤษฎี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148"/>
        <w:gridCol w:w="3612"/>
        <w:gridCol w:w="2256"/>
        <w:gridCol w:w="1055"/>
      </w:tblGrid>
      <w:tr>
        <w:trPr>
          <w:tblHeader w:val="true"/>
        </w:trPr>
        <w:tc>
          <w:tcPr>
            <w:tcW w:type="dxa" w:w="214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กลไก</w:t>
            </w:r>
          </w:p>
        </w:tc>
        <w:tc>
          <w:tcPr>
            <w:tcW w:type="dxa" w:w="361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สิ่งที่เกิด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ตัวเร่ง</w:t>
            </w:r>
          </w:p>
        </w:tc>
        <w:tc>
          <w:tcPr>
            <w:tcW w:type="dxa" w:w="105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แหล่ง</w:t>
            </w:r>
          </w:p>
        </w:tc>
      </w:tr>
      <w:tr>
        <w:tc>
          <w:tcPr>
            <w:tcW w:type="dxa" w:w="2148"/>
          </w:tcPr>
          <w:p>
            <w:pPr>
              <w:pStyle w:val="Compact"/>
              <w:jc w:val="left"/>
            </w:pPr>
            <w:r>
              <w:t xml:space="preserve">ชั้น SEI หนาขึ้น</w:t>
            </w:r>
          </w:p>
        </w:tc>
        <w:tc>
          <w:tcPr>
            <w:tcW w:type="dxa" w:w="3612"/>
          </w:tcPr>
          <w:p>
            <w:pPr>
              <w:pStyle w:val="Compact"/>
              <w:jc w:val="left"/>
            </w:pPr>
            <w:r>
              <w:t xml:space="preserve">อิเล็กโทรไลต์ทำปฏิกิริยาที่ผิวกราไฟต์ กินลิเธียมที่ใช้งานได้ ความจุหายตาม √t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อุณหภูมิสูง, SOC สูง</w:t>
            </w:r>
          </w:p>
        </w:tc>
        <w:tc>
          <w:tcPr>
            <w:tcW w:type="dxa" w:w="1055"/>
          </w:tcPr>
          <w:p>
            <w:pPr>
              <w:pStyle w:val="Compact"/>
              <w:jc w:val="left"/>
            </w:pPr>
            <w:r>
              <w:t xml:space="preserve">R3, R4</w:t>
            </w:r>
          </w:p>
        </w:tc>
      </w:tr>
      <w:tr>
        <w:tc>
          <w:tcPr>
            <w:tcW w:type="dxa" w:w="2148"/>
          </w:tcPr>
          <w:p>
            <w:pPr>
              <w:pStyle w:val="Compact"/>
              <w:jc w:val="left"/>
            </w:pPr>
            <w:r>
              <w:t xml:space="preserve">ลิเธียมเคลือบผิว (Li plating)</w:t>
            </w:r>
          </w:p>
        </w:tc>
        <w:tc>
          <w:tcPr>
            <w:tcW w:type="dxa" w:w="3612"/>
          </w:tcPr>
          <w:p>
            <w:pPr>
              <w:pStyle w:val="Compact"/>
              <w:jc w:val="left"/>
            </w:pPr>
            <w:r>
              <w:t xml:space="preserve">ลิเธียมโลหะตกที่ขั้วลบแทนการแทรกเข้าชั้นกราไฟต์ เสี่ยงลัดวงจรภายใน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ชาร์จที่ &lt; 10 °C, ชาร์จเร็ว</w:t>
            </w:r>
          </w:p>
        </w:tc>
        <w:tc>
          <w:tcPr>
            <w:tcW w:type="dxa" w:w="1055"/>
          </w:tcPr>
          <w:p>
            <w:pPr>
              <w:pStyle w:val="Compact"/>
              <w:jc w:val="left"/>
            </w:pPr>
            <w:r>
              <w:t xml:space="preserve">R3, R14</w:t>
            </w:r>
          </w:p>
        </w:tc>
      </w:tr>
      <w:tr>
        <w:tc>
          <w:tcPr>
            <w:tcW w:type="dxa" w:w="2148"/>
          </w:tcPr>
          <w:p>
            <w:pPr>
              <w:pStyle w:val="Compact"/>
              <w:jc w:val="left"/>
            </w:pPr>
            <w:r>
              <w:t xml:space="preserve">ขั้วบวกเสื่อม</w:t>
            </w:r>
          </w:p>
        </w:tc>
        <w:tc>
          <w:tcPr>
            <w:tcW w:type="dxa" w:w="3612"/>
          </w:tcPr>
          <w:p>
            <w:pPr>
              <w:pStyle w:val="Compact"/>
              <w:jc w:val="left"/>
            </w:pPr>
            <w:r>
              <w:t xml:space="preserve">โครงผลึก LiCoO₂ เปลี่ยนเฟส โคบอลต์ละลาย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แรงดัน &gt; 4.2 V, อุณหภูมิสูง</w:t>
            </w:r>
          </w:p>
        </w:tc>
        <w:tc>
          <w:tcPr>
            <w:tcW w:type="dxa" w:w="1055"/>
          </w:tcPr>
          <w:p>
            <w:pPr>
              <w:pStyle w:val="Compact"/>
              <w:jc w:val="left"/>
            </w:pPr>
            <w:r>
              <w:t xml:space="preserve">R3, R4</w:t>
            </w:r>
          </w:p>
        </w:tc>
      </w:tr>
      <w:tr>
        <w:tc>
          <w:tcPr>
            <w:tcW w:type="dxa" w:w="2148"/>
          </w:tcPr>
          <w:p>
            <w:pPr>
              <w:pStyle w:val="Compact"/>
              <w:jc w:val="left"/>
            </w:pPr>
            <w:r>
              <w:t xml:space="preserve">อิเล็กโทรไลต์แตกตัวเป็นแก๊ส</w:t>
            </w:r>
          </w:p>
        </w:tc>
        <w:tc>
          <w:tcPr>
            <w:tcW w:type="dxa" w:w="3612"/>
          </w:tcPr>
          <w:p>
            <w:pPr>
              <w:pStyle w:val="Compact"/>
              <w:jc w:val="left"/>
            </w:pPr>
            <w:r>
              <w:t xml:space="preserve">ซอง pouch บวม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ชาร์จเกิน, คายประจุเกิน, &gt; 60 °C</w:t>
            </w:r>
          </w:p>
        </w:tc>
        <w:tc>
          <w:tcPr>
            <w:tcW w:type="dxa" w:w="1055"/>
          </w:tcPr>
          <w:p>
            <w:pPr>
              <w:pStyle w:val="Compact"/>
              <w:jc w:val="left"/>
            </w:pPr>
            <w:r>
              <w:t xml:space="preserve">R1, R7</w:t>
            </w:r>
          </w:p>
        </w:tc>
      </w:tr>
      <w:tr>
        <w:tc>
          <w:tcPr>
            <w:tcW w:type="dxa" w:w="2148"/>
          </w:tcPr>
          <w:p>
            <w:pPr>
              <w:pStyle w:val="Compact"/>
              <w:jc w:val="left"/>
            </w:pPr>
            <w:r>
              <w:t xml:space="preserve">คอปเปอร์ละลาย</w:t>
            </w:r>
          </w:p>
        </w:tc>
        <w:tc>
          <w:tcPr>
            <w:tcW w:type="dxa" w:w="3612"/>
          </w:tcPr>
          <w:p>
            <w:pPr>
              <w:pStyle w:val="Compact"/>
              <w:jc w:val="left"/>
            </w:pPr>
            <w:r>
              <w:t xml:space="preserve">คายประจุจนต่ำกว่า ≈ 2.0 V ทองแดงตัวรับกระแสขั้วลบละลาย ชาร์จกลับแล้วเป็นจุดลัดวงจร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t xml:space="preserve">คายประจุเกินแล้วทิ้งไว้</w:t>
            </w:r>
          </w:p>
        </w:tc>
        <w:tc>
          <w:tcPr>
            <w:tcW w:type="dxa" w:w="1055"/>
          </w:tcPr>
          <w:p>
            <w:pPr>
              <w:pStyle w:val="Compact"/>
              <w:jc w:val="left"/>
            </w:pPr>
            <w:r>
              <w:t xml:space="preserve">R1, R7</w:t>
            </w:r>
          </w:p>
        </w:tc>
      </w:tr>
    </w:tbl>
    <w:p>
      <w:pPr>
        <w:pStyle w:val="BodyText"/>
      </w:pPr>
      <w:r>
        <w:t xml:space="preserve">อัตราปฏิกิริยาเสื่อมเป็นไปตามสมการอาร์เรเนียส</w:t>
      </w:r>
      <w:r>
        <w:t xml:space="preserve"> </w:t>
      </w:r>
      <w:r>
        <w:rPr>
          <w:rStyle w:val="VerbatimChar"/>
        </w:rPr>
        <w:t xml:space="preserve">k = A·exp(−Eₐ/RT)</w:t>
      </w:r>
      <w:r>
        <w:t xml:space="preserve"> </w:t>
      </w:r>
      <w:r>
        <w:t xml:space="preserve">ในทางปฏิบัติ</w:t>
      </w:r>
      <w:r>
        <w:t xml:space="preserve"> </w:t>
      </w:r>
      <w:r>
        <w:rPr>
          <w:bCs/>
          <w:b/>
        </w:rPr>
        <w:t xml:space="preserve">อุณหภูมิสูงขึ้นทุก 10 °C อัตราเสื่อมตามปฏิทินเพิ่มราว ๒ เท่า</w:t>
      </w:r>
      <w:r>
        <w:t xml:space="preserve"> </w:t>
      </w:r>
      <w:r>
        <w:t xml:space="preserve">[R3, R4, R14]</w:t>
      </w:r>
    </w:p>
    <w:bookmarkEnd w:id="32"/>
    <w:bookmarkStart w:id="35" w:name="อายตามรอบ"/>
    <w:p>
      <w:pPr>
        <w:pStyle w:val="Heading2"/>
      </w:pPr>
      <w:r>
        <w:t xml:space="preserve">6.2 อายุตามรอบ</w:t>
      </w:r>
    </w:p>
    <w:p>
      <w:pPr>
        <w:pStyle w:val="FirstParagraph"/>
      </w:pPr>
      <w:r>
        <w:t xml:space="preserve">ตาราง 3 จำนวนรอบโดยประมาณจนความจุเหลือ 80 %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4820"/>
        <w:gridCol w:w="1810"/>
        <w:gridCol w:w="2441"/>
      </w:tblGrid>
      <w:tr>
        <w:trPr>
          <w:tblHeader w:val="true"/>
        </w:trPr>
        <w:tc>
          <w:tcPr>
            <w:tcW w:type="dxa" w:w="48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เงื่อนไขการใช้งาน</w:t>
            </w:r>
          </w:p>
        </w:tc>
        <w:tc>
          <w:tcPr>
            <w:tcW w:type="dxa" w:w="181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จำนวนรอบ</w:t>
            </w:r>
          </w:p>
        </w:tc>
        <w:tc>
          <w:tcPr>
            <w:tcW w:type="dxa" w:w="244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แหล่ง</w:t>
            </w:r>
          </w:p>
        </w:tc>
      </w:tr>
      <w:tr>
        <w:tc>
          <w:tcPr>
            <w:tcW w:type="dxa" w:w="4820"/>
          </w:tcPr>
          <w:p>
            <w:pPr>
              <w:pStyle w:val="Compact"/>
              <w:jc w:val="left"/>
            </w:pPr>
            <w:r>
              <w:t xml:space="preserve">ชาร์จ 0.5C / คายประจุ 0.5C เต็มช่วง 4.2–3.0 V ที่ 25 °C (datasheet เซลล์เทียบ)</w:t>
            </w:r>
          </w:p>
        </w:tc>
        <w:tc>
          <w:tcPr>
            <w:tcW w:type="dxa" w:w="181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รอบ</w:t>
            </w:r>
          </w:p>
        </w:tc>
        <w:tc>
          <w:tcPr>
            <w:tcW w:type="dxa" w:w="2441"/>
          </w:tcPr>
          <w:p>
            <w:pPr>
              <w:pStyle w:val="Compact"/>
              <w:jc w:val="left"/>
            </w:pPr>
            <w:r>
              <w:t xml:space="preserve">[ม] R5</w:t>
            </w:r>
          </w:p>
        </w:tc>
      </w:tr>
      <w:tr>
        <w:tc>
          <w:tcPr>
            <w:tcW w:type="dxa" w:w="4820"/>
          </w:tcPr>
          <w:p>
            <w:pPr>
              <w:pStyle w:val="Compact"/>
              <w:jc w:val="left"/>
            </w:pPr>
            <w:r>
              <w:t xml:space="preserve">เซลล์ทั่วไปไม่ทราบที่มา เงื่อนไขเดียวกัน</w:t>
            </w:r>
          </w:p>
        </w:tc>
        <w:tc>
          <w:tcPr>
            <w:tcW w:type="dxa" w:w="1810"/>
          </w:tcPr>
          <w:p>
            <w:pPr>
              <w:pStyle w:val="Compact"/>
              <w:jc w:val="left"/>
            </w:pPr>
            <w:r>
              <w:t xml:space="preserve">300–500 รอบ</w:t>
            </w:r>
          </w:p>
        </w:tc>
        <w:tc>
          <w:tcPr>
            <w:tcW w:type="dxa" w:w="2441"/>
          </w:tcPr>
          <w:p>
            <w:pPr>
              <w:pStyle w:val="Compact"/>
              <w:jc w:val="left"/>
            </w:pPr>
            <w:r>
              <w:t xml:space="preserve">[ท] R7</w:t>
            </w:r>
          </w:p>
        </w:tc>
      </w:tr>
      <w:tr>
        <w:tc>
          <w:tcPr>
            <w:tcW w:type="dxa" w:w="4820"/>
          </w:tcPr>
          <w:p>
            <w:pPr>
              <w:pStyle w:val="Compact"/>
              <w:jc w:val="left"/>
            </w:pPr>
            <w:r>
              <w:t xml:space="preserve">ใช้งานในโดรน (คายประจุ 5–10C, ร้อน)</w:t>
            </w:r>
          </w:p>
        </w:tc>
        <w:tc>
          <w:tcPr>
            <w:tcW w:type="dxa" w:w="1810"/>
          </w:tcPr>
          <w:p>
            <w:pPr>
              <w:pStyle w:val="Compact"/>
              <w:jc w:val="left"/>
            </w:pPr>
            <w:r>
              <w:t xml:space="preserve">100–200 รอบ</w:t>
            </w:r>
          </w:p>
        </w:tc>
        <w:tc>
          <w:tcPr>
            <w:tcW w:type="dxa" w:w="2441"/>
          </w:tcPr>
          <w:p>
            <w:pPr>
              <w:pStyle w:val="Compact"/>
              <w:jc w:val="left"/>
            </w:pPr>
            <w:r>
              <w:t xml:space="preserve">[ท] R7</w:t>
            </w:r>
          </w:p>
        </w:tc>
      </w:tr>
      <w:tr>
        <w:tc>
          <w:tcPr>
            <w:tcW w:type="dxa" w:w="4820"/>
          </w:tcPr>
          <w:p>
            <w:pPr>
              <w:pStyle w:val="Compact"/>
              <w:jc w:val="left"/>
            </w:pPr>
            <w:r>
              <w:t xml:space="preserve">ใช้งานเบาแบบโครงการนี้ (≈ 0.2C) ชาร์จ 0.5C</w:t>
            </w:r>
          </w:p>
        </w:tc>
        <w:tc>
          <w:tcPr>
            <w:tcW w:type="dxa" w:w="1810"/>
          </w:tcPr>
          <w:p>
            <w:pPr>
              <w:pStyle w:val="Compact"/>
              <w:jc w:val="left"/>
            </w:pPr>
            <w:r>
              <w:t xml:space="preserve">400–500 รอบ</w:t>
            </w:r>
          </w:p>
        </w:tc>
        <w:tc>
          <w:tcPr>
            <w:tcW w:type="dxa" w:w="2441"/>
          </w:tcPr>
          <w:p>
            <w:pPr>
              <w:pStyle w:val="Compact"/>
              <w:jc w:val="left"/>
            </w:pPr>
            <w:r>
              <w:t xml:space="preserve">[ท] อนุมานจาก R5, R7</w:t>
            </w:r>
          </w:p>
        </w:tc>
      </w:tr>
    </w:tbl>
    <w:p>
      <w:pPr>
        <w:pStyle w:val="BodyText"/>
      </w:pPr>
      <w:r>
        <w:t xml:space="preserve">มาตรฐาน IEC 61960-3 กำหนดวิธีทดสอบอายุตามรอบที่อัตรา 0.2 It และ 0.5 It</w:t>
      </w:r>
      <w:r>
        <w:t xml:space="preserve"> </w:t>
      </w:r>
      <w:r>
        <w:t xml:space="preserve">และเกณฑ์ความจุคงเหลือไม่ต่ำกว่า 60 % ของความจุกำหนดหลังจำนวนรอบที่มาตรฐานกำหนด [R13]</w:t>
      </w:r>
      <w:r>
        <w:t xml:space="preserve"> </w:t>
      </w:r>
      <w:r>
        <w:t xml:space="preserve">เกณฑ์ 80 % ที่ใช้ในเอกสารนี้จึงเข้มกว่ามาตรฐาน</w:t>
      </w:r>
    </w:p>
    <w:bookmarkStart w:id="33" w:name="ผลของความลกการคายประจ-dod"/>
    <w:p>
      <w:pPr>
        <w:pStyle w:val="Heading3"/>
      </w:pPr>
      <w:r>
        <w:t xml:space="preserve">ผลของความลึกการคายประจุ (DoD)</w:t>
      </w:r>
    </w:p>
    <w:p>
      <w:pPr>
        <w:pStyle w:val="FirstParagraph"/>
      </w:pPr>
      <w:r>
        <w:t xml:space="preserve">ตาราง 4 ผลของ DoD ต่ออายุรอบ (เคมี NMC/LCO จนเหลือ 70 %) จาก Battery University [R7]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468"/>
        <w:gridCol w:w="1160"/>
        <w:gridCol w:w="1160"/>
        <w:gridCol w:w="1160"/>
        <w:gridCol w:w="1373"/>
        <w:gridCol w:w="1373"/>
        <w:gridCol w:w="1373"/>
      </w:tblGrid>
      <w:tr>
        <w:trPr>
          <w:tblHeader w:val="true"/>
        </w:trPr>
        <w:tc>
          <w:tcPr>
            <w:tcW w:type="dxa" w:w="146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DoD</w:t>
            </w:r>
          </w:p>
        </w:tc>
        <w:tc>
          <w:tcPr>
            <w:tcW w:type="dxa" w:w="116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100 %</w:t>
            </w:r>
          </w:p>
        </w:tc>
        <w:tc>
          <w:tcPr>
            <w:tcW w:type="dxa" w:w="116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80 %</w:t>
            </w:r>
          </w:p>
        </w:tc>
        <w:tc>
          <w:tcPr>
            <w:tcW w:type="dxa" w:w="116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60 %</w:t>
            </w:r>
          </w:p>
        </w:tc>
        <w:tc>
          <w:tcPr>
            <w:tcW w:type="dxa" w:w="137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40 %</w:t>
            </w:r>
          </w:p>
        </w:tc>
        <w:tc>
          <w:tcPr>
            <w:tcW w:type="dxa" w:w="137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20 %</w:t>
            </w:r>
          </w:p>
        </w:tc>
        <w:tc>
          <w:tcPr>
            <w:tcW w:type="dxa" w:w="137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10 %</w:t>
            </w:r>
          </w:p>
        </w:tc>
      </w:tr>
      <w:tr>
        <w:tc>
          <w:tcPr>
            <w:tcW w:type="dxa" w:w="1468"/>
          </w:tcPr>
          <w:p>
            <w:pPr>
              <w:pStyle w:val="Compact"/>
              <w:jc w:val="left"/>
            </w:pPr>
            <w:r>
              <w:t xml:space="preserve">จำนวนรอบ</w:t>
            </w:r>
          </w:p>
        </w:tc>
        <w:tc>
          <w:tcPr>
            <w:tcW w:type="dxa" w:w="1160"/>
          </w:tcPr>
          <w:p>
            <w:pPr>
              <w:pStyle w:val="Compact"/>
              <w:jc w:val="left"/>
            </w:pPr>
            <w:r>
              <w:t xml:space="preserve">≈ 300</w:t>
            </w:r>
          </w:p>
        </w:tc>
        <w:tc>
          <w:tcPr>
            <w:tcW w:type="dxa" w:w="1160"/>
          </w:tcPr>
          <w:p>
            <w:pPr>
              <w:pStyle w:val="Compact"/>
              <w:jc w:val="left"/>
            </w:pPr>
            <w:r>
              <w:t xml:space="preserve">≈ 400</w:t>
            </w:r>
          </w:p>
        </w:tc>
        <w:tc>
          <w:tcPr>
            <w:tcW w:type="dxa" w:w="1160"/>
          </w:tcPr>
          <w:p>
            <w:pPr>
              <w:pStyle w:val="Compact"/>
              <w:jc w:val="left"/>
            </w:pPr>
            <w:r>
              <w:t xml:space="preserve">≈ 600</w:t>
            </w:r>
          </w:p>
        </w:tc>
        <w:tc>
          <w:tcPr>
            <w:tcW w:type="dxa" w:w="1373"/>
          </w:tcPr>
          <w:p>
            <w:pPr>
              <w:pStyle w:val="Compact"/>
              <w:jc w:val="left"/>
            </w:pPr>
            <w:r>
              <w:t xml:space="preserve">≈ 1,000</w:t>
            </w:r>
          </w:p>
        </w:tc>
        <w:tc>
          <w:tcPr>
            <w:tcW w:type="dxa" w:w="1373"/>
          </w:tcPr>
          <w:p>
            <w:pPr>
              <w:pStyle w:val="Compact"/>
              <w:jc w:val="left"/>
            </w:pPr>
            <w:r>
              <w:t xml:space="preserve">≈ 2,000</w:t>
            </w:r>
          </w:p>
        </w:tc>
        <w:tc>
          <w:tcPr>
            <w:tcW w:type="dxa" w:w="1373"/>
          </w:tcPr>
          <w:p>
            <w:pPr>
              <w:pStyle w:val="Compact"/>
              <w:jc w:val="left"/>
            </w:pPr>
            <w:r>
              <w:t xml:space="preserve">≈ 6,000</w:t>
            </w:r>
          </w:p>
        </w:tc>
      </w:tr>
    </w:tbl>
    <w:p>
      <w:pPr>
        <w:pStyle w:val="BodyText"/>
      </w:pPr>
      <w:r>
        <w:t xml:space="preserve">พลังงานรวมที่ได้ตลอดอายุ (</w:t>
      </w:r>
      <w:r>
        <w:rPr>
          <w:rStyle w:val="VerbatimChar"/>
        </w:rPr>
        <w:t xml:space="preserve">รอบ × DoD</w:t>
      </w:r>
      <w:r>
        <w:t xml:space="preserve">) เพิ่มขึ้นเมื่อ DoD ลดลง เช่น 100 % × 300 = 300</w:t>
      </w:r>
      <w:r>
        <w:t xml:space="preserve"> </w:t>
      </w:r>
      <w:r>
        <w:t xml:space="preserve">เทียบกับ 40 % × 1,000 = 400 รอบเต็มเทียบเท่า</w:t>
      </w:r>
    </w:p>
    <w:bookmarkEnd w:id="33"/>
    <w:bookmarkStart w:id="34" w:name="ผลของแรงดนชารจเตม"/>
    <w:p>
      <w:pPr>
        <w:pStyle w:val="Heading3"/>
      </w:pPr>
      <w:r>
        <w:t xml:space="preserve">ผลของแรงดันชาร์จเต็ม</w:t>
      </w:r>
    </w:p>
    <w:p>
      <w:pPr>
        <w:pStyle w:val="FirstParagraph"/>
      </w:pPr>
      <w:r>
        <w:t xml:space="preserve">ตาราง 5 แรงดันชาร์จเต็มกับจำนวนรอบ [R7]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681"/>
        <w:gridCol w:w="1075"/>
        <w:gridCol w:w="1075"/>
        <w:gridCol w:w="948"/>
        <w:gridCol w:w="948"/>
        <w:gridCol w:w="1075"/>
        <w:gridCol w:w="1075"/>
        <w:gridCol w:w="1189"/>
      </w:tblGrid>
      <w:tr>
        <w:trPr>
          <w:tblHeader w:val="true"/>
        </w:trPr>
        <w:tc>
          <w:tcPr>
            <w:tcW w:type="dxa" w:w="168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แรงดันชาร์จเต็ม (V)</w:t>
            </w:r>
          </w:p>
        </w:tc>
        <w:tc>
          <w:tcPr>
            <w:tcW w:type="dxa" w:w="107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4.30</w:t>
            </w:r>
          </w:p>
        </w:tc>
        <w:tc>
          <w:tcPr>
            <w:tcW w:type="dxa" w:w="107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4.25</w:t>
            </w:r>
          </w:p>
        </w:tc>
        <w:tc>
          <w:tcPr>
            <w:tcW w:type="dxa" w:w="94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4.20</w:t>
            </w:r>
          </w:p>
        </w:tc>
        <w:tc>
          <w:tcPr>
            <w:tcW w:type="dxa" w:w="94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4.15</w:t>
            </w:r>
          </w:p>
        </w:tc>
        <w:tc>
          <w:tcPr>
            <w:tcW w:type="dxa" w:w="107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4.10</w:t>
            </w:r>
          </w:p>
        </w:tc>
        <w:tc>
          <w:tcPr>
            <w:tcW w:type="dxa" w:w="107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4.05</w:t>
            </w:r>
          </w:p>
        </w:tc>
        <w:tc>
          <w:tcPr>
            <w:tcW w:type="dxa" w:w="118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4.00</w:t>
            </w:r>
          </w:p>
        </w:tc>
      </w:tr>
      <w:tr>
        <w:tc>
          <w:tcPr>
            <w:tcW w:type="dxa" w:w="1681"/>
          </w:tcPr>
          <w:p>
            <w:pPr>
              <w:pStyle w:val="Compact"/>
              <w:jc w:val="left"/>
            </w:pPr>
            <w:r>
              <w:t xml:space="preserve">จำนวนรอบ</w:t>
            </w:r>
          </w:p>
        </w:tc>
        <w:tc>
          <w:tcPr>
            <w:tcW w:type="dxa" w:w="1075"/>
          </w:tcPr>
          <w:p>
            <w:pPr>
              <w:pStyle w:val="Compact"/>
              <w:jc w:val="left"/>
            </w:pPr>
            <w:r>
              <w:t xml:space="preserve">150–250</w:t>
            </w:r>
          </w:p>
        </w:tc>
        <w:tc>
          <w:tcPr>
            <w:tcW w:type="dxa" w:w="1075"/>
          </w:tcPr>
          <w:p>
            <w:pPr>
              <w:pStyle w:val="Compact"/>
              <w:jc w:val="left"/>
            </w:pPr>
            <w:r>
              <w:t xml:space="preserve">200–350</w:t>
            </w:r>
          </w:p>
        </w:tc>
        <w:tc>
          <w:tcPr>
            <w:tcW w:type="dxa" w:w="94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300–500</w:t>
            </w:r>
          </w:p>
        </w:tc>
        <w:tc>
          <w:tcPr>
            <w:tcW w:type="dxa" w:w="948"/>
          </w:tcPr>
          <w:p>
            <w:pPr>
              <w:pStyle w:val="Compact"/>
              <w:jc w:val="left"/>
            </w:pPr>
            <w:r>
              <w:t xml:space="preserve">400–700</w:t>
            </w:r>
          </w:p>
        </w:tc>
        <w:tc>
          <w:tcPr>
            <w:tcW w:type="dxa" w:w="1075"/>
          </w:tcPr>
          <w:p>
            <w:pPr>
              <w:pStyle w:val="Compact"/>
              <w:jc w:val="left"/>
            </w:pPr>
            <w:r>
              <w:t xml:space="preserve">600–1,000</w:t>
            </w:r>
          </w:p>
        </w:tc>
        <w:tc>
          <w:tcPr>
            <w:tcW w:type="dxa" w:w="1075"/>
          </w:tcPr>
          <w:p>
            <w:pPr>
              <w:pStyle w:val="Compact"/>
              <w:jc w:val="left"/>
            </w:pPr>
            <w:r>
              <w:t xml:space="preserve">850–1,500</w:t>
            </w:r>
          </w:p>
        </w:tc>
        <w:tc>
          <w:tcPr>
            <w:tcW w:type="dxa" w:w="1189"/>
          </w:tcPr>
          <w:p>
            <w:pPr>
              <w:pStyle w:val="Compact"/>
              <w:jc w:val="left"/>
            </w:pPr>
            <w:r>
              <w:t xml:space="preserve">1,200–2,000</w:t>
            </w:r>
          </w:p>
        </w:tc>
      </w:tr>
      <w:tr>
        <w:tc>
          <w:tcPr>
            <w:tcW w:type="dxa" w:w="1681"/>
          </w:tcPr>
          <w:p>
            <w:pPr>
              <w:pStyle w:val="Compact"/>
              <w:jc w:val="left"/>
            </w:pPr>
            <w:r>
              <w:t xml:space="preserve">ความจุที่ได้ต่อรอบ (≈)</w:t>
            </w:r>
          </w:p>
        </w:tc>
        <w:tc>
          <w:tcPr>
            <w:tcW w:type="dxa" w:w="1075"/>
          </w:tcPr>
          <w:p>
            <w:pPr>
              <w:pStyle w:val="Compact"/>
              <w:jc w:val="left"/>
            </w:pPr>
            <w:r>
              <w:t xml:space="preserve">110–115 %</w:t>
            </w:r>
          </w:p>
        </w:tc>
        <w:tc>
          <w:tcPr>
            <w:tcW w:type="dxa" w:w="1075"/>
          </w:tcPr>
          <w:p>
            <w:pPr>
              <w:pStyle w:val="Compact"/>
              <w:jc w:val="left"/>
            </w:pPr>
            <w:r>
              <w:t xml:space="preserve">105–110 %</w:t>
            </w:r>
          </w:p>
        </w:tc>
        <w:tc>
          <w:tcPr>
            <w:tcW w:type="dxa" w:w="94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100 %</w:t>
            </w:r>
          </w:p>
        </w:tc>
        <w:tc>
          <w:tcPr>
            <w:tcW w:type="dxa" w:w="948"/>
          </w:tcPr>
          <w:p>
            <w:pPr>
              <w:pStyle w:val="Compact"/>
              <w:jc w:val="left"/>
            </w:pPr>
            <w:r>
              <w:t xml:space="preserve">≈ 95 %</w:t>
            </w:r>
          </w:p>
        </w:tc>
        <w:tc>
          <w:tcPr>
            <w:tcW w:type="dxa" w:w="1075"/>
          </w:tcPr>
          <w:p>
            <w:pPr>
              <w:pStyle w:val="Compact"/>
              <w:jc w:val="left"/>
            </w:pPr>
            <w:r>
              <w:t xml:space="preserve">≈ 85 %</w:t>
            </w:r>
          </w:p>
        </w:tc>
        <w:tc>
          <w:tcPr>
            <w:tcW w:type="dxa" w:w="1075"/>
          </w:tcPr>
          <w:p>
            <w:pPr>
              <w:pStyle w:val="Compact"/>
              <w:jc w:val="left"/>
            </w:pPr>
            <w:r>
              <w:t xml:space="preserve">≈ 80 %</w:t>
            </w:r>
          </w:p>
        </w:tc>
        <w:tc>
          <w:tcPr>
            <w:tcW w:type="dxa" w:w="1189"/>
          </w:tcPr>
          <w:p>
            <w:pPr>
              <w:pStyle w:val="Compact"/>
              <w:jc w:val="left"/>
            </w:pPr>
            <w:r>
              <w:t xml:space="preserve">≈ 70 %</w:t>
            </w:r>
          </w:p>
        </w:tc>
      </w:tr>
    </w:tbl>
    <w:bookmarkEnd w:id="34"/>
    <w:bookmarkEnd w:id="35"/>
    <w:bookmarkStart w:id="36" w:name="อายตามปฏทน"/>
    <w:p>
      <w:pPr>
        <w:pStyle w:val="Heading2"/>
      </w:pPr>
      <w:r>
        <w:t xml:space="preserve">6.3 อายุตามปฏิทิน</w:t>
      </w:r>
    </w:p>
    <w:p>
      <w:pPr>
        <w:pStyle w:val="FirstParagraph"/>
      </w:pPr>
      <w:r>
        <w:t xml:space="preserve">ตาราง 6 ความจุที่กู้คืนได้หลังเก็บไว้ ๑ ปี [R7]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630"/>
        <w:gridCol w:w="3131"/>
        <w:gridCol w:w="3310"/>
      </w:tblGrid>
      <w:tr>
        <w:trPr>
          <w:tblHeader w:val="true"/>
        </w:trPr>
        <w:tc>
          <w:tcPr>
            <w:tcW w:type="dxa" w:w="263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อุณหภูมิเก็บ</w:t>
            </w:r>
          </w:p>
        </w:tc>
        <w:tc>
          <w:tcPr>
            <w:tcW w:type="dxa" w:w="313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เก็บที่ประจุ 40 %</w:t>
            </w:r>
          </w:p>
        </w:tc>
        <w:tc>
          <w:tcPr>
            <w:tcW w:type="dxa" w:w="331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เก็บที่ประจุ 100 %</w:t>
            </w:r>
          </w:p>
        </w:tc>
      </w:tr>
      <w:tr>
        <w:tc>
          <w:tcPr>
            <w:tcW w:type="dxa" w:w="2630"/>
          </w:tcPr>
          <w:p>
            <w:pPr>
              <w:pStyle w:val="Compact"/>
              <w:jc w:val="left"/>
            </w:pPr>
            <w:r>
              <w:t xml:space="preserve">0 °C</w:t>
            </w:r>
          </w:p>
        </w:tc>
        <w:tc>
          <w:tcPr>
            <w:tcW w:type="dxa" w:w="3131"/>
          </w:tcPr>
          <w:p>
            <w:pPr>
              <w:pStyle w:val="Compact"/>
              <w:jc w:val="left"/>
            </w:pPr>
            <w:r>
              <w:t xml:space="preserve">98 %</w:t>
            </w:r>
          </w:p>
        </w:tc>
        <w:tc>
          <w:tcPr>
            <w:tcW w:type="dxa" w:w="3310"/>
          </w:tcPr>
          <w:p>
            <w:pPr>
              <w:pStyle w:val="Compact"/>
              <w:jc w:val="left"/>
            </w:pPr>
            <w:r>
              <w:t xml:space="preserve">94 %</w:t>
            </w:r>
          </w:p>
        </w:tc>
      </w:tr>
      <w:tr>
        <w:tc>
          <w:tcPr>
            <w:tcW w:type="dxa" w:w="2630"/>
          </w:tcPr>
          <w:p>
            <w:pPr>
              <w:pStyle w:val="Compact"/>
              <w:jc w:val="left"/>
            </w:pPr>
            <w:r>
              <w:t xml:space="preserve">25 °C</w:t>
            </w:r>
          </w:p>
        </w:tc>
        <w:tc>
          <w:tcPr>
            <w:tcW w:type="dxa" w:w="3131"/>
          </w:tcPr>
          <w:p>
            <w:pPr>
              <w:pStyle w:val="Compact"/>
              <w:jc w:val="left"/>
            </w:pPr>
            <w:r>
              <w:t xml:space="preserve">96 %</w:t>
            </w:r>
          </w:p>
        </w:tc>
        <w:tc>
          <w:tcPr>
            <w:tcW w:type="dxa" w:w="3310"/>
          </w:tcPr>
          <w:p>
            <w:pPr>
              <w:pStyle w:val="Compact"/>
              <w:jc w:val="left"/>
            </w:pPr>
            <w:r>
              <w:t xml:space="preserve">80 %</w:t>
            </w:r>
          </w:p>
        </w:tc>
      </w:tr>
      <w:tr>
        <w:tc>
          <w:tcPr>
            <w:tcW w:type="dxa" w:w="2630"/>
          </w:tcPr>
          <w:p>
            <w:pPr>
              <w:pStyle w:val="Compact"/>
              <w:jc w:val="left"/>
            </w:pPr>
            <w:r>
              <w:t xml:space="preserve">40 °C</w:t>
            </w:r>
          </w:p>
        </w:tc>
        <w:tc>
          <w:tcPr>
            <w:tcW w:type="dxa" w:w="3131"/>
          </w:tcPr>
          <w:p>
            <w:pPr>
              <w:pStyle w:val="Compact"/>
              <w:jc w:val="left"/>
            </w:pPr>
            <w:r>
              <w:t xml:space="preserve">85 %</w:t>
            </w:r>
          </w:p>
        </w:tc>
        <w:tc>
          <w:tcPr>
            <w:tcW w:type="dxa" w:w="3310"/>
          </w:tcPr>
          <w:p>
            <w:pPr>
              <w:pStyle w:val="Compact"/>
              <w:jc w:val="left"/>
            </w:pPr>
            <w:r>
              <w:t xml:space="preserve">65 %</w:t>
            </w:r>
          </w:p>
        </w:tc>
      </w:tr>
      <w:tr>
        <w:tc>
          <w:tcPr>
            <w:tcW w:type="dxa" w:w="2630"/>
          </w:tcPr>
          <w:p>
            <w:pPr>
              <w:pStyle w:val="Compact"/>
              <w:jc w:val="left"/>
            </w:pPr>
            <w:r>
              <w:t xml:space="preserve">60 °C</w:t>
            </w:r>
          </w:p>
        </w:tc>
        <w:tc>
          <w:tcPr>
            <w:tcW w:type="dxa" w:w="3131"/>
          </w:tcPr>
          <w:p>
            <w:pPr>
              <w:pStyle w:val="Compact"/>
              <w:jc w:val="left"/>
            </w:pPr>
            <w:r>
              <w:t xml:space="preserve">75 %</w:t>
            </w:r>
          </w:p>
        </w:tc>
        <w:tc>
          <w:tcPr>
            <w:tcW w:type="dxa" w:w="3310"/>
          </w:tcPr>
          <w:p>
            <w:pPr>
              <w:pStyle w:val="Compact"/>
              <w:jc w:val="left"/>
            </w:pPr>
            <w:r>
              <w:t xml:space="preserve">60 % (หลัง ๓ เดือน)</w:t>
            </w:r>
          </w:p>
        </w:tc>
      </w:tr>
    </w:tbl>
    <w:p>
      <w:pPr>
        <w:pStyle w:val="BodyText"/>
      </w:pPr>
      <w:r>
        <w:t xml:space="preserve">ข้อสรุป:</w:t>
      </w:r>
      <w:r>
        <w:t xml:space="preserve"> </w:t>
      </w:r>
      <w:r>
        <w:rPr>
          <w:bCs/>
          <w:b/>
        </w:rPr>
        <w:t xml:space="preserve">เซลล์ที่ถูกเสียบชาร์จค้างไว้ที่ 4.2 V ตลอดเวลาในห้องอุณหภูมิ 25 °C</w:t>
      </w:r>
      <w:r>
        <w:rPr>
          <w:bCs/>
          <w:b/>
        </w:rPr>
        <w:t xml:space="preserve"> </w:t>
      </w:r>
      <w:r>
        <w:rPr>
          <w:bCs/>
          <w:b/>
        </w:rPr>
        <w:t xml:space="preserve">จะเหลือความจุราว 80 % ภายใน ๑ ปีโดยไม่ต้องใช้งานเลย</w:t>
      </w:r>
      <w:r>
        <w:t xml:space="preserve"> </w:t>
      </w:r>
      <w:r>
        <w:t xml:space="preserve">และเร็วขึ้นมากถ้าเครื่องร้อน</w:t>
      </w:r>
      <w:r>
        <w:t xml:space="preserve"> </w:t>
      </w:r>
      <w:r>
        <w:t xml:space="preserve">อายุตามปฏิทินที่สมเหตุสมผลของเซลล์ประเภทนี้คือ</w:t>
      </w:r>
      <w:r>
        <w:t xml:space="preserve"> </w:t>
      </w:r>
      <w:r>
        <w:rPr>
          <w:bCs/>
          <w:b/>
        </w:rPr>
        <w:t xml:space="preserve">๒–๓ ปี</w:t>
      </w:r>
      <w:r>
        <w:t xml:space="preserve"> </w:t>
      </w:r>
      <w:r>
        <w:t xml:space="preserve">นับจากวันผลิต [R4, R7]</w:t>
      </w:r>
    </w:p>
    <w:bookmarkEnd w:id="36"/>
    <w:bookmarkStart w:id="37" w:name="สรปอายการใชงานทคาดได"/>
    <w:p>
      <w:pPr>
        <w:pStyle w:val="Heading2"/>
      </w:pPr>
      <w:r>
        <w:t xml:space="preserve">6.4 สรุปอายุการใช้งานที่คาดได้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3903"/>
        <w:gridCol w:w="1875"/>
        <w:gridCol w:w="3292"/>
      </w:tblGrid>
      <w:tr>
        <w:trPr>
          <w:tblHeader w:val="true"/>
        </w:trPr>
        <w:tc>
          <w:tcPr>
            <w:tcW w:type="dxa" w:w="390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รูปแบบการใช้</w:t>
            </w:r>
          </w:p>
        </w:tc>
        <w:tc>
          <w:tcPr>
            <w:tcW w:type="dxa" w:w="187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ตัวจำกัดอายุ</w:t>
            </w:r>
          </w:p>
        </w:tc>
        <w:tc>
          <w:tcPr>
            <w:tcW w:type="dxa" w:w="329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อายุคาดการณ์ถึง 80 %</w:t>
            </w:r>
          </w:p>
        </w:tc>
      </w:tr>
      <w:tr>
        <w:tc>
          <w:tcPr>
            <w:tcW w:type="dxa" w:w="3903"/>
          </w:tcPr>
          <w:p>
            <w:pPr>
              <w:pStyle w:val="Compact"/>
              <w:jc w:val="left"/>
            </w:pPr>
            <w:r>
              <w:t xml:space="preserve">ใช้แบตเป็นแหล่งไฟหลัก ชาร์จวันละ ๒–๓ ครั้ง</w:t>
            </w:r>
          </w:p>
        </w:tc>
        <w:tc>
          <w:tcPr>
            <w:tcW w:type="dxa" w:w="1875"/>
          </w:tcPr>
          <w:p>
            <w:pPr>
              <w:pStyle w:val="Compact"/>
              <w:jc w:val="left"/>
            </w:pPr>
            <w:r>
              <w:t xml:space="preserve">รอบ</w:t>
            </w:r>
          </w:p>
        </w:tc>
        <w:tc>
          <w:tcPr>
            <w:tcW w:type="dxa" w:w="3292"/>
          </w:tcPr>
          <w:p>
            <w:pPr>
              <w:pStyle w:val="Compact"/>
              <w:jc w:val="left"/>
            </w:pPr>
            <w:r>
              <w:t xml:space="preserve">400–500 รอบ ≈</w:t>
            </w:r>
            <w:r>
              <w:t xml:space="preserve"> </w:t>
            </w:r>
            <w:r>
              <w:rPr>
                <w:bCs/>
                <w:b/>
              </w:rPr>
              <w:t xml:space="preserve">๕–๘ เดือน</w:t>
            </w:r>
          </w:p>
        </w:tc>
      </w:tr>
      <w:tr>
        <w:tc>
          <w:tcPr>
            <w:tcW w:type="dxa" w:w="3903"/>
          </w:tcPr>
          <w:p>
            <w:pPr>
              <w:pStyle w:val="Compact"/>
              <w:jc w:val="left"/>
            </w:pPr>
            <w:r>
              <w:t xml:space="preserve">ใช้แบตเป็นไฟสำรอง เสียบ USB ตลอด (ค้าง 4.2 V) 25 °C</w:t>
            </w:r>
          </w:p>
        </w:tc>
        <w:tc>
          <w:tcPr>
            <w:tcW w:type="dxa" w:w="1875"/>
          </w:tcPr>
          <w:p>
            <w:pPr>
              <w:pStyle w:val="Compact"/>
              <w:jc w:val="left"/>
            </w:pPr>
            <w:r>
              <w:t xml:space="preserve">ปฏิทิน</w:t>
            </w:r>
          </w:p>
        </w:tc>
        <w:tc>
          <w:tcPr>
            <w:tcW w:type="dxa" w:w="3292"/>
          </w:tcPr>
          <w:p>
            <w:pPr>
              <w:pStyle w:val="Compact"/>
              <w:jc w:val="left"/>
            </w:pPr>
            <w:r>
              <w:t xml:space="preserve">≈</w:t>
            </w:r>
            <w:r>
              <w:t xml:space="preserve"> </w:t>
            </w:r>
            <w:r>
              <w:rPr>
                <w:bCs/>
                <w:b/>
              </w:rPr>
              <w:t xml:space="preserve">๑ ปี</w:t>
            </w:r>
          </w:p>
        </w:tc>
      </w:tr>
      <w:tr>
        <w:tc>
          <w:tcPr>
            <w:tcW w:type="dxa" w:w="3903"/>
          </w:tcPr>
          <w:p>
            <w:pPr>
              <w:pStyle w:val="Compact"/>
              <w:jc w:val="left"/>
            </w:pPr>
            <w:r>
              <w:t xml:space="preserve">ไฟสำรอง แต่ตั้งแรงดันชาร์จ 4.10 V และระบายความร้อนดี</w:t>
            </w:r>
          </w:p>
        </w:tc>
        <w:tc>
          <w:tcPr>
            <w:tcW w:type="dxa" w:w="1875"/>
          </w:tcPr>
          <w:p>
            <w:pPr>
              <w:pStyle w:val="Compact"/>
              <w:jc w:val="left"/>
            </w:pPr>
            <w:r>
              <w:t xml:space="preserve">ปฏิทิน</w:t>
            </w:r>
          </w:p>
        </w:tc>
        <w:tc>
          <w:tcPr>
            <w:tcW w:type="dxa" w:w="3292"/>
          </w:tcPr>
          <w:p>
            <w:pPr>
              <w:pStyle w:val="Compact"/>
              <w:jc w:val="left"/>
            </w:pPr>
            <w:r>
              <w:t xml:space="preserve">≈</w:t>
            </w:r>
            <w:r>
              <w:t xml:space="preserve"> </w:t>
            </w:r>
            <w:r>
              <w:rPr>
                <w:bCs/>
                <w:b/>
              </w:rPr>
              <w:t xml:space="preserve">๒–๓ ปี</w:t>
            </w:r>
          </w:p>
        </w:tc>
      </w:tr>
      <w:tr>
        <w:tc>
          <w:tcPr>
            <w:tcW w:type="dxa" w:w="3903"/>
          </w:tcPr>
          <w:p>
            <w:pPr>
              <w:pStyle w:val="Compact"/>
              <w:jc w:val="left"/>
            </w:pPr>
            <w:r>
              <w:t xml:space="preserve">เก็บในคลัง 40–60 % ที่ ≤ 25 °C</w:t>
            </w:r>
          </w:p>
        </w:tc>
        <w:tc>
          <w:tcPr>
            <w:tcW w:type="dxa" w:w="1875"/>
          </w:tcPr>
          <w:p>
            <w:pPr>
              <w:pStyle w:val="Compact"/>
              <w:jc w:val="left"/>
            </w:pPr>
            <w:r>
              <w:t xml:space="preserve">ปฏิทิน</w:t>
            </w:r>
          </w:p>
        </w:tc>
        <w:tc>
          <w:tcPr>
            <w:tcW w:type="dxa" w:w="3292"/>
          </w:tcPr>
          <w:p>
            <w:pPr>
              <w:pStyle w:val="Compact"/>
              <w:jc w:val="left"/>
            </w:pPr>
            <w:r>
              <w:t xml:space="preserve">≈ ๒–๓ ปี (ต้องเติมประจุทุก ๓–๖ เดือน)</w:t>
            </w:r>
          </w:p>
        </w:tc>
      </w:tr>
    </w:tbl>
    <w:bookmarkEnd w:id="37"/>
    <w:bookmarkEnd w:id="38"/>
    <w:bookmarkStart w:id="39" w:name="ความปลอดภยและมาตรฐาน"/>
    <w:p>
      <w:pPr>
        <w:pStyle w:val="Heading1"/>
      </w:pPr>
      <w:r>
        <w:t xml:space="preserve">7. ความปลอดภัยและมาตรฐาน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390"/>
        <w:gridCol w:w="3853"/>
        <w:gridCol w:w="2827"/>
      </w:tblGrid>
      <w:tr>
        <w:trPr>
          <w:tblHeader w:val="true"/>
        </w:trPr>
        <w:tc>
          <w:tcPr>
            <w:tcW w:type="dxa" w:w="239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มาตรฐาน</w:t>
            </w:r>
          </w:p>
        </w:tc>
        <w:tc>
          <w:tcPr>
            <w:tcW w:type="dxa" w:w="385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เนื้อหา</w:t>
            </w:r>
          </w:p>
        </w:tc>
        <w:tc>
          <w:tcPr>
            <w:tcW w:type="dxa" w:w="282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ความเกี่ยวข้อง</w:t>
            </w:r>
          </w:p>
        </w:tc>
      </w:tr>
      <w:tr>
        <w:tc>
          <w:tcPr>
            <w:tcW w:type="dxa" w:w="2390"/>
          </w:tcPr>
          <w:p>
            <w:pPr>
              <w:pStyle w:val="Compact"/>
              <w:jc w:val="left"/>
            </w:pPr>
            <w:r>
              <w:t xml:space="preserve">IEC 62133-2:2017</w:t>
            </w:r>
          </w:p>
        </w:tc>
        <w:tc>
          <w:tcPr>
            <w:tcW w:type="dxa" w:w="3853"/>
          </w:tcPr>
          <w:p>
            <w:pPr>
              <w:pStyle w:val="Compact"/>
              <w:jc w:val="left"/>
            </w:pPr>
            <w:r>
              <w:t xml:space="preserve">ความปลอดภัยของเซลล์และแบตเตอรี่ลิเธียมพกพา</w:t>
            </w:r>
          </w:p>
        </w:tc>
        <w:tc>
          <w:tcPr>
            <w:tcW w:type="dxa" w:w="2827"/>
          </w:tcPr>
          <w:p>
            <w:pPr>
              <w:pStyle w:val="Compact"/>
              <w:jc w:val="left"/>
            </w:pPr>
            <w:r>
              <w:t xml:space="preserve">เซลล์ที่ใช้ในอุปกรณ์ต้องผ่าน [R12]</w:t>
            </w:r>
          </w:p>
        </w:tc>
      </w:tr>
      <w:tr>
        <w:tc>
          <w:tcPr>
            <w:tcW w:type="dxa" w:w="2390"/>
          </w:tcPr>
          <w:p>
            <w:pPr>
              <w:pStyle w:val="Compact"/>
              <w:jc w:val="left"/>
            </w:pPr>
            <w:r>
              <w:t xml:space="preserve">IEC 61960-3:2017</w:t>
            </w:r>
          </w:p>
        </w:tc>
        <w:tc>
          <w:tcPr>
            <w:tcW w:type="dxa" w:w="3853"/>
          </w:tcPr>
          <w:p>
            <w:pPr>
              <w:pStyle w:val="Compact"/>
              <w:jc w:val="left"/>
            </w:pPr>
            <w:r>
              <w:t xml:space="preserve">วิธีวัดสมรรถนะ (ความจุ อายุรอบ ความต้านทานภายใน)</w:t>
            </w:r>
          </w:p>
        </w:tc>
        <w:tc>
          <w:tcPr>
            <w:tcW w:type="dxa" w:w="2827"/>
          </w:tcPr>
          <w:p>
            <w:pPr>
              <w:pStyle w:val="Compact"/>
              <w:jc w:val="left"/>
            </w:pPr>
            <w:r>
              <w:t xml:space="preserve">ใช้เป็นวิธีทดสอบในภาคผนวก ก [R13]</w:t>
            </w:r>
          </w:p>
        </w:tc>
      </w:tr>
      <w:tr>
        <w:tc>
          <w:tcPr>
            <w:tcW w:type="dxa" w:w="2390"/>
          </w:tcPr>
          <w:p>
            <w:pPr>
              <w:pStyle w:val="Compact"/>
              <w:jc w:val="left"/>
            </w:pPr>
            <w:r>
              <w:t xml:space="preserve">UN 38.3</w:t>
            </w:r>
          </w:p>
        </w:tc>
        <w:tc>
          <w:tcPr>
            <w:tcW w:type="dxa" w:w="3853"/>
          </w:tcPr>
          <w:p>
            <w:pPr>
              <w:pStyle w:val="Compact"/>
              <w:jc w:val="left"/>
            </w:pPr>
            <w:r>
              <w:t xml:space="preserve">การทดสอบเพื่อการขนส่ง (สั่นสะเทือน กระแทก ความดันต่ำ ลัดวงจร ฯลฯ)</w:t>
            </w:r>
          </w:p>
        </w:tc>
        <w:tc>
          <w:tcPr>
            <w:tcW w:type="dxa" w:w="2827"/>
          </w:tcPr>
          <w:p>
            <w:pPr>
              <w:pStyle w:val="Compact"/>
              <w:jc w:val="left"/>
            </w:pPr>
            <w:r>
              <w:t xml:space="preserve">จำเป็นถ้าส่งเครื่องทางอากาศ [R12]</w:t>
            </w:r>
          </w:p>
        </w:tc>
      </w:tr>
      <w:tr>
        <w:tc>
          <w:tcPr>
            <w:tcW w:type="dxa" w:w="2390"/>
          </w:tcPr>
          <w:p>
            <w:pPr>
              <w:pStyle w:val="Compact"/>
              <w:jc w:val="left"/>
            </w:pPr>
            <w:r>
              <w:t xml:space="preserve">IEC 60601-1 (ข้อ 15.4.3)</w:t>
            </w:r>
          </w:p>
        </w:tc>
        <w:tc>
          <w:tcPr>
            <w:tcW w:type="dxa" w:w="3853"/>
          </w:tcPr>
          <w:p>
            <w:pPr>
              <w:pStyle w:val="Compact"/>
              <w:jc w:val="left"/>
            </w:pPr>
            <w:r>
              <w:t xml:space="preserve">ข้อกำหนดแบตเตอรี่ในเครื่องมือแพทย์ไฟฟ้า อ้างถึง IEC 62133</w:t>
            </w:r>
          </w:p>
        </w:tc>
        <w:tc>
          <w:tcPr>
            <w:tcW w:type="dxa" w:w="2827"/>
          </w:tcPr>
          <w:p>
            <w:pPr>
              <w:pStyle w:val="Compact"/>
              <w:jc w:val="left"/>
            </w:pPr>
            <w:r>
              <w:t xml:space="preserve">ระบบนี้ใช้ในหอผู้ป่วย [R12]</w:t>
            </w:r>
          </w:p>
        </w:tc>
      </w:tr>
      <w:tr>
        <w:tc>
          <w:tcPr>
            <w:tcW w:type="dxa" w:w="2390"/>
          </w:tcPr>
          <w:p>
            <w:pPr>
              <w:pStyle w:val="Compact"/>
              <w:jc w:val="left"/>
            </w:pPr>
            <w:r>
              <w:t xml:space="preserve">Regulation (EU) 2023/1542</w:t>
            </w:r>
          </w:p>
        </w:tc>
        <w:tc>
          <w:tcPr>
            <w:tcW w:type="dxa" w:w="3853"/>
          </w:tcPr>
          <w:p>
            <w:pPr>
              <w:pStyle w:val="Compact"/>
              <w:jc w:val="left"/>
            </w:pPr>
            <w:r>
              <w:t xml:space="preserve">การติดฉลากและการกำจัดซากแบตเตอรี่</w:t>
            </w:r>
          </w:p>
        </w:tc>
        <w:tc>
          <w:tcPr>
            <w:tcW w:type="dxa" w:w="2827"/>
          </w:tcPr>
          <w:p>
            <w:pPr>
              <w:pStyle w:val="Compact"/>
              <w:jc w:val="left"/>
            </w:pPr>
            <w:r>
              <w:t xml:space="preserve">ที่มาของสัญลักษณ์ถังขยะบนฉลาก [R12]</w:t>
            </w:r>
          </w:p>
        </w:tc>
      </w:tr>
    </w:tbl>
    <w:p>
      <w:pPr>
        <w:pStyle w:val="BodyText"/>
      </w:pPr>
      <w:r>
        <w:t xml:space="preserve">เซลล์</w:t>
      </w:r>
      <w:r>
        <w:t xml:space="preserve"> </w:t>
      </w:r>
      <w:r>
        <w:t xml:space="preserve">“</w:t>
      </w:r>
      <w:r>
        <w:t xml:space="preserve">HJ 802540</w:t>
      </w:r>
      <w:r>
        <w:t xml:space="preserve">”</w:t>
      </w:r>
      <w:r>
        <w:t xml:space="preserve"> </w:t>
      </w:r>
      <w:r>
        <w:t xml:space="preserve">ที่ซื้อจากร้านค้าออนไลน์</w:t>
      </w:r>
      <w:r>
        <w:t xml:space="preserve"> </w:t>
      </w:r>
      <w:r>
        <w:rPr>
          <w:bCs/>
          <w:b/>
        </w:rPr>
        <w:t xml:space="preserve">ไม่มีหลักฐานว่าผ่านมาตรฐานใด</w:t>
      </w:r>
      <w:r>
        <w:t xml:space="preserve"> </w:t>
      </w:r>
      <w:r>
        <w:t xml:space="preserve">การนำไปใช้กับ</w:t>
      </w:r>
      <w:r>
        <w:t xml:space="preserve"> </w:t>
      </w:r>
      <w:r>
        <w:t xml:space="preserve">ผู้ป่วยจริงจึงต้องเปลี่ยนเป็นเซลล์จากผู้ผลิตที่มีรายงานผล IEC 62133-2 และ UN 38.3</w:t>
      </w:r>
    </w:p>
    <w:p>
      <w:pPr>
        <w:pStyle w:val="BodyText"/>
      </w:pPr>
      <w:r>
        <w:t xml:space="preserve">ข้อปฏิบัติด้านความปลอดภัย [R1, R6, R9]</w:t>
      </w:r>
    </w:p>
    <w:p>
      <w:pPr>
        <w:numPr>
          <w:ilvl w:val="0"/>
          <w:numId w:val="1003"/>
        </w:numPr>
        <w:pStyle w:val="Compact"/>
      </w:pPr>
      <w:r>
        <w:t xml:space="preserve">ห้ามชาร์จที่อุณหภูมิต่ำกว่า 0 °C หรือสูงกว่า 45 °C</w:t>
      </w:r>
    </w:p>
    <w:p>
      <w:pPr>
        <w:numPr>
          <w:ilvl w:val="0"/>
          <w:numId w:val="1003"/>
        </w:numPr>
        <w:pStyle w:val="Compact"/>
      </w:pPr>
      <w:r>
        <w:t xml:space="preserve">ห้ามใช้เซลล์ที่บวม มีรอยบุบ รอยเจาะ หรือมีกลิ่นหวานของอิเล็กโทรไลต์ ให้แยกเก็บในภาชนะไม่ติดไฟทันที</w:t>
      </w:r>
    </w:p>
    <w:p>
      <w:pPr>
        <w:numPr>
          <w:ilvl w:val="0"/>
          <w:numId w:val="1003"/>
        </w:numPr>
        <w:pStyle w:val="Compact"/>
      </w:pPr>
      <w:r>
        <w:t xml:space="preserve">ห้ามปล่อยให้แรงดันต่ำกว่า 2.5 V ถ้าเกิดขึ้นแล้วและค้างนานเกินหนึ่งสัปดาห์ ให้ทิ้ง ห้ามชาร์จกลับ</w:t>
      </w:r>
    </w:p>
    <w:p>
      <w:pPr>
        <w:numPr>
          <w:ilvl w:val="0"/>
          <w:numId w:val="1003"/>
        </w:numPr>
        <w:pStyle w:val="Compact"/>
      </w:pPr>
      <w:r>
        <w:t xml:space="preserve">ห้ามบัดกรีที่ตัวเซลล์โดยตรง บัดกรีที่สายหรือแผ่นวงจรป้องกันเท่านั้น</w:t>
      </w:r>
    </w:p>
    <w:p>
      <w:pPr>
        <w:numPr>
          <w:ilvl w:val="0"/>
          <w:numId w:val="1003"/>
        </w:numPr>
        <w:pStyle w:val="Compact"/>
      </w:pPr>
      <w:r>
        <w:t xml:space="preserve">การกำจัด ส่งเป็นขยะอันตรายตามระบบของโรงพยาบาล หุ้มขั้วด้วยเทปก่อนทิ้ง</w:t>
      </w:r>
    </w:p>
    <w:bookmarkEnd w:id="39"/>
    <w:bookmarkStart w:id="40" w:name="X9c5740d30a9a213e77a0ed29c35e33d1bfc102d"/>
    <w:p>
      <w:pPr>
        <w:pStyle w:val="Heading1"/>
      </w:pPr>
      <w:r>
        <w:t xml:space="preserve">ภาคผนวก ก วิธีทดสอบยืนยันเซลล์จริง (อ้างอิง IEC 61960-3)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927"/>
        <w:gridCol w:w="4936"/>
        <w:gridCol w:w="2207"/>
      </w:tblGrid>
      <w:tr>
        <w:trPr>
          <w:tblHeader w:val="true"/>
        </w:trPr>
        <w:tc>
          <w:tcPr>
            <w:tcW w:type="dxa" w:w="192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การทดสอบ</w:t>
            </w:r>
          </w:p>
        </w:tc>
        <w:tc>
          <w:tcPr>
            <w:tcW w:type="dxa" w:w="493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วิธี</w:t>
            </w:r>
          </w:p>
        </w:tc>
        <w:tc>
          <w:tcPr>
            <w:tcW w:type="dxa" w:w="220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ผ่านเมื่อ</w:t>
            </w:r>
          </w:p>
        </w:tc>
      </w:tr>
      <w:tr>
        <w:tc>
          <w:tcPr>
            <w:tcW w:type="dxa" w:w="1927"/>
          </w:tcPr>
          <w:p>
            <w:pPr>
              <w:pStyle w:val="Compact"/>
              <w:jc w:val="left"/>
            </w:pPr>
            <w:r>
              <w:t xml:space="preserve">ความจุ</w:t>
            </w:r>
          </w:p>
        </w:tc>
        <w:tc>
          <w:tcPr>
            <w:tcW w:type="dxa" w:w="4936"/>
          </w:tcPr>
          <w:p>
            <w:pPr>
              <w:pStyle w:val="Compact"/>
              <w:jc w:val="left"/>
            </w:pPr>
            <w:r>
              <w:t xml:space="preserve">ชาร์จ CC 0.2C (120 mA) ถึง 4.20 V แล้ว CV จนกระแส &lt; 0.05C พัก 1 ชม. คายประจุ 0.2C ถึง 3.0 V ที่ 20 ± 5 °C</w:t>
            </w:r>
          </w:p>
        </w:tc>
        <w:tc>
          <w:tcPr>
            <w:tcW w:type="dxa" w:w="2207"/>
          </w:tcPr>
          <w:p>
            <w:pPr>
              <w:pStyle w:val="Compact"/>
              <w:jc w:val="left"/>
            </w:pPr>
            <w:r>
              <w:t xml:space="preserve">≥ 550 mAh</w:t>
            </w:r>
          </w:p>
        </w:tc>
      </w:tr>
      <w:tr>
        <w:tc>
          <w:tcPr>
            <w:tcW w:type="dxa" w:w="1927"/>
          </w:tcPr>
          <w:p>
            <w:pPr>
              <w:pStyle w:val="Compact"/>
              <w:jc w:val="left"/>
            </w:pPr>
            <w:r>
              <w:t xml:space="preserve">ความต้านทานภายใน</w:t>
            </w:r>
          </w:p>
        </w:tc>
        <w:tc>
          <w:tcPr>
            <w:tcW w:type="dxa" w:w="4936"/>
          </w:tcPr>
          <w:p>
            <w:pPr>
              <w:pStyle w:val="Compact"/>
              <w:jc w:val="left"/>
            </w:pPr>
            <w:r>
              <w:t xml:space="preserve">เครื่องวัด AC 1 kHz หรือวิธี DC: ΔV ÷ ΔI ระหว่างโหลด 0.2C กับ 1C</w:t>
            </w:r>
          </w:p>
        </w:tc>
        <w:tc>
          <w:tcPr>
            <w:tcW w:type="dxa" w:w="2207"/>
          </w:tcPr>
          <w:p>
            <w:pPr>
              <w:pStyle w:val="Compact"/>
              <w:jc w:val="left"/>
            </w:pPr>
            <w:r>
              <w:t xml:space="preserve">≤ 150 mΩ</w:t>
            </w:r>
          </w:p>
        </w:tc>
      </w:tr>
      <w:tr>
        <w:tc>
          <w:tcPr>
            <w:tcW w:type="dxa" w:w="1927"/>
          </w:tcPr>
          <w:p>
            <w:pPr>
              <w:pStyle w:val="Compact"/>
              <w:jc w:val="left"/>
            </w:pPr>
            <w:r>
              <w:t xml:space="preserve">คายประจุเอง</w:t>
            </w:r>
          </w:p>
        </w:tc>
        <w:tc>
          <w:tcPr>
            <w:tcW w:type="dxa" w:w="4936"/>
          </w:tcPr>
          <w:p>
            <w:pPr>
              <w:pStyle w:val="Compact"/>
              <w:jc w:val="left"/>
            </w:pPr>
            <w:r>
              <w:t xml:space="preserve">ชาร์จเต็ม เก็บ 28 วันที่ 20 °C แล้ววัดความจุ</w:t>
            </w:r>
          </w:p>
        </w:tc>
        <w:tc>
          <w:tcPr>
            <w:tcW w:type="dxa" w:w="2207"/>
          </w:tcPr>
          <w:p>
            <w:pPr>
              <w:pStyle w:val="Compact"/>
              <w:jc w:val="left"/>
            </w:pPr>
            <w:r>
              <w:t xml:space="preserve">≥ 90 % ของครั้งแรก</w:t>
            </w:r>
          </w:p>
        </w:tc>
      </w:tr>
      <w:tr>
        <w:tc>
          <w:tcPr>
            <w:tcW w:type="dxa" w:w="1927"/>
          </w:tcPr>
          <w:p>
            <w:pPr>
              <w:pStyle w:val="Compact"/>
              <w:jc w:val="left"/>
            </w:pPr>
            <w:r>
              <w:t xml:space="preserve">วงจรป้องกัน</w:t>
            </w:r>
          </w:p>
        </w:tc>
        <w:tc>
          <w:tcPr>
            <w:tcW w:type="dxa" w:w="4936"/>
          </w:tcPr>
          <w:p>
            <w:pPr>
              <w:pStyle w:val="Compact"/>
              <w:jc w:val="left"/>
            </w:pPr>
            <w:r>
              <w:t xml:space="preserve">ใช้แหล่งจ่ายปรับได้ จำกัดกระแส 50 mA ค่อย ๆ ลดแรงดันจาก 3.0 V</w:t>
            </w:r>
          </w:p>
        </w:tc>
        <w:tc>
          <w:tcPr>
            <w:tcW w:type="dxa" w:w="2207"/>
          </w:tcPr>
          <w:p>
            <w:pPr>
              <w:pStyle w:val="Compact"/>
              <w:jc w:val="left"/>
            </w:pPr>
            <w:r>
              <w:t xml:space="preserve">สายตัดที่ 2.4 ± 0.1 V</w:t>
            </w:r>
          </w:p>
        </w:tc>
      </w:tr>
    </w:tbl>
    <w:p>
      <w:pPr>
        <w:pStyle w:val="BodyText"/>
      </w:pPr>
      <w:r>
        <w:t xml:space="preserve">อุปกรณ์ที่ใช้ได้ราคาไม่สูง เช่น เครื่องทดสอบความจุแบตเตอรี่แบบ USB หรือโหลดอิเล็กทรอนิกส์</w:t>
      </w:r>
      <w:r>
        <w:t xml:space="preserve"> </w:t>
      </w:r>
      <w:r>
        <w:t xml:space="preserve">ร่วมกับโมดูลชาร์จ TP4056 ที่ตั้งกระแสไว้ 0.2C</w:t>
      </w:r>
    </w:p>
    <w:bookmarkEnd w:id="40"/>
    <w:bookmarkStart w:id="47" w:name="เอกสารอางอง"/>
    <w:p>
      <w:pPr>
        <w:pStyle w:val="Heading1"/>
      </w:pPr>
      <w:r>
        <w:t xml:space="preserve">เอกสารอ้างอิง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[R1]</w:t>
      </w:r>
      <w:r>
        <w:t xml:space="preserve"> </w:t>
      </w:r>
      <w:r>
        <w:t xml:space="preserve">Reddy, T. B. (ed.).</w:t>
      </w:r>
      <w:r>
        <w:t xml:space="preserve"> </w:t>
      </w:r>
      <w:r>
        <w:rPr>
          <w:iCs/>
          <w:i/>
        </w:rPr>
        <w:t xml:space="preserve">Linden’s Handbook of Batteries</w:t>
      </w:r>
      <w:r>
        <w:t xml:space="preserve">, 4th ed. McGraw-Hill, 2011.</w:t>
      </w:r>
      <w:r>
        <w:t xml:space="preserve"> </w:t>
      </w:r>
      <w:r>
        <w:t xml:space="preserve">บทที่ 26</w:t>
      </w:r>
      <w:r>
        <w:t xml:space="preserve"> </w:t>
      </w:r>
      <w:r>
        <w:t xml:space="preserve">“</w:t>
      </w:r>
      <w:r>
        <w:t xml:space="preserve">Lithium-Ion Batteries</w:t>
      </w:r>
      <w:r>
        <w:t xml:space="preserve">”</w:t>
      </w:r>
      <w:r>
        <w:t xml:space="preserve"> </w:t>
      </w:r>
      <w:r>
        <w:t xml:space="preserve">(เคมี LiCoO₂ กราไฟต์ เส้นโค้งคายประจุ ความปลอดภัย)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[R2]</w:t>
      </w:r>
      <w:r>
        <w:t xml:space="preserve"> </w:t>
      </w:r>
      <w:r>
        <w:t xml:space="preserve">Goodenough, J. B., &amp; Park, K.-S.</w:t>
      </w:r>
      <w:r>
        <w:t xml:space="preserve"> </w:t>
      </w:r>
      <w:r>
        <w:t xml:space="preserve">“</w:t>
      </w:r>
      <w:r>
        <w:t xml:space="preserve">The Li-Ion Rechargeable Battery: A Perspective.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the American Chemical Society</w:t>
      </w:r>
      <w:r>
        <w:t xml:space="preserve">, 135(4), 1167–1176, 2013. doi:10.1021/ja3091438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[R3]</w:t>
      </w:r>
      <w:r>
        <w:t xml:space="preserve"> </w:t>
      </w:r>
      <w:r>
        <w:t xml:space="preserve">Vetter, J., Novák, P., Wagner, M. R., et al. </w:t>
      </w:r>
      <w:r>
        <w:t xml:space="preserve">“</w:t>
      </w:r>
      <w:r>
        <w:t xml:space="preserve">Ageing mechanisms in lithium-ion batteries.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Power Sources</w:t>
      </w:r>
      <w:r>
        <w:t xml:space="preserve">, 147(1–2), 269–281, 2005. doi:10.1016/j.jpowsour.2005.01.006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[R4]</w:t>
      </w:r>
      <w:r>
        <w:t xml:space="preserve"> </w:t>
      </w:r>
      <w:r>
        <w:t xml:space="preserve">Broussely, M., Biensan, P., Bonhomme, F., et al. </w:t>
      </w:r>
      <w:r>
        <w:t xml:space="preserve">“</w:t>
      </w:r>
      <w:r>
        <w:t xml:space="preserve">Main aging mechanisms in Li ion batteries.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Power Sources</w:t>
      </w:r>
      <w:r>
        <w:t xml:space="preserve">, 146(1–2), 90–96, 2005. doi:10.1016/j.jpowsour.2005.03.172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[R5]</w:t>
      </w:r>
      <w:r>
        <w:t xml:space="preserve"> </w:t>
      </w:r>
      <w:r>
        <w:t xml:space="preserve">Renata SA.</w:t>
      </w:r>
      <w:r>
        <w:t xml:space="preserve"> </w:t>
      </w:r>
      <w:r>
        <w:rPr>
          <w:iCs/>
          <w:i/>
        </w:rPr>
        <w:t xml:space="preserve">ICP622540PMT — Lithium Polymer Battery 3.7 V 600 mAh, Product Datasheet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https://www.mouser.com/datasheet/2/346/ICP622540PMT-519541.pdf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[R6]</w:t>
      </w:r>
      <w:r>
        <w:t xml:space="preserve"> </w:t>
      </w:r>
      <w:r>
        <w:t xml:space="preserve">NanJing Top Power ASIC Corp. </w:t>
      </w:r>
      <w:r>
        <w:rPr>
          <w:iCs/>
          <w:i/>
        </w:rPr>
        <w:t xml:space="preserve">TP4056 — 1A Standalone Linear Li-Ion Battery Charger</w:t>
      </w:r>
      <w:r>
        <w:t xml:space="preserve"> </w:t>
      </w:r>
      <w:r>
        <w:t xml:space="preserve">(datasheet).</w:t>
      </w:r>
      <w:r>
        <w:t xml:space="preserve"> </w:t>
      </w:r>
      <w:hyperlink r:id="rId42">
        <w:r>
          <w:rPr>
            <w:rStyle w:val="Hyperlink"/>
          </w:rPr>
          <w:t xml:space="preserve">https://dlnmh9ip6v2uc.cloudfront.net/datasheets/Prototyping/TP4056.pdf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[R7]</w:t>
      </w:r>
      <w:r>
        <w:t xml:space="preserve"> </w:t>
      </w:r>
      <w:r>
        <w:t xml:space="preserve">Battery University (Cadex Electronics).</w:t>
      </w:r>
      <w:r>
        <w:t xml:space="preserve"> </w:t>
      </w:r>
      <w:r>
        <w:rPr>
          <w:iCs/>
          <w:i/>
        </w:rPr>
        <w:t xml:space="preserve">BU-808: How to Prolong Lithium-based Batteries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https://batteryuniversity.com/article/bu-808-how-to-prolong-lithium-based-batteries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[R8]</w:t>
      </w:r>
      <w:r>
        <w:t xml:space="preserve"> </w:t>
      </w:r>
      <w:r>
        <w:t xml:space="preserve">Battery University.</w:t>
      </w:r>
      <w:r>
        <w:t xml:space="preserve"> </w:t>
      </w:r>
      <w:r>
        <w:rPr>
          <w:iCs/>
          <w:i/>
        </w:rPr>
        <w:t xml:space="preserve">BU-802b: What does Elevated Self-discharge Do?</w:t>
      </w:r>
      <w:r>
        <w:t xml:space="preserve"> </w:t>
      </w:r>
      <w:hyperlink r:id="rId44">
        <w:r>
          <w:rPr>
            <w:rStyle w:val="Hyperlink"/>
          </w:rPr>
          <w:t xml:space="preserve">https://batteryuniversity.com/article/bu-802b-what-does-elevated-self-discharge-do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[R9]</w:t>
      </w:r>
      <w:r>
        <w:t xml:space="preserve"> </w:t>
      </w:r>
      <w:r>
        <w:t xml:space="preserve">Battery University.</w:t>
      </w:r>
      <w:r>
        <w:t xml:space="preserve"> </w:t>
      </w:r>
      <w:r>
        <w:rPr>
          <w:iCs/>
          <w:i/>
        </w:rPr>
        <w:t xml:space="preserve">BU-702: How to Store Batteries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https://batteryuniversity.com/article/bu-702-how-to-store-batteries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[R10]</w:t>
      </w:r>
      <w:r>
        <w:t xml:space="preserve"> </w:t>
      </w:r>
      <w:r>
        <w:t xml:space="preserve">Battery University.</w:t>
      </w:r>
      <w:r>
        <w:t xml:space="preserve"> </w:t>
      </w:r>
      <w:r>
        <w:rPr>
          <w:iCs/>
          <w:i/>
        </w:rPr>
        <w:t xml:space="preserve">BU-409: Charging Lithium-ion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https://batteryuniversity.com/article/bu-409-charging-lithium-ion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[R11]</w:t>
      </w:r>
      <w:r>
        <w:t xml:space="preserve"> </w:t>
      </w:r>
      <w:r>
        <w:t xml:space="preserve">Fortune Semiconductor.</w:t>
      </w:r>
      <w:r>
        <w:t xml:space="preserve"> </w:t>
      </w:r>
      <w:r>
        <w:rPr>
          <w:iCs/>
          <w:i/>
        </w:rPr>
        <w:t xml:space="preserve">DW01-P — One Cell Lithium-ion/Polymer Battery Protection IC</w:t>
      </w:r>
      <w:r>
        <w:t xml:space="preserve"> </w:t>
      </w:r>
      <w:r>
        <w:t xml:space="preserve">(datasheet).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[R12]</w:t>
      </w:r>
      <w:r>
        <w:t xml:space="preserve"> </w:t>
      </w:r>
      <w:r>
        <w:t xml:space="preserve">IEC 62133-2:2017; UN</w:t>
      </w:r>
      <w:r>
        <w:t xml:space="preserve"> </w:t>
      </w:r>
      <w:r>
        <w:rPr>
          <w:iCs/>
          <w:i/>
        </w:rPr>
        <w:t xml:space="preserve">Manual of Tests and Criteria</w:t>
      </w:r>
      <w:r>
        <w:t xml:space="preserve">, Part III, sub-section 38.3;</w:t>
      </w:r>
      <w:r>
        <w:t xml:space="preserve"> </w:t>
      </w:r>
      <w:r>
        <w:t xml:space="preserve">IEC 60601-1:2005+AMD1:2012+AMD2:2020; Regulation (EU) 2023/1542 concerning batteries and waste batteries.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[R13]</w:t>
      </w:r>
      <w:r>
        <w:t xml:space="preserve"> </w:t>
      </w:r>
      <w:r>
        <w:t xml:space="preserve">IEC 61960-3:2017.</w:t>
      </w:r>
      <w:r>
        <w:t xml:space="preserve"> </w:t>
      </w:r>
      <w:r>
        <w:rPr>
          <w:iCs/>
          <w:i/>
        </w:rPr>
        <w:t xml:space="preserve">Secondary lithium cells and batteries for portable applications —</w:t>
      </w:r>
      <w:r>
        <w:rPr>
          <w:iCs/>
          <w:i/>
        </w:rPr>
        <w:t xml:space="preserve"> </w:t>
      </w:r>
      <w:r>
        <w:rPr>
          <w:iCs/>
          <w:i/>
        </w:rPr>
        <w:t xml:space="preserve">Part 3: Prismatic and cylindrical lithium secondary cells and batteries made from them</w:t>
      </w:r>
      <w:r>
        <w:t xml:space="preserve">, ข้อ 7.6.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[R14]</w:t>
      </w:r>
      <w:r>
        <w:t xml:space="preserve"> </w:t>
      </w:r>
      <w:r>
        <w:t xml:space="preserve">Waldmann, T., Wilka, M., Kasper, M., Fleischhammer, M., &amp; Wohlfahrt-Mehrens, M.</w:t>
      </w:r>
      <w:r>
        <w:t xml:space="preserve"> </w:t>
      </w:r>
      <w:r>
        <w:t xml:space="preserve">“</w:t>
      </w:r>
      <w:r>
        <w:t xml:space="preserve">Temperature dependent ageing mechanisms in Lithium-ion batteries – A Post-Mortem study.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Power Sources</w:t>
      </w:r>
      <w:r>
        <w:t xml:space="preserve">, 262, 129–135, 2014. doi:10.1016/j.jpowsour.2014.03.112</w:t>
      </w:r>
    </w:p>
    <w:bookmarkEnd w:id="47"/>
    <w:sectPr>
      <w:pgSz w:h="16838" w:w="11906"/>
      <w:pgMar w:bottom="1134" w:left="1701" w:right="1134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PSK" w:cs="TH SarabunPSK" w:eastAsia="TH SarabunPSK" w:hAnsi="TH SarabunPSK"/>
      <w:sz w:val="32"/>
      <w:szCs w:val="3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H SarabunPSK" w:cs="TH SarabunPSK" w:eastAsia="TH SarabunPSK" w:hAnsi="TH SarabunPSK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Pr>
      <w:rFonts w:ascii="TH SarabunPSK" w:cs="TH SarabunPSK" w:eastAsia="TH SarabunPSK" w:hAnsi="TH SarabunPSK"/>
      <w:sz w:val="32"/>
      <w:szCs w:val="3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PSK" w:cs="TH SarabunPSK" w:eastAsia="TH SarabunPSK" w:hAnsi="TH SarabunPSK"/>
      <w:sz w:val="32"/>
      <w:szCs w:val="3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PSK" w:cs="TH SarabunPSK" w:eastAsia="TH SarabunPSK" w:hAnsi="TH SarabunPSK"/>
      <w:b/>
      <w:bCs/>
      <w:sz w:val="52"/>
      <w:szCs w:val="52"/>
      <w:bCs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H SarabunPSK" w:cs="TH SarabunPSK" w:eastAsia="TH SarabunPSK" w:hAnsi="TH SarabunPSK"/>
      <w:sz w:val="36"/>
      <w:szCs w:val="36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H SarabunPSK" w:cs="TH SarabunPSK" w:eastAsia="TH SarabunPSK" w:hAnsi="TH SarabunPSK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H SarabunPSK" w:cs="TH SarabunPSK" w:eastAsia="TH SarabunPSK" w:hAnsi="TH SarabunPSK"/>
      <w:sz w:val="32"/>
      <w:szCs w:val="3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H SarabunPSK" w:cs="TH SarabunPSK" w:eastAsia="TH SarabunPSK" w:hAnsi="TH SarabunPSK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H SarabunPSK" w:cs="TH SarabunPSK" w:eastAsia="TH SarabunPSK" w:hAnsi="TH SarabunPSK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H SarabunPSK" w:cs="TH SarabunPSK" w:eastAsia="TH SarabunPSK" w:hAnsi="TH SarabunPSK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PSK" w:cs="TH SarabunPSK" w:eastAsia="TH SarabunPSK" w:hAnsi="TH SarabunPSK"/>
      <w:b/>
      <w:bCs/>
      <w:sz w:val="40"/>
      <w:szCs w:val="40"/>
      <w:bCs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PSK" w:cs="TH SarabunPSK" w:eastAsia="TH SarabunPSK" w:hAnsi="TH SarabunPSK"/>
      <w:b/>
      <w:bCs/>
      <w:sz w:val="36"/>
      <w:szCs w:val="36"/>
      <w:bCs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PSK" w:cs="TH SarabunPSK" w:eastAsia="TH SarabunPSK" w:hAnsi="TH SarabunPSK"/>
      <w:b/>
      <w:bCs/>
      <w:sz w:val="32"/>
      <w:szCs w:val="32"/>
      <w:bCs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PSK" w:cs="TH SarabunPSK" w:eastAsia="TH SarabunPSK" w:hAnsi="TH SarabunPSK"/>
      <w:i/>
      <w:b/>
      <w:bCs/>
      <w:sz w:val="24"/>
      <w:szCs w:val="24"/>
      <w:bCs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PSK" w:cs="TH SarabunPSK" w:eastAsia="TH SarabunPSK" w:hAnsi="TH SarabunPSK"/>
      <w:b/>
      <w:iCs/>
      <w:sz w:val="24"/>
      <w:szCs w:val="24"/>
      <w:b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PSK" w:cs="TH SarabunPSK" w:eastAsia="TH SarabunPSK" w:hAnsi="TH SarabunPSK"/>
      <w:b/>
      <w:sz w:val="24"/>
      <w:szCs w:val="24"/>
      <w:bCs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PSK" w:cs="TH SarabunPSK" w:eastAsia="TH SarabunPSK" w:hAnsi="TH SarabunPSK"/>
      <w:b/>
      <w:sz w:val="24"/>
      <w:szCs w:val="24"/>
      <w:bCs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PSK" w:cs="TH SarabunPSK" w:eastAsia="TH SarabunPSK" w:hAnsi="TH SarabunPSK"/>
      <w:b/>
      <w:sz w:val="24"/>
      <w:szCs w:val="24"/>
      <w:bCs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PSK" w:cs="TH SarabunPSK" w:eastAsia="TH SarabunPSK" w:hAnsi="TH SarabunPSK"/>
      <w:b/>
      <w:sz w:val="24"/>
      <w:szCs w:val="24"/>
      <w:bC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 w:val="32"/>
      <w:szCs w:val="3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PSK" w:cs="TH SarabunPSK" w:eastAsia="TH SarabunPSK" w:hAnsi="TH SarabunPSK"/>
    </w:rPr>
  </w:style>
  <w:style w:default="1" w:styleId="DefaultParagraphFont" w:type="character">
    <w:name w:val="Default Paragraph Font"/>
    <w:semiHidden/>
    <w:unhideWhenUsed/>
    <w:rPr>
      <w:rFonts w:ascii="TH SarabunPSK" w:cs="TH SarabunPSK" w:eastAsia="TH SarabunPSK" w:hAnsi="TH SarabunPSK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H SarabunPSK" w:cs="TH SarabunPSK" w:eastAsia="TH SarabunPSK" w:hAnsi="TH SarabunPSK"/>
      <w:b/>
    </w:rPr>
  </w:style>
  <w:style w:customStyle="1" w:styleId="Definition" w:type="paragraph">
    <w:name w:val="Definition"/>
    <w:basedOn w:val="Normal"/>
    <w:rPr>
      <w:rFonts w:ascii="TH SarabunPSK" w:cs="TH SarabunPSK" w:eastAsia="TH SarabunPSK" w:hAnsi="TH SarabunPSK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H SarabunPSK" w:cs="TH SarabunPSK" w:eastAsia="TH SarabunPSK" w:hAnsi="TH SarabunPSK"/>
      <w:i/>
    </w:rPr>
  </w:style>
  <w:style w:customStyle="1" w:styleId="TableCaption" w:type="paragraph">
    <w:name w:val="Table Caption"/>
    <w:basedOn w:val="Caption"/>
    <w:pPr>
      <w:keepNext/>
    </w:pPr>
    <w:rPr>
      <w:rFonts w:ascii="TH SarabunPSK" w:cs="TH SarabunPSK" w:eastAsia="TH SarabunPSK" w:hAnsi="TH SarabunPSK"/>
      <w:sz w:val="28"/>
      <w:szCs w:val="28"/>
    </w:rPr>
  </w:style>
  <w:style w:customStyle="1" w:styleId="ImageCaption" w:type="paragraph">
    <w:name w:val="Image Caption"/>
    <w:basedOn w:val="Caption"/>
    <w:rPr>
      <w:rFonts w:ascii="TH SarabunPSK" w:cs="TH SarabunPSK" w:eastAsia="TH SarabunPSK" w:hAnsi="TH SarabunPSK"/>
      <w:sz w:val="28"/>
      <w:szCs w:val="28"/>
    </w:rPr>
  </w:style>
  <w:style w:customStyle="1" w:styleId="Figure" w:type="paragraph">
    <w:name w:val="Figure"/>
    <w:basedOn w:val="Normal"/>
    <w:rPr>
      <w:rFonts w:ascii="TH SarabunPSK" w:cs="TH SarabunPSK" w:eastAsia="TH SarabunPSK" w:hAnsi="TH SarabunPSK"/>
    </w:rPr>
  </w:style>
  <w:style w:customStyle="1" w:styleId="CaptionedFigure" w:type="paragraph">
    <w:name w:val="Captioned Figure"/>
    <w:basedOn w:val="Figure"/>
    <w:pPr>
      <w:keepNext/>
    </w:pPr>
    <w:rPr>
      <w:rFonts w:ascii="TH SarabunPSK" w:cs="TH SarabunPSK" w:eastAsia="TH SarabunPSK" w:hAnsi="TH SarabunPSK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TH SarabunPSK" w:eastAsia="DejaVu Sans Mono" w:hAnsi="DejaVu Sans Mono"/>
      <w:sz w:val="22"/>
      <w:szCs w:val="3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PSK" w:cs="TH SarabunPSK" w:eastAsia="TH SarabunPSK" w:hAnsi="TH SarabunPSK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46" Type="http://schemas.openxmlformats.org/officeDocument/2006/relationships/hyperlink" Target="https://batteryuniversity.com/article/bu-409-charging-lithium-ion" TargetMode="External"/><Relationship Id="rId45" Type="http://schemas.openxmlformats.org/officeDocument/2006/relationships/hyperlink" Target="https://batteryuniversity.com/article/bu-702-how-to-store-batteries" TargetMode="External"/><Relationship Id="rId44" Type="http://schemas.openxmlformats.org/officeDocument/2006/relationships/hyperlink" Target="https://batteryuniversity.com/article/bu-802b-what-does-elevated-self-discharge-do" TargetMode="External"/><Relationship Id="rId43" Type="http://schemas.openxmlformats.org/officeDocument/2006/relationships/hyperlink" Target="https://batteryuniversity.com/article/bu-808-how-to-prolong-lithium-based-batteries" TargetMode="External"/><Relationship Id="rId42" Type="http://schemas.openxmlformats.org/officeDocument/2006/relationships/hyperlink" Target="https://dlnmh9ip6v2uc.cloudfront.net/datasheets/Prototyping/TP4056.pdf" TargetMode="External"/><Relationship Id="rId41" Type="http://schemas.openxmlformats.org/officeDocument/2006/relationships/hyperlink" Target="https://www.mouser.com/datasheet/2/346/ICP622540PMT-519541.pdf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batteryuniversity.com/article/bu-409-charging-lithium-ion" TargetMode="External"/><Relationship Id="rId45" Type="http://schemas.openxmlformats.org/officeDocument/2006/relationships/hyperlink" Target="https://batteryuniversity.com/article/bu-702-how-to-store-batteries" TargetMode="External"/><Relationship Id="rId44" Type="http://schemas.openxmlformats.org/officeDocument/2006/relationships/hyperlink" Target="https://batteryuniversity.com/article/bu-802b-what-does-elevated-self-discharge-do" TargetMode="External"/><Relationship Id="rId43" Type="http://schemas.openxmlformats.org/officeDocument/2006/relationships/hyperlink" Target="https://batteryuniversity.com/article/bu-808-how-to-prolong-lithium-based-batteries" TargetMode="External"/><Relationship Id="rId42" Type="http://schemas.openxmlformats.org/officeDocument/2006/relationships/hyperlink" Target="https://dlnmh9ip6v2uc.cloudfront.net/datasheets/Prototyping/TP4056.pdf" TargetMode="External"/><Relationship Id="rId41" Type="http://schemas.openxmlformats.org/officeDocument/2006/relationships/hyperlink" Target="https://www.mouser.com/datasheet/2/346/ICP622540PMT-51954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ข้อมูลเชิงเทคนิคและอายุการใช้งานของแบตเตอรี่ลิเธียมพอลิเมอร์ 802540 (3.7 V 600 mAh)</dc:title>
  <dc:creator/>
  <dc:language>th</dc:language>
  <cp:keywords/>
  <dcterms:created xsi:type="dcterms:W3CDTF">2026-10-06T04:21:19Z</dcterms:created>
  <dcterms:modified xsi:type="dcterms:W3CDTF">2026-10-06T04:21:19Z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 ตุลาคม 2569</vt:lpwstr>
  </property>
  <property fmtid="{D5CDD505-2E9C-101B-9397-08002B2CF9AE}" pid="3" name="subtitle">
    <vt:lpwstr>เอกสารประกอบโครงการ Smart IV Alert</vt:lpwstr>
  </property>
</Properties>
</file>