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center"/>
      </w:pPr>
      <w:r>
        <w:rPr>
          <w:b/>
          <w:color w:val="0F294A"/>
          <w:sz w:val="30"/>
        </w:rPr>
        <w:t>SVKM's NMIMS University</w:t>
      </w:r>
    </w:p>
    <w:p>
      <w:pPr>
        <w:spacing w:after="40"/>
        <w:jc w:val="center"/>
      </w:pPr>
      <w:r>
        <w:rPr>
          <w:b/>
          <w:color w:val="1E4E79"/>
          <w:sz w:val="24"/>
        </w:rPr>
        <w:t>Mukesh Patel School of Technology Management &amp; Engineering</w:t>
      </w:r>
    </w:p>
    <w:p>
      <w:pPr>
        <w:spacing w:after="320"/>
        <w:jc w:val="center"/>
      </w:pPr>
      <w:r>
        <w:rPr>
          <w:color w:val="595959"/>
          <w:sz w:val="21"/>
        </w:rPr>
        <w:t>Department of Computer Applications</w:t>
      </w:r>
    </w:p>
    <w:p>
      <w:pPr>
        <w:spacing w:after="320"/>
        <w:jc w:val="center"/>
      </w:pPr>
      <w:r>
        <w:rPr>
          <w:color w:val="0D9488"/>
        </w:rPr>
        <w:t>――――――――――――――――――――――――――――――――――――――――――――</w:t>
      </w:r>
    </w:p>
    <w:p>
      <w:pPr>
        <w:spacing w:after="120"/>
        <w:jc w:val="center"/>
      </w:pPr>
      <w:r>
        <w:rPr>
          <w:b/>
          <w:color w:val="1E4E79"/>
          <w:sz w:val="22"/>
        </w:rPr>
        <w:t>A MINI PROJECT REPORT ON</w:t>
      </w:r>
    </w:p>
    <w:p>
      <w:pPr>
        <w:spacing w:after="160"/>
        <w:jc w:val="center"/>
      </w:pPr>
      <w:r>
        <w:rPr>
          <w:b/>
          <w:color w:val="0F294A"/>
          <w:sz w:val="48"/>
        </w:rPr>
        <w:t>CYBERSHIELD</w:t>
      </w:r>
    </w:p>
    <w:p>
      <w:pPr>
        <w:spacing w:after="400"/>
        <w:jc w:val="center"/>
      </w:pPr>
      <w:r>
        <w:rPr>
          <w:b/>
          <w:color w:val="0D9488"/>
          <w:sz w:val="26"/>
        </w:rPr>
        <w:t>AI-Powered Autonomous Cybersecurity &amp; Attack Response Platform</w:t>
      </w:r>
    </w:p>
    <w:p>
      <w:pPr>
        <w:spacing w:after="360"/>
        <w:jc w:val="center"/>
      </w:pPr>
      <w:r>
        <w:rPr>
          <w:i/>
          <w:color w:val="262626"/>
          <w:sz w:val="21"/>
        </w:rPr>
        <w:t>Submitted in partial fulfillment of the requirements for the award of degree of</w:t>
        <w:br/>
        <w:t>Master of Computer Applications (MCA)</w:t>
      </w:r>
    </w:p>
    <w:p>
      <w:pPr>
        <w:spacing w:after="80"/>
        <w:jc w:val="center"/>
      </w:pPr>
      <w:r>
        <w:rPr>
          <w:b/>
          <w:color w:val="0F294A"/>
          <w:sz w:val="22"/>
        </w:rPr>
        <w:t>Submitted by:</w:t>
      </w:r>
    </w:p>
    <w:tbl>
      <w:tblPr>
        <w:tblW w:type="auto" w:w="0"/>
        <w:jc w:val="center"/>
        <w:tblLook w:firstColumn="1" w:firstRow="1" w:lastColumn="0" w:lastRow="0" w:noHBand="0" w:noVBand="1" w:val="04A0"/>
      </w:tblPr>
      <w:tblGrid>
        <w:gridCol w:w="3010"/>
        <w:gridCol w:w="3010"/>
        <w:gridCol w:w="3010"/>
      </w:tblGrid>
      <w:tr>
        <w:tc>
          <w:tcPr>
            <w:tcW w:type="dxa" w:w="1440"/>
            <w:shd w:fill="0F294A"/>
            <w:tcMar>
              <w:top w:w="140" w:type="dxa"/>
              <w:bottom w:w="140" w:type="dxa"/>
              <w:left w:w="160" w:type="dxa"/>
              <w:right w:w="160" w:type="dxa"/>
            </w:tcMar>
          </w:tcPr>
          <w:p>
            <w:pPr>
              <w:jc w:val="center"/>
            </w:pPr>
            <w:r>
              <w:rPr>
                <w:b/>
                <w:color w:val="FFFFFF"/>
                <w:sz w:val="20"/>
              </w:rPr>
              <w:t>Sr. No.</w:t>
            </w:r>
          </w:p>
        </w:tc>
        <w:tc>
          <w:tcPr>
            <w:tcW w:type="dxa" w:w="4608"/>
            <w:shd w:fill="0F294A"/>
            <w:tcMar>
              <w:top w:w="140" w:type="dxa"/>
              <w:bottom w:w="140" w:type="dxa"/>
              <w:left w:w="160" w:type="dxa"/>
              <w:right w:w="160" w:type="dxa"/>
            </w:tcMar>
          </w:tcPr>
          <w:p>
            <w:pPr>
              <w:jc w:val="left"/>
            </w:pPr>
            <w:r>
              <w:rPr>
                <w:b/>
                <w:color w:val="FFFFFF"/>
                <w:sz w:val="20"/>
              </w:rPr>
              <w:t>Student Name</w:t>
            </w:r>
          </w:p>
        </w:tc>
        <w:tc>
          <w:tcPr>
            <w:tcW w:type="dxa" w:w="2592"/>
            <w:shd w:fill="0F294A"/>
            <w:tcMar>
              <w:top w:w="140" w:type="dxa"/>
              <w:bottom w:w="140" w:type="dxa"/>
              <w:left w:w="160" w:type="dxa"/>
              <w:right w:w="160" w:type="dxa"/>
            </w:tcMar>
          </w:tcPr>
          <w:p>
            <w:pPr>
              <w:jc w:val="center"/>
            </w:pPr>
            <w:r>
              <w:rPr>
                <w:b/>
                <w:color w:val="FFFFFF"/>
                <w:sz w:val="20"/>
              </w:rPr>
              <w:t>Roll Number</w:t>
            </w:r>
          </w:p>
        </w:tc>
      </w:tr>
      <w:tr>
        <w:tc>
          <w:tcPr>
            <w:tcW w:type="dxa" w:w="1440"/>
            <w:shd w:fill="F4F6F9"/>
            <w:tcMar>
              <w:top w:w="120" w:type="dxa"/>
              <w:bottom w:w="120" w:type="dxa"/>
              <w:left w:w="160" w:type="dxa"/>
              <w:right w:w="160" w:type="dxa"/>
            </w:tcMar>
            <w:tcBorders>
              <w:top w:val="single" w:sz="4" w:space="0" w:color="CCCCCC"/>
              <w:bottom w:val="single" w:sz="4" w:space="0" w:color="CCCCCC"/>
              <w:left w:val="single" w:sz="4" w:space="0" w:color="CCCCCC"/>
              <w:right w:val="single" w:sz="4" w:space="0" w:color="CCCCCC"/>
            </w:tcBorders>
          </w:tcPr>
          <w:p>
            <w:pPr>
              <w:jc w:val="center"/>
            </w:pPr>
            <w:r>
              <w:rPr>
                <w:color w:val="262626"/>
                <w:sz w:val="20"/>
              </w:rPr>
              <w:t>1</w:t>
            </w:r>
          </w:p>
        </w:tc>
        <w:tc>
          <w:tcPr>
            <w:tcW w:type="dxa" w:w="4608"/>
            <w:shd w:fill="F4F6F9"/>
            <w:tcMar>
              <w:top w:w="120" w:type="dxa"/>
              <w:bottom w:w="120" w:type="dxa"/>
              <w:left w:w="160" w:type="dxa"/>
              <w:right w:w="160" w:type="dxa"/>
            </w:tcMar>
            <w:tcBorders>
              <w:top w:val="single" w:sz="4" w:space="0" w:color="CCCCCC"/>
              <w:bottom w:val="single" w:sz="4" w:space="0" w:color="CCCCCC"/>
              <w:left w:val="single" w:sz="4" w:space="0" w:color="CCCCCC"/>
              <w:right w:val="single" w:sz="4" w:space="0" w:color="CCCCCC"/>
            </w:tcBorders>
          </w:tcPr>
          <w:p>
            <w:pPr>
              <w:jc w:val="left"/>
            </w:pPr>
            <w:r>
              <w:rPr>
                <w:color w:val="262626"/>
                <w:sz w:val="20"/>
              </w:rPr>
              <w:t>Aarmee Patel</w:t>
            </w:r>
          </w:p>
        </w:tc>
        <w:tc>
          <w:tcPr>
            <w:tcW w:type="dxa" w:w="2592"/>
            <w:shd w:fill="F4F6F9"/>
            <w:tcMar>
              <w:top w:w="120" w:type="dxa"/>
              <w:bottom w:w="120" w:type="dxa"/>
              <w:left w:w="160" w:type="dxa"/>
              <w:right w:w="160" w:type="dxa"/>
            </w:tcMar>
            <w:tcBorders>
              <w:top w:val="single" w:sz="4" w:space="0" w:color="CCCCCC"/>
              <w:bottom w:val="single" w:sz="4" w:space="0" w:color="CCCCCC"/>
              <w:left w:val="single" w:sz="4" w:space="0" w:color="CCCCCC"/>
              <w:right w:val="single" w:sz="4" w:space="0" w:color="CCCCCC"/>
            </w:tcBorders>
          </w:tcPr>
          <w:p>
            <w:pPr>
              <w:jc w:val="center"/>
            </w:pPr>
            <w:r>
              <w:rPr>
                <w:color w:val="262626"/>
                <w:sz w:val="20"/>
              </w:rPr>
              <w:t>A001</w:t>
            </w:r>
          </w:p>
        </w:tc>
      </w:tr>
      <w:tr>
        <w:tc>
          <w:tcPr>
            <w:tcW w:type="dxa" w:w="1440"/>
            <w:shd w:fill="FFFFFF"/>
            <w:tcMar>
              <w:top w:w="120" w:type="dxa"/>
              <w:bottom w:w="120" w:type="dxa"/>
              <w:left w:w="160" w:type="dxa"/>
              <w:right w:w="160" w:type="dxa"/>
            </w:tcMar>
            <w:tcBorders>
              <w:top w:val="single" w:sz="4" w:space="0" w:color="CCCCCC"/>
              <w:bottom w:val="single" w:sz="4" w:space="0" w:color="CCCCCC"/>
              <w:left w:val="single" w:sz="4" w:space="0" w:color="CCCCCC"/>
              <w:right w:val="single" w:sz="4" w:space="0" w:color="CCCCCC"/>
            </w:tcBorders>
          </w:tcPr>
          <w:p>
            <w:pPr>
              <w:jc w:val="center"/>
            </w:pPr>
            <w:r>
              <w:rPr>
                <w:color w:val="262626"/>
                <w:sz w:val="20"/>
              </w:rPr>
              <w:t>2</w:t>
            </w:r>
          </w:p>
        </w:tc>
        <w:tc>
          <w:tcPr>
            <w:tcW w:type="dxa" w:w="4608"/>
            <w:shd w:fill="FFFFFF"/>
            <w:tcMar>
              <w:top w:w="120" w:type="dxa"/>
              <w:bottom w:w="120" w:type="dxa"/>
              <w:left w:w="160" w:type="dxa"/>
              <w:right w:w="160" w:type="dxa"/>
            </w:tcMar>
            <w:tcBorders>
              <w:top w:val="single" w:sz="4" w:space="0" w:color="CCCCCC"/>
              <w:bottom w:val="single" w:sz="4" w:space="0" w:color="CCCCCC"/>
              <w:left w:val="single" w:sz="4" w:space="0" w:color="CCCCCC"/>
              <w:right w:val="single" w:sz="4" w:space="0" w:color="CCCCCC"/>
            </w:tcBorders>
          </w:tcPr>
          <w:p>
            <w:pPr>
              <w:jc w:val="left"/>
            </w:pPr>
            <w:r>
              <w:rPr>
                <w:color w:val="262626"/>
                <w:sz w:val="20"/>
              </w:rPr>
              <w:t>Kirti Gummerla</w:t>
            </w:r>
          </w:p>
        </w:tc>
        <w:tc>
          <w:tcPr>
            <w:tcW w:type="dxa" w:w="2592"/>
            <w:shd w:fill="FFFFFF"/>
            <w:tcMar>
              <w:top w:w="120" w:type="dxa"/>
              <w:bottom w:w="120" w:type="dxa"/>
              <w:left w:w="160" w:type="dxa"/>
              <w:right w:w="160" w:type="dxa"/>
            </w:tcMar>
            <w:tcBorders>
              <w:top w:val="single" w:sz="4" w:space="0" w:color="CCCCCC"/>
              <w:bottom w:val="single" w:sz="4" w:space="0" w:color="CCCCCC"/>
              <w:left w:val="single" w:sz="4" w:space="0" w:color="CCCCCC"/>
              <w:right w:val="single" w:sz="4" w:space="0" w:color="CCCCCC"/>
            </w:tcBorders>
          </w:tcPr>
          <w:p>
            <w:pPr>
              <w:jc w:val="center"/>
            </w:pPr>
            <w:r>
              <w:rPr>
                <w:color w:val="262626"/>
                <w:sz w:val="20"/>
              </w:rPr>
              <w:t>A027</w:t>
            </w:r>
          </w:p>
        </w:tc>
      </w:tr>
      <w:tr>
        <w:tc>
          <w:tcPr>
            <w:tcW w:type="dxa" w:w="1440"/>
            <w:shd w:fill="F4F6F9"/>
            <w:tcMar>
              <w:top w:w="120" w:type="dxa"/>
              <w:bottom w:w="120" w:type="dxa"/>
              <w:left w:w="160" w:type="dxa"/>
              <w:right w:w="160" w:type="dxa"/>
            </w:tcMar>
            <w:tcBorders>
              <w:top w:val="single" w:sz="4" w:space="0" w:color="CCCCCC"/>
              <w:bottom w:val="single" w:sz="4" w:space="0" w:color="CCCCCC"/>
              <w:left w:val="single" w:sz="4" w:space="0" w:color="CCCCCC"/>
              <w:right w:val="single" w:sz="4" w:space="0" w:color="CCCCCC"/>
            </w:tcBorders>
          </w:tcPr>
          <w:p>
            <w:pPr>
              <w:jc w:val="center"/>
            </w:pPr>
            <w:r>
              <w:rPr>
                <w:color w:val="262626"/>
                <w:sz w:val="20"/>
              </w:rPr>
              <w:t>3</w:t>
            </w:r>
          </w:p>
        </w:tc>
        <w:tc>
          <w:tcPr>
            <w:tcW w:type="dxa" w:w="4608"/>
            <w:shd w:fill="F4F6F9"/>
            <w:tcMar>
              <w:top w:w="120" w:type="dxa"/>
              <w:bottom w:w="120" w:type="dxa"/>
              <w:left w:w="160" w:type="dxa"/>
              <w:right w:w="160" w:type="dxa"/>
            </w:tcMar>
            <w:tcBorders>
              <w:top w:val="single" w:sz="4" w:space="0" w:color="CCCCCC"/>
              <w:bottom w:val="single" w:sz="4" w:space="0" w:color="CCCCCC"/>
              <w:left w:val="single" w:sz="4" w:space="0" w:color="CCCCCC"/>
              <w:right w:val="single" w:sz="4" w:space="0" w:color="CCCCCC"/>
            </w:tcBorders>
          </w:tcPr>
          <w:p>
            <w:pPr>
              <w:jc w:val="left"/>
            </w:pPr>
            <w:r>
              <w:rPr>
                <w:color w:val="262626"/>
                <w:sz w:val="20"/>
              </w:rPr>
              <w:t>Richa Patel</w:t>
            </w:r>
          </w:p>
        </w:tc>
        <w:tc>
          <w:tcPr>
            <w:tcW w:type="dxa" w:w="2592"/>
            <w:shd w:fill="F4F6F9"/>
            <w:tcMar>
              <w:top w:w="120" w:type="dxa"/>
              <w:bottom w:w="120" w:type="dxa"/>
              <w:left w:w="160" w:type="dxa"/>
              <w:right w:w="160" w:type="dxa"/>
            </w:tcMar>
            <w:tcBorders>
              <w:top w:val="single" w:sz="4" w:space="0" w:color="CCCCCC"/>
              <w:bottom w:val="single" w:sz="4" w:space="0" w:color="CCCCCC"/>
              <w:left w:val="single" w:sz="4" w:space="0" w:color="CCCCCC"/>
              <w:right w:val="single" w:sz="4" w:space="0" w:color="CCCCCC"/>
            </w:tcBorders>
          </w:tcPr>
          <w:p>
            <w:pPr>
              <w:jc w:val="center"/>
            </w:pPr>
            <w:r>
              <w:rPr>
                <w:color w:val="262626"/>
                <w:sz w:val="20"/>
              </w:rPr>
              <w:t>A035</w:t>
            </w:r>
          </w:p>
        </w:tc>
      </w:tr>
    </w:tbl>
    <w:p>
      <w:pPr>
        <w:spacing w:after="240"/>
      </w:pPr>
    </w:p>
    <w:tbl>
      <w:tblPr>
        <w:tblW w:type="auto" w:w="0"/>
        <w:jc w:val="center"/>
        <w:tblLook w:firstColumn="1" w:firstRow="1" w:lastColumn="0" w:lastRow="0" w:noHBand="0" w:noVBand="1" w:val="04A0"/>
      </w:tblPr>
      <w:tblGrid>
        <w:gridCol w:w="4514"/>
        <w:gridCol w:w="4514"/>
      </w:tblGrid>
      <w:tr>
        <w:tc>
          <w:tcPr>
            <w:tcW w:type="dxa" w:w="3600"/>
            <w:shd w:fill="F4F6F9"/>
            <w:tcMar>
              <w:top w:w="100" w:type="dxa"/>
              <w:bottom w:w="100" w:type="dxa"/>
              <w:left w:w="160" w:type="dxa"/>
              <w:right w:w="160" w:type="dxa"/>
            </w:tcMar>
            <w:tcBorders>
              <w:top w:val="single" w:sz="4" w:space="0" w:color="CCCCCC"/>
              <w:bottom w:val="single" w:sz="4" w:space="0" w:color="CCCCCC"/>
              <w:left w:val="single" w:sz="4" w:space="0" w:color="CCCCCC"/>
              <w:right w:val="single" w:sz="4" w:space="0" w:color="CCCCCC"/>
            </w:tcBorders>
          </w:tcPr>
          <w:p>
            <w:r>
              <w:rPr>
                <w:b/>
                <w:color w:val="0F294A"/>
                <w:sz w:val="19"/>
              </w:rPr>
              <w:t>Class &amp; Division</w:t>
            </w:r>
          </w:p>
        </w:tc>
        <w:tc>
          <w:tcPr>
            <w:tcW w:type="dxa" w:w="5040"/>
            <w:shd w:fill="FFFFFF"/>
            <w:tcMar>
              <w:top w:w="100" w:type="dxa"/>
              <w:bottom w:w="100" w:type="dxa"/>
              <w:left w:w="160" w:type="dxa"/>
              <w:right w:w="160" w:type="dxa"/>
            </w:tcMar>
            <w:tcBorders>
              <w:top w:val="single" w:sz="4" w:space="0" w:color="CCCCCC"/>
              <w:bottom w:val="single" w:sz="4" w:space="0" w:color="CCCCCC"/>
              <w:left w:val="single" w:sz="4" w:space="0" w:color="CCCCCC"/>
              <w:right w:val="single" w:sz="4" w:space="0" w:color="CCCCCC"/>
            </w:tcBorders>
          </w:tcPr>
          <w:p>
            <w:r>
              <w:rPr>
                <w:color w:val="262626"/>
                <w:sz w:val="19"/>
              </w:rPr>
              <w:t>MCA — Division B1</w:t>
            </w:r>
          </w:p>
        </w:tc>
      </w:tr>
      <w:tr>
        <w:tc>
          <w:tcPr>
            <w:tcW w:type="dxa" w:w="3600"/>
            <w:shd w:fill="F4F6F9"/>
            <w:tcMar>
              <w:top w:w="100" w:type="dxa"/>
              <w:bottom w:w="100" w:type="dxa"/>
              <w:left w:w="160" w:type="dxa"/>
              <w:right w:w="160" w:type="dxa"/>
            </w:tcMar>
            <w:tcBorders>
              <w:top w:val="single" w:sz="4" w:space="0" w:color="CCCCCC"/>
              <w:bottom w:val="single" w:sz="4" w:space="0" w:color="CCCCCC"/>
              <w:left w:val="single" w:sz="4" w:space="0" w:color="CCCCCC"/>
              <w:right w:val="single" w:sz="4" w:space="0" w:color="CCCCCC"/>
            </w:tcBorders>
          </w:tcPr>
          <w:p>
            <w:r>
              <w:rPr>
                <w:b/>
                <w:color w:val="0F294A"/>
                <w:sz w:val="19"/>
              </w:rPr>
              <w:t>Course / Subject</w:t>
            </w:r>
          </w:p>
        </w:tc>
        <w:tc>
          <w:tcPr>
            <w:tcW w:type="dxa" w:w="5040"/>
            <w:shd w:fill="FFFFFF"/>
            <w:tcMar>
              <w:top w:w="100" w:type="dxa"/>
              <w:bottom w:w="100" w:type="dxa"/>
              <w:left w:w="160" w:type="dxa"/>
              <w:right w:w="160" w:type="dxa"/>
            </w:tcMar>
            <w:tcBorders>
              <w:top w:val="single" w:sz="4" w:space="0" w:color="CCCCCC"/>
              <w:bottom w:val="single" w:sz="4" w:space="0" w:color="CCCCCC"/>
              <w:left w:val="single" w:sz="4" w:space="0" w:color="CCCCCC"/>
              <w:right w:val="single" w:sz="4" w:space="0" w:color="CCCCCC"/>
            </w:tcBorders>
          </w:tcPr>
          <w:p>
            <w:r>
              <w:rPr>
                <w:color w:val="262626"/>
                <w:sz w:val="19"/>
              </w:rPr>
              <w:t>Cyber Security Mini Project</w:t>
            </w:r>
          </w:p>
        </w:tc>
      </w:tr>
      <w:tr>
        <w:tc>
          <w:tcPr>
            <w:tcW w:type="dxa" w:w="3600"/>
            <w:shd w:fill="F4F6F9"/>
            <w:tcMar>
              <w:top w:w="100" w:type="dxa"/>
              <w:bottom w:w="100" w:type="dxa"/>
              <w:left w:w="160" w:type="dxa"/>
              <w:right w:w="160" w:type="dxa"/>
            </w:tcMar>
            <w:tcBorders>
              <w:top w:val="single" w:sz="4" w:space="0" w:color="CCCCCC"/>
              <w:bottom w:val="single" w:sz="4" w:space="0" w:color="CCCCCC"/>
              <w:left w:val="single" w:sz="4" w:space="0" w:color="CCCCCC"/>
              <w:right w:val="single" w:sz="4" w:space="0" w:color="CCCCCC"/>
            </w:tcBorders>
          </w:tcPr>
          <w:p>
            <w:r>
              <w:rPr>
                <w:b/>
                <w:color w:val="0F294A"/>
                <w:sz w:val="19"/>
              </w:rPr>
              <w:t>Academic Year</w:t>
            </w:r>
          </w:p>
        </w:tc>
        <w:tc>
          <w:tcPr>
            <w:tcW w:type="dxa" w:w="5040"/>
            <w:shd w:fill="FFFFFF"/>
            <w:tcMar>
              <w:top w:w="100" w:type="dxa"/>
              <w:bottom w:w="100" w:type="dxa"/>
              <w:left w:w="160" w:type="dxa"/>
              <w:right w:w="160" w:type="dxa"/>
            </w:tcMar>
            <w:tcBorders>
              <w:top w:val="single" w:sz="4" w:space="0" w:color="CCCCCC"/>
              <w:bottom w:val="single" w:sz="4" w:space="0" w:color="CCCCCC"/>
              <w:left w:val="single" w:sz="4" w:space="0" w:color="CCCCCC"/>
              <w:right w:val="single" w:sz="4" w:space="0" w:color="CCCCCC"/>
            </w:tcBorders>
          </w:tcPr>
          <w:p>
            <w:r>
              <w:rPr>
                <w:color w:val="262626"/>
                <w:sz w:val="19"/>
              </w:rPr>
              <w:t>2026–2027</w:t>
            </w:r>
          </w:p>
        </w:tc>
      </w:tr>
      <w:tr>
        <w:tc>
          <w:tcPr>
            <w:tcW w:type="dxa" w:w="3600"/>
            <w:shd w:fill="F4F6F9"/>
            <w:tcMar>
              <w:top w:w="100" w:type="dxa"/>
              <w:bottom w:w="100" w:type="dxa"/>
              <w:left w:w="160" w:type="dxa"/>
              <w:right w:w="160" w:type="dxa"/>
            </w:tcMar>
            <w:tcBorders>
              <w:top w:val="single" w:sz="4" w:space="0" w:color="CCCCCC"/>
              <w:bottom w:val="single" w:sz="4" w:space="0" w:color="CCCCCC"/>
              <w:left w:val="single" w:sz="4" w:space="0" w:color="CCCCCC"/>
              <w:right w:val="single" w:sz="4" w:space="0" w:color="CCCCCC"/>
            </w:tcBorders>
          </w:tcPr>
          <w:p>
            <w:r>
              <w:rPr>
                <w:b/>
                <w:color w:val="0F294A"/>
                <w:sz w:val="19"/>
              </w:rPr>
              <w:t>Group Number</w:t>
            </w:r>
          </w:p>
        </w:tc>
        <w:tc>
          <w:tcPr>
            <w:tcW w:type="dxa" w:w="5040"/>
            <w:shd w:fill="FFFFFF"/>
            <w:tcMar>
              <w:top w:w="100" w:type="dxa"/>
              <w:bottom w:w="100" w:type="dxa"/>
              <w:left w:w="160" w:type="dxa"/>
              <w:right w:w="160" w:type="dxa"/>
            </w:tcMar>
            <w:tcBorders>
              <w:top w:val="single" w:sz="4" w:space="0" w:color="CCCCCC"/>
              <w:bottom w:val="single" w:sz="4" w:space="0" w:color="CCCCCC"/>
              <w:left w:val="single" w:sz="4" w:space="0" w:color="CCCCCC"/>
              <w:right w:val="single" w:sz="4" w:space="0" w:color="CCCCCC"/>
            </w:tcBorders>
          </w:tcPr>
          <w:p>
            <w:r>
              <w:rPr>
                <w:color w:val="262626"/>
                <w:sz w:val="19"/>
              </w:rPr>
              <w:t>[ Group No. ____ ]</w:t>
            </w:r>
          </w:p>
        </w:tc>
      </w:tr>
      <w:tr>
        <w:tc>
          <w:tcPr>
            <w:tcW w:type="dxa" w:w="3600"/>
            <w:shd w:fill="F4F6F9"/>
            <w:tcMar>
              <w:top w:w="100" w:type="dxa"/>
              <w:bottom w:w="100" w:type="dxa"/>
              <w:left w:w="160" w:type="dxa"/>
              <w:right w:w="160" w:type="dxa"/>
            </w:tcMar>
            <w:tcBorders>
              <w:top w:val="single" w:sz="4" w:space="0" w:color="CCCCCC"/>
              <w:bottom w:val="single" w:sz="4" w:space="0" w:color="CCCCCC"/>
              <w:left w:val="single" w:sz="4" w:space="0" w:color="CCCCCC"/>
              <w:right w:val="single" w:sz="4" w:space="0" w:color="CCCCCC"/>
            </w:tcBorders>
          </w:tcPr>
          <w:p>
            <w:r>
              <w:rPr>
                <w:b/>
                <w:color w:val="0F294A"/>
                <w:sz w:val="19"/>
              </w:rPr>
              <w:t>Faculty Mentor / Guide</w:t>
            </w:r>
          </w:p>
        </w:tc>
        <w:tc>
          <w:tcPr>
            <w:tcW w:type="dxa" w:w="5040"/>
            <w:shd w:fill="FFFFFF"/>
            <w:tcMar>
              <w:top w:w="100" w:type="dxa"/>
              <w:bottom w:w="100" w:type="dxa"/>
              <w:left w:w="160" w:type="dxa"/>
              <w:right w:w="160" w:type="dxa"/>
            </w:tcMar>
            <w:tcBorders>
              <w:top w:val="single" w:sz="4" w:space="0" w:color="CCCCCC"/>
              <w:bottom w:val="single" w:sz="4" w:space="0" w:color="CCCCCC"/>
              <w:left w:val="single" w:sz="4" w:space="0" w:color="CCCCCC"/>
              <w:right w:val="single" w:sz="4" w:space="0" w:color="CCCCCC"/>
            </w:tcBorders>
          </w:tcPr>
          <w:p>
            <w:r>
              <w:rPr>
                <w:color w:val="262626"/>
                <w:sz w:val="19"/>
              </w:rPr>
              <w:t>[ Prof. / Dr. ____________________ ]</w:t>
            </w:r>
          </w:p>
        </w:tc>
      </w:tr>
    </w:tbl>
    <w:p>
      <w:pPr>
        <w:spacing w:before="400"/>
        <w:jc w:val="center"/>
      </w:pPr>
      <w:r>
        <w:rPr>
          <w:color w:val="595959"/>
          <w:sz w:val="19"/>
        </w:rPr>
        <w:t>Mumbai, Maharashtra, India</w:t>
        <w:br/>
        <w:t>Academic Year: 2026–2027</w:t>
      </w:r>
    </w:p>
    <w:p>
      <w:r>
        <w:br w:type="page"/>
      </w:r>
    </w:p>
    <w:p>
      <w:pPr>
        <w:pStyle w:val="Heading1"/>
        <w:keepNext/>
        <w:spacing w:before="280" w:after="80"/>
      </w:pPr>
      <w:r>
        <w:rPr>
          <w:rFonts w:ascii="Calibri" w:hAnsi="Calibri"/>
          <w:b/>
          <w:color w:val="0F294A"/>
          <w:sz w:val="30"/>
        </w:rPr>
        <w:t>2. Introduction</w:t>
      </w:r>
    </w:p>
    <w:p>
      <w:r>
        <w:t>Email remains the primary initial access vector for over 85% of modern cybersecurity breaches. Contemporary phishing attacks have evolved far beyond trivial spam campaigns; modern adversaries deploy targeted multi-vector spear-phishing that intricately blends social engineering psychology, lookalike typosquatting domains, homoglyph punycode URLs, macro-enabled weaponized attachments, and technical RFC 822 email header spoofing. When organizations rely exclusively on traditional, isolated perimeter email filters, zero-day deceptive campaigns routinely slip past basic keyword heuristics and land directly in employee inboxes.</w:t>
      </w:r>
    </w:p>
    <w:p>
      <w:r>
        <w:t>Furthermore, conventional security operations center (SOC) environments suffer from severe operational fragmentation. When a suspicious email is reported, a human analyst must manually extract indicators of compromise (IOCs), perform whois lookups, verify SPF/DKIM/DMARC headers, correlate the incident against threat intelligence, draft firewall rules, manually quarantine the message, and inform the affected user. This manual triage introduces severe mean-time-to-respond (MTTR) latency, allowing credential harvesting and payload execution to succeed.</w:t>
      </w:r>
    </w:p>
    <w:p>
      <w:r>
        <w:t>CyberShield addresses this challenge by implementing an integrated, autonomous defense platform. Rather than viewing email security as an isolated binary classification task, CyberShield connects detection, forensic investigation, campaign correlation, simulated autonomous self-healing remediation, active post-action verification, automated user/admin notifications, continuous 24/7 background monitoring, and human-centric awareness training into one continuous, self-reinforcing security feedback loop.</w:t>
      </w:r>
    </w:p>
    <w:tbl>
      <w:tblPr>
        <w:tblW w:type="auto" w:w="0"/>
        <w:jc w:val="center"/>
        <w:tblLook w:firstColumn="1" w:firstRow="1" w:lastColumn="0" w:lastRow="0" w:noHBand="0" w:noVBand="1" w:val="04A0"/>
      </w:tblPr>
      <w:tblGrid>
        <w:gridCol w:w="9029"/>
      </w:tblGrid>
      <w:tr>
        <w:tc>
          <w:tcPr>
            <w:tcW w:type="dxa" w:w="9029"/>
            <w:shd w:fill="F0F4F8"/>
            <w:tcMar>
              <w:top w:w="140" w:type="dxa"/>
              <w:bottom w:w="140" w:type="dxa"/>
              <w:left w:w="200" w:type="dxa"/>
              <w:right w:w="200" w:type="dxa"/>
            </w:tcMar>
            <w:tcBorders>
              <w:top w:val="single" w:sz="4" w:space="0" w:color="E2E8F0"/>
              <w:bottom w:val="single" w:sz="4" w:space="0" w:color="E2E8F0"/>
              <w:left w:val="single" w:sz="4" w:space="0" w:color="0F294A"/>
              <w:right w:val="single" w:sz="4" w:space="0" w:color="E2E8F0"/>
            </w:tcBorders>
          </w:tcPr>
          <w:p>
            <w:pPr>
              <w:spacing w:after="40"/>
            </w:pPr>
            <w:r>
              <w:rPr>
                <w:b/>
                <w:color w:val="0F294A"/>
                <w:sz w:val="20"/>
              </w:rPr>
              <w:t>Core Value Proposition</w:t>
            </w:r>
          </w:p>
          <w:p>
            <w:pPr>
              <w:spacing w:after="0"/>
            </w:pPr>
            <w:r>
              <w:rPr>
                <w:color w:val="262626"/>
                <w:sz w:val="19"/>
              </w:rPr>
              <w:t>CyberShield bridges machine defense (autonomous multi-vector detection and self-healing containment) with human defense (adaptive scenario training and phishing validation) to provide complete defense-in-depth for enterprise environments.</w:t>
            </w:r>
          </w:p>
        </w:tc>
      </w:tr>
    </w:tbl>
    <w:p>
      <w:pPr>
        <w:spacing w:after="60"/>
      </w:pPr>
    </w:p>
    <w:p>
      <w:pPr>
        <w:pStyle w:val="Heading1"/>
        <w:keepNext/>
        <w:spacing w:before="280" w:after="80"/>
      </w:pPr>
      <w:r>
        <w:rPr>
          <w:rFonts w:ascii="Calibri" w:hAnsi="Calibri"/>
          <w:b/>
          <w:color w:val="0F294A"/>
          <w:sz w:val="30"/>
        </w:rPr>
        <w:t>3. Objectives</w:t>
      </w:r>
    </w:p>
    <w:p>
      <w:r>
        <w:t>The primary objective of the CyberShield project is to design, develop, and validate an end-to-end autonomous cyber threat detection and self-healing incident response platform. The specific, measurable technical objectives are:</w:t>
      </w:r>
    </w:p>
    <w:p>
      <w:pPr>
        <w:pStyle w:val="ListBullet"/>
        <w:spacing w:after="60" w:line="276" w:lineRule="auto"/>
      </w:pPr>
      <w:r>
        <w:rPr>
          <w:b/>
          <w:color w:val="0F294A"/>
        </w:rPr>
        <w:t>Objective 1: Multi-Vector Threat Analysis &amp; Scoring Engine:</w:t>
      </w:r>
      <w:r>
        <w:rPr>
          <w:color w:val="262626"/>
        </w:rPr>
        <w:t xml:space="preserve"> Construct an asynchronous detection pipeline that evaluates incoming emails across five independent vectors—NLP social engineering semantics, sender domain legitimacy, deceptive URL structures, attachment metadata, and RFC 822 authentication headers (SPF, DKIM, DMARC)—synthesizing a weighted, explainable 0–100 risk score and analytical verdict.</w:t>
      </w:r>
    </w:p>
    <w:p>
      <w:pPr>
        <w:pStyle w:val="ListBullet"/>
        <w:spacing w:after="60" w:line="276" w:lineRule="auto"/>
      </w:pPr>
      <w:r>
        <w:rPr>
          <w:b/>
          <w:color w:val="0F294A"/>
        </w:rPr>
        <w:t>Objective 2: Automated Forensic Investigation &amp; Campaign Correlation:</w:t>
      </w:r>
      <w:r>
        <w:rPr>
          <w:color w:val="262626"/>
        </w:rPr>
        <w:t xml:space="preserve"> Develop an automated threat intelligence module that generates forensic dossiers mapping incidents to the Lockheed Martin Cyber Kill Chain and MITRE ATT&amp;CK enterprise techniques (T1566, T1204, T1059), while clustering shared indicators across mailboxes to uncover wider coordinated campaigns.</w:t>
      </w:r>
    </w:p>
    <w:p>
      <w:pPr>
        <w:pStyle w:val="ListBullet"/>
        <w:spacing w:after="60" w:line="276" w:lineRule="auto"/>
      </w:pPr>
      <w:r>
        <w:rPr>
          <w:b/>
          <w:color w:val="0F294A"/>
        </w:rPr>
        <w:t>Objective 3: Policy-Controlled Autonomous Remediation &amp; Active Verification:</w:t>
      </w:r>
      <w:r>
        <w:rPr>
          <w:color w:val="262626"/>
        </w:rPr>
        <w:t xml:space="preserve"> Implement a simulated self-healing engine capable of generating iptables firewall drop rules, DNS sinkholes, and mailbox quarantine actions in both dry-run and live execution modes, backed by an active re-probing probe that quantitatively reassesses post-containment residual risk.</w:t>
      </w:r>
    </w:p>
    <w:p>
      <w:pPr>
        <w:pStyle w:val="ListBullet"/>
        <w:spacing w:after="60" w:line="276" w:lineRule="auto"/>
      </w:pPr>
      <w:r>
        <w:rPr>
          <w:b/>
          <w:color w:val="0F294A"/>
        </w:rPr>
        <w:t>Objective 4: Continuous Watchdog Daemon &amp; Human Defense Training:</w:t>
      </w:r>
      <w:r>
        <w:rPr>
          <w:color w:val="262626"/>
        </w:rPr>
        <w:t xml:space="preserve"> Deploy an asynchronous 24/7 background watchdog worker with SHA-256 deduplication for hands-off mailbox polling, integrated with a dual-target notification system and an interactive 5-module cybersecurity awareness curriculum featuring real-world scenario quizzes.</w:t>
      </w:r>
    </w:p>
    <w:p>
      <w:pPr>
        <w:pStyle w:val="Heading1"/>
        <w:keepNext/>
        <w:spacing w:before="280" w:after="80"/>
      </w:pPr>
      <w:r>
        <w:rPr>
          <w:rFonts w:ascii="Calibri" w:hAnsi="Calibri"/>
          <w:b/>
          <w:color w:val="0F294A"/>
          <w:sz w:val="30"/>
        </w:rPr>
        <w:t>4. Problem Statement</w:t>
      </w:r>
    </w:p>
    <w:p>
      <w:r>
        <w:t>Enterprise security operations face a compounding triad of challenges in defending against modern email-based cyber threats:</w:t>
      </w:r>
    </w:p>
    <w:p>
      <w:pPr>
        <w:pStyle w:val="ListBullet"/>
        <w:spacing w:after="60" w:line="276" w:lineRule="auto"/>
      </w:pPr>
      <w:r>
        <w:rPr>
          <w:b/>
          <w:color w:val="0F294A"/>
        </w:rPr>
        <w:t>1. Evasive Multi-Vector Tactics:</w:t>
      </w:r>
      <w:r>
        <w:rPr>
          <w:color w:val="262626"/>
        </w:rPr>
        <w:t xml:space="preserve"> Threat actors no longer depend on a single obvious flaw. A phishing email may possess valid TLS encryption and clean body text, but embed a deceptive zero-entropy subdomain or a macro-enabled spreadsheet whose extension is hidden by operating system defaults. Single-point inspection tools fail to correlate these clues.</w:t>
      </w:r>
    </w:p>
    <w:p>
      <w:pPr>
        <w:pStyle w:val="ListBullet"/>
        <w:spacing w:after="60" w:line="276" w:lineRule="auto"/>
      </w:pPr>
      <w:r>
        <w:rPr>
          <w:b/>
          <w:color w:val="0F294A"/>
        </w:rPr>
        <w:t>2. Disconnected SOC Toolchains and Alert Fatigue:</w:t>
      </w:r>
      <w:r>
        <w:rPr>
          <w:color w:val="262626"/>
        </w:rPr>
        <w:t xml:space="preserve"> Security analysts routinely juggle disparate consoles—email gateways, SIEMs, threat intelligence portals, and firewall management interfaces. The lack of automated bridging between detection, kill-chain mapping, containment rule generation, and communication produces significant operational friction.</w:t>
      </w:r>
    </w:p>
    <w:p>
      <w:pPr>
        <w:pStyle w:val="ListBullet"/>
        <w:spacing w:after="60" w:line="276" w:lineRule="auto"/>
      </w:pPr>
      <w:r>
        <w:rPr>
          <w:b/>
          <w:color w:val="0F294A"/>
        </w:rPr>
        <w:t>3. The Critical Absence of Post-Action Verification:</w:t>
      </w:r>
      <w:r>
        <w:rPr>
          <w:color w:val="262626"/>
        </w:rPr>
        <w:t xml:space="preserve"> In conventional workflows, once an analyst triggers a block action, containment is presumed successful. Standard tools do not re-probe the compromised vector to confirm whether the malicious payload is genuinely inaccessible, leaving organizations vulnerable to partial or bypassed remediations.</w:t>
      </w:r>
    </w:p>
    <w:p>
      <w:pPr>
        <w:pStyle w:val="ListBullet"/>
        <w:spacing w:after="60" w:line="276" w:lineRule="auto"/>
      </w:pPr>
      <w:r>
        <w:rPr>
          <w:b/>
          <w:color w:val="0F294A"/>
        </w:rPr>
        <w:t>4. Neglect of the Human Security Perimeter:</w:t>
      </w:r>
      <w:r>
        <w:rPr>
          <w:color w:val="262626"/>
        </w:rPr>
        <w:t xml:space="preserve"> Technical controls without user awareness remain fundamentally incomplete. Periodic generic compliance training fails to teach employees how to identify real-world psychological urgency cues, domain spoofing tricks, and credential harvesting patterns.</w:t>
      </w:r>
    </w:p>
    <w:p>
      <w:pPr>
        <w:pStyle w:val="Heading1"/>
        <w:keepNext/>
        <w:spacing w:before="280" w:after="80"/>
      </w:pPr>
      <w:r>
        <w:rPr>
          <w:rFonts w:ascii="Calibri" w:hAnsi="Calibri"/>
          <w:b/>
          <w:color w:val="0F294A"/>
          <w:sz w:val="30"/>
        </w:rPr>
        <w:t>5. Tools and Technologies Used</w:t>
      </w:r>
    </w:p>
    <w:p>
      <w:r>
        <w:t>The CyberShield platform was constructed using a high-performance, asynchronous full-stack architecture. All technologies were verified directly from the working project implementation:</w:t>
      </w:r>
    </w:p>
    <w:tbl>
      <w:tblPr>
        <w:tblW w:type="auto" w:w="0"/>
        <w:jc w:val="center"/>
        <w:tblLook w:firstColumn="1" w:firstRow="1" w:lastColumn="0" w:lastRow="0" w:noHBand="0" w:noVBand="1" w:val="04A0"/>
      </w:tblPr>
      <w:tblGrid>
        <w:gridCol w:w="3010"/>
        <w:gridCol w:w="3010"/>
        <w:gridCol w:w="3010"/>
      </w:tblGrid>
      <w:tr>
        <w:tc>
          <w:tcPr>
            <w:tcW w:type="dxa" w:w="2592"/>
            <w:shd w:fill="0F294A"/>
            <w:tcMar>
              <w:top w:w="120" w:type="dxa"/>
              <w:bottom w:w="120" w:type="dxa"/>
              <w:left w:w="140" w:type="dxa"/>
              <w:right w:w="140" w:type="dxa"/>
            </w:tcMar>
          </w:tcPr>
          <w:p>
            <w:pPr>
              <w:jc w:val="center"/>
            </w:pPr>
            <w:r>
              <w:rPr>
                <w:b/>
                <w:color w:val="FFFFFF"/>
                <w:sz w:val="19"/>
              </w:rPr>
              <w:t>Layer / Subsystem</w:t>
            </w:r>
          </w:p>
        </w:tc>
        <w:tc>
          <w:tcPr>
            <w:tcW w:type="dxa" w:w="3168"/>
            <w:shd w:fill="0F294A"/>
            <w:tcMar>
              <w:top w:w="120" w:type="dxa"/>
              <w:bottom w:w="120" w:type="dxa"/>
              <w:left w:w="140" w:type="dxa"/>
              <w:right w:w="140" w:type="dxa"/>
            </w:tcMar>
          </w:tcPr>
          <w:p>
            <w:pPr>
              <w:jc w:val="left"/>
            </w:pPr>
            <w:r>
              <w:rPr>
                <w:b/>
                <w:color w:val="FFFFFF"/>
                <w:sz w:val="19"/>
              </w:rPr>
              <w:t>Technology / Framework</w:t>
            </w:r>
          </w:p>
        </w:tc>
        <w:tc>
          <w:tcPr>
            <w:tcW w:type="dxa" w:w="3269"/>
            <w:shd w:fill="0F294A"/>
            <w:tcMar>
              <w:top w:w="120" w:type="dxa"/>
              <w:bottom w:w="120" w:type="dxa"/>
              <w:left w:w="140" w:type="dxa"/>
              <w:right w:w="140" w:type="dxa"/>
            </w:tcMar>
          </w:tcPr>
          <w:p>
            <w:pPr>
              <w:jc w:val="left"/>
            </w:pPr>
            <w:r>
              <w:rPr>
                <w:b/>
                <w:color w:val="FFFFFF"/>
                <w:sz w:val="19"/>
              </w:rPr>
              <w:t>Specific Implementation Role</w:t>
            </w:r>
          </w:p>
        </w:tc>
      </w:tr>
      <w:tr>
        <w:tc>
          <w:tcPr>
            <w:tcW w:type="dxa" w:w="2592"/>
            <w:shd w:fill="F4F6F9"/>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pPr>
              <w:jc w:val="center"/>
            </w:pPr>
            <w:r>
              <w:rPr>
                <w:color w:val="262626"/>
                <w:sz w:val="18"/>
              </w:rPr>
              <w:t>Frontend Client</w:t>
            </w:r>
          </w:p>
        </w:tc>
        <w:tc>
          <w:tcPr>
            <w:tcW w:type="dxa" w:w="3168"/>
            <w:shd w:fill="F4F6F9"/>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pPr>
              <w:jc w:val="left"/>
            </w:pPr>
            <w:r>
              <w:rPr>
                <w:color w:val="262626"/>
                <w:sz w:val="18"/>
              </w:rPr>
              <w:t>React.js 18 + Vite 5</w:t>
            </w:r>
          </w:p>
        </w:tc>
        <w:tc>
          <w:tcPr>
            <w:tcW w:type="dxa" w:w="3269"/>
            <w:shd w:fill="F4F6F9"/>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pPr>
              <w:jc w:val="left"/>
            </w:pPr>
            <w:r>
              <w:rPr>
                <w:color w:val="262626"/>
                <w:sz w:val="18"/>
              </w:rPr>
              <w:t>Single-Page Application (SPA) dashboard, interactive telemetry charts, SOC investigation tabs, and quiz flow.</w:t>
            </w:r>
          </w:p>
        </w:tc>
      </w:tr>
      <w:tr>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pPr>
              <w:jc w:val="center"/>
            </w:pPr>
            <w:r>
              <w:rPr>
                <w:color w:val="262626"/>
                <w:sz w:val="18"/>
              </w:rPr>
              <w:t>UI &amp; Styling</w:t>
            </w:r>
          </w:p>
        </w:tc>
        <w:tc>
          <w:tcPr>
            <w:tcW w:type="dxa" w:w="316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pPr>
              <w:jc w:val="left"/>
            </w:pPr>
            <w:r>
              <w:rPr>
                <w:color w:val="262626"/>
                <w:sz w:val="18"/>
              </w:rPr>
              <w:t>Tailwind CSS + Lucide Icons</w:t>
            </w:r>
          </w:p>
        </w:tc>
        <w:tc>
          <w:tcPr>
            <w:tcW w:type="dxa" w:w="3269"/>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pPr>
              <w:jc w:val="left"/>
            </w:pPr>
            <w:r>
              <w:rPr>
                <w:color w:val="262626"/>
                <w:sz w:val="18"/>
              </w:rPr>
              <w:t>Responsive dark-mode SOC interface, status badges, risk level pill tags, and SVG security icons.</w:t>
            </w:r>
          </w:p>
        </w:tc>
      </w:tr>
      <w:tr>
        <w:tc>
          <w:tcPr>
            <w:tcW w:type="dxa" w:w="2592"/>
            <w:shd w:fill="F4F6F9"/>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pPr>
              <w:jc w:val="center"/>
            </w:pPr>
            <w:r>
              <w:rPr>
                <w:color w:val="262626"/>
                <w:sz w:val="18"/>
              </w:rPr>
              <w:t>Backend Framework</w:t>
            </w:r>
          </w:p>
        </w:tc>
        <w:tc>
          <w:tcPr>
            <w:tcW w:type="dxa" w:w="3168"/>
            <w:shd w:fill="F4F6F9"/>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pPr>
              <w:jc w:val="left"/>
            </w:pPr>
            <w:r>
              <w:rPr>
                <w:color w:val="262626"/>
                <w:sz w:val="18"/>
              </w:rPr>
              <w:t>Python 3.10+ &amp; FastAPI</w:t>
            </w:r>
          </w:p>
        </w:tc>
        <w:tc>
          <w:tcPr>
            <w:tcW w:type="dxa" w:w="3269"/>
            <w:shd w:fill="F4F6F9"/>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pPr>
              <w:jc w:val="left"/>
            </w:pPr>
            <w:r>
              <w:rPr>
                <w:color w:val="262626"/>
                <w:sz w:val="18"/>
              </w:rPr>
              <w:t>Asynchronous ASGI web application framework providing high-throughput REST API endpoints with auto-generated OpenAPI.</w:t>
            </w:r>
          </w:p>
        </w:tc>
      </w:tr>
      <w:tr>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pPr>
              <w:jc w:val="center"/>
            </w:pPr>
            <w:r>
              <w:rPr>
                <w:color w:val="262626"/>
                <w:sz w:val="18"/>
              </w:rPr>
              <w:t>Data Validation</w:t>
            </w:r>
          </w:p>
        </w:tc>
        <w:tc>
          <w:tcPr>
            <w:tcW w:type="dxa" w:w="316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pPr>
              <w:jc w:val="left"/>
            </w:pPr>
            <w:r>
              <w:rPr>
                <w:color w:val="262626"/>
                <w:sz w:val="18"/>
              </w:rPr>
              <w:t>Pydantic v2 &amp; Uvicorn</w:t>
            </w:r>
          </w:p>
        </w:tc>
        <w:tc>
          <w:tcPr>
            <w:tcW w:type="dxa" w:w="3269"/>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pPr>
              <w:jc w:val="left"/>
            </w:pPr>
            <w:r>
              <w:rPr>
                <w:color w:val="262626"/>
                <w:sz w:val="18"/>
              </w:rPr>
              <w:t>Strict schema modeling, payload validation, typed response serialization, and production ASGI worker management.</w:t>
            </w:r>
          </w:p>
        </w:tc>
      </w:tr>
      <w:tr>
        <w:tc>
          <w:tcPr>
            <w:tcW w:type="dxa" w:w="2592"/>
            <w:shd w:fill="F4F6F9"/>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pPr>
              <w:jc w:val="center"/>
            </w:pPr>
            <w:r>
              <w:rPr>
                <w:color w:val="262626"/>
                <w:sz w:val="18"/>
              </w:rPr>
              <w:t>Database Engine</w:t>
            </w:r>
          </w:p>
        </w:tc>
        <w:tc>
          <w:tcPr>
            <w:tcW w:type="dxa" w:w="3168"/>
            <w:shd w:fill="F4F6F9"/>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pPr>
              <w:jc w:val="left"/>
            </w:pPr>
            <w:r>
              <w:rPr>
                <w:color w:val="262626"/>
                <w:sz w:val="18"/>
              </w:rPr>
              <w:t>MongoDB &amp; Motor Async Driver</w:t>
            </w:r>
          </w:p>
        </w:tc>
        <w:tc>
          <w:tcPr>
            <w:tcW w:type="dxa" w:w="3269"/>
            <w:shd w:fill="F4F6F9"/>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pPr>
              <w:jc w:val="left"/>
            </w:pPr>
            <w:r>
              <w:rPr>
                <w:color w:val="262626"/>
                <w:sz w:val="18"/>
              </w:rPr>
              <w:t>Non-blocking document persistence for email analysis records, threat metrics, and immutable remediation audit logs.</w:t>
            </w:r>
          </w:p>
        </w:tc>
      </w:tr>
      <w:tr>
        <w:tc>
          <w:tcPr>
            <w:tcW w:type="dxa" w:w="2592"/>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pPr>
              <w:jc w:val="center"/>
            </w:pPr>
            <w:r>
              <w:rPr>
                <w:color w:val="262626"/>
                <w:sz w:val="18"/>
              </w:rPr>
              <w:t>Mailbox &amp; Auth</w:t>
            </w:r>
          </w:p>
        </w:tc>
        <w:tc>
          <w:tcPr>
            <w:tcW w:type="dxa" w:w="3168"/>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pPr>
              <w:jc w:val="left"/>
            </w:pPr>
            <w:r>
              <w:rPr>
                <w:color w:val="262626"/>
                <w:sz w:val="18"/>
              </w:rPr>
              <w:t>Google OAuth 2.0 &amp; Gmail REST API</w:t>
            </w:r>
          </w:p>
        </w:tc>
        <w:tc>
          <w:tcPr>
            <w:tcW w:type="dxa" w:w="3269"/>
            <w:shd w:fill="FFFFFF"/>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pPr>
              <w:jc w:val="left"/>
            </w:pPr>
            <w:r>
              <w:rPr>
                <w:color w:val="262626"/>
                <w:sz w:val="18"/>
              </w:rPr>
              <w:t>Secure PKCE authorization code flow with read-only scope (gmail.readonly) for user-selected email inspection.</w:t>
            </w:r>
          </w:p>
        </w:tc>
      </w:tr>
      <w:tr>
        <w:tc>
          <w:tcPr>
            <w:tcW w:type="dxa" w:w="2592"/>
            <w:shd w:fill="F4F6F9"/>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pPr>
              <w:jc w:val="center"/>
            </w:pPr>
            <w:r>
              <w:rPr>
                <w:color w:val="262626"/>
                <w:sz w:val="18"/>
              </w:rPr>
              <w:t>Security Standards</w:t>
            </w:r>
          </w:p>
        </w:tc>
        <w:tc>
          <w:tcPr>
            <w:tcW w:type="dxa" w:w="3168"/>
            <w:shd w:fill="F4F6F9"/>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pPr>
              <w:jc w:val="left"/>
            </w:pPr>
            <w:r>
              <w:rPr>
                <w:color w:val="262626"/>
                <w:sz w:val="18"/>
              </w:rPr>
              <w:t>RFC 822, SPF, DKIM, DMARC, MITRE</w:t>
            </w:r>
          </w:p>
        </w:tc>
        <w:tc>
          <w:tcPr>
            <w:tcW w:type="dxa" w:w="3269"/>
            <w:shd w:fill="F4F6F9"/>
            <w:tcMar>
              <w:top w:w="100" w:type="dxa"/>
              <w:bottom w:w="100" w:type="dxa"/>
              <w:left w:w="140" w:type="dxa"/>
              <w:right w:w="140" w:type="dxa"/>
            </w:tcMar>
            <w:tcBorders>
              <w:top w:val="single" w:sz="4" w:space="0" w:color="CCCCCC"/>
              <w:bottom w:val="single" w:sz="4" w:space="0" w:color="CCCCCC"/>
              <w:left w:val="single" w:sz="4" w:space="0" w:color="CCCCCC"/>
              <w:right w:val="single" w:sz="4" w:space="0" w:color="CCCCCC"/>
            </w:tcBorders>
          </w:tcPr>
          <w:p>
            <w:pPr>
              <w:jc w:val="left"/>
            </w:pPr>
            <w:r>
              <w:rPr>
                <w:color w:val="262626"/>
                <w:sz w:val="18"/>
              </w:rPr>
              <w:t>Technical email authentication parsing, DNS reputation heuristics, and mapping to MITRE ATT&amp;CK enterprise tactics.</w:t>
            </w:r>
          </w:p>
        </w:tc>
      </w:tr>
    </w:tbl>
    <w:p>
      <w:pPr>
        <w:spacing w:after="160"/>
      </w:pPr>
    </w:p>
    <w:p>
      <w:pPr>
        <w:pStyle w:val="Heading1"/>
        <w:keepNext/>
        <w:spacing w:before="280" w:after="80"/>
      </w:pPr>
      <w:r>
        <w:rPr>
          <w:rFonts w:ascii="Calibri" w:hAnsi="Calibri"/>
          <w:b/>
          <w:color w:val="0F294A"/>
          <w:sz w:val="30"/>
        </w:rPr>
        <w:t>6. Methodology / Implementation</w:t>
      </w:r>
    </w:p>
    <w:p>
      <w:r>
        <w:t>CyberShield implements an end-to-end nine-stage lifecycle that coordinates threat ingestion, automated analysis, forensics, self-healing remediation, verification, and human learning into a continuous feedback pipeline:</w:t>
      </w:r>
    </w:p>
    <w:p>
      <w:pPr>
        <w:pStyle w:val="ListBullet"/>
        <w:spacing w:after="60" w:line="276" w:lineRule="auto"/>
      </w:pPr>
      <w:r>
        <w:rPr>
          <w:b/>
          <w:color w:val="0F294A"/>
        </w:rPr>
        <w:t>Stage 1: Multi-Source Email Ingestion:</w:t>
      </w:r>
      <w:r>
        <w:rPr>
          <w:color w:val="262626"/>
        </w:rPr>
        <w:t xml:space="preserve"> Supports three distinct ingestion modes: (a) Google OAuth 2.0 PKCE integration retrieving real Gmail messages via read-only REST API strictly upon user selection; (b) a simulated demo ingestion stream offering four benchmark scenarios (PayPal Phish, Macro Excel, BEC Wire Fraud, and Clean University Notice); and (c) a manual submission console for raw message bodies, headers, and attachments.</w:t>
      </w:r>
    </w:p>
    <w:p>
      <w:pPr>
        <w:pStyle w:val="ListBullet"/>
        <w:spacing w:after="60" w:line="276" w:lineRule="auto"/>
      </w:pPr>
      <w:r>
        <w:rPr>
          <w:b/>
          <w:color w:val="0F294A"/>
        </w:rPr>
        <w:t>Stage 2: 5-Vector Threat Inspection:</w:t>
      </w:r>
      <w:r>
        <w:rPr>
          <w:color w:val="262626"/>
        </w:rPr>
        <w:t xml:space="preserve"> Executes parallel evaluation across five attack vectors:</w:t>
        <w:br/>
        <w:t xml:space="preserve">  • Content &amp; Social Engineering: Scans for urgency, coercion, executive impersonation, and OTP harvesting patterns using regex and NLP heuristics.</w:t>
        <w:br/>
        <w:t xml:space="preserve">  • Sender &amp; Domain Legitimacy: Computes Levenshtein edit distance for typosquatting (e.g., paypa1-update.com) and checks display name vs. envelope address.</w:t>
        <w:br/>
        <w:t xml:space="preserve">  • Deceptive URL Target Analysis: Evaluates Shannon entropy, punycode/IDN homographs, raw IP hosts, deceptive subdomains, and suspicious TLDs (.xyz, .top).</w:t>
        <w:br/>
        <w:t xml:space="preserve">  • Attachment Metadata Inspection: Detects double extensions (e.g., invoice.pdf.exe), macro-enabled formats (.xlsm, .docm), and executable payloads.</w:t>
        <w:br/>
        <w:t xml:space="preserve">  • RFC 822 Header Authentication: Parses Received-SPF, DKIM cryptographic signatures, and DMARC domain alignment to flag envelope spoofing.</w:t>
      </w:r>
    </w:p>
    <w:p>
      <w:pPr>
        <w:pStyle w:val="ListBullet"/>
        <w:spacing w:after="60" w:line="276" w:lineRule="auto"/>
      </w:pPr>
      <w:r>
        <w:rPr>
          <w:b/>
          <w:color w:val="0F294A"/>
        </w:rPr>
        <w:t>Stage 3: Weighted Risk Scoring &amp; Explainable AI Verdict:</w:t>
      </w:r>
      <w:r>
        <w:rPr>
          <w:color w:val="262626"/>
        </w:rPr>
        <w:t xml:space="preserve"> Aggregates vector findings into a standardized 0–100 risk score: Low (0–29), Medium (30–59), High (60–79), and Critical (80–100). Generates an explainable AI security analyst summary that explicitly cites the technical reasons for the score to eliminate black-box ambiguity.</w:t>
      </w:r>
    </w:p>
    <w:p>
      <w:pPr>
        <w:pStyle w:val="ListBullet"/>
        <w:spacing w:after="60" w:line="276" w:lineRule="auto"/>
      </w:pPr>
      <w:r>
        <w:rPr>
          <w:b/>
          <w:color w:val="0F294A"/>
        </w:rPr>
        <w:t>Stage 4: Automated Threat Investigation &amp; Forensic Dossier:</w:t>
      </w:r>
      <w:r>
        <w:rPr>
          <w:color w:val="262626"/>
        </w:rPr>
        <w:t xml:space="preserve"> Synthesizes an executive threat dossier mapping the incident to the Lockheed Martin Cyber Kill Chain (Reconnaissance, Weaponization, Delivery, Exploitation) and MITRE ATT&amp;CK techniques (T1566.002 Spearphishing Link, T1204 User Execution, T1059 Command Execution).</w:t>
      </w:r>
    </w:p>
    <w:p>
      <w:pPr>
        <w:pStyle w:val="ListBullet"/>
        <w:spacing w:after="60" w:line="276" w:lineRule="auto"/>
      </w:pPr>
      <w:r>
        <w:rPr>
          <w:b/>
          <w:color w:val="0F294A"/>
        </w:rPr>
        <w:t>Stage 5: Global Campaign Correlation Engine:</w:t>
      </w:r>
      <w:r>
        <w:rPr>
          <w:color w:val="262626"/>
        </w:rPr>
        <w:t xml:space="preserve"> Analyzes historical telemetry across the database to cluster seemingly isolated incidents that share command-and-control IP infrastructure, lookalike domains, or payload hashes, computing a correlation confidence percentage.</w:t>
      </w:r>
    </w:p>
    <w:p>
      <w:pPr>
        <w:pStyle w:val="ListBullet"/>
        <w:spacing w:after="60" w:line="276" w:lineRule="auto"/>
      </w:pPr>
      <w:r>
        <w:rPr>
          <w:b/>
          <w:color w:val="0F294A"/>
        </w:rPr>
        <w:t>Stage 6: Policy-Controlled Autonomous Remediation:</w:t>
      </w:r>
      <w:r>
        <w:rPr>
          <w:color w:val="262626"/>
        </w:rPr>
        <w:t xml:space="preserve"> Translates threat findings into actionable containment playbooks under strict academic safety simulation: generates Linux iptables drop rules for attacker IPs, simulated DNS sinkholes for deceptive domains, and triggers automated mailbox quarantine. Supports both a Dry-Run preview mode and an autonomous Live Execution mode.</w:t>
      </w:r>
    </w:p>
    <w:p>
      <w:pPr>
        <w:pStyle w:val="ListBullet"/>
        <w:spacing w:after="60" w:line="276" w:lineRule="auto"/>
      </w:pPr>
      <w:r>
        <w:rPr>
          <w:b/>
          <w:color w:val="0F294A"/>
        </w:rPr>
        <w:t>Stage 7: Active Post-Remediation Verification Probe:</w:t>
      </w:r>
      <w:r>
        <w:rPr>
          <w:color w:val="262626"/>
        </w:rPr>
        <w:t xml:space="preserve"> Following remediation, an active verification probe re-tests the quarantined artifacts against the defense posture, quantitatively recalculating residual risk (e.g., reducing initial risk 100 down to residual risk 40) and issuing an authenticated FULLY_CONTAINED status.</w:t>
      </w:r>
    </w:p>
    <w:p>
      <w:pPr>
        <w:pStyle w:val="ListBullet"/>
        <w:spacing w:after="60" w:line="276" w:lineRule="auto"/>
      </w:pPr>
      <w:r>
        <w:rPr>
          <w:b/>
          <w:color w:val="0F294A"/>
        </w:rPr>
        <w:t>Stage 8: Dual-Target Notification Dispatch &amp; 24/7 Watchdog:</w:t>
      </w:r>
      <w:r>
        <w:rPr>
          <w:color w:val="262626"/>
        </w:rPr>
        <w:t xml:space="preserve"> Dispatches tailored notifications across two distinct channels: reassuring, non-technical plain-language alerts to affected employees ('Threat Neutralized; Account Safe') and comprehensive technical advisories to SOC administrators. Concurrently, an asynchronous 24/7 background Watchdog daemon polls mailboxes with SHA-256 deduplication.</w:t>
      </w:r>
    </w:p>
    <w:p>
      <w:pPr>
        <w:pStyle w:val="ListBullet"/>
        <w:spacing w:after="60" w:line="276" w:lineRule="auto"/>
      </w:pPr>
      <w:r>
        <w:rPr>
          <w:b/>
          <w:color w:val="0F294A"/>
        </w:rPr>
        <w:t>Stage 9: Adaptive Security Awareness Curriculum &amp; Quiz Engine:</w:t>
      </w:r>
      <w:r>
        <w:rPr>
          <w:color w:val="262626"/>
        </w:rPr>
        <w:t xml:space="preserve"> Feeds real-world threat findings into five interactive curriculum modules (MOD-01 to MOD-05) and a scenario-based Phishing Defense Quiz that tests user discrimination against realistic email envelopes, providing automated scoring, performance tier badges, and explanatory feedback.</w:t>
      </w:r>
    </w:p>
    <w:p>
      <w:pPr>
        <w:pStyle w:val="Heading1"/>
        <w:keepNext/>
        <w:spacing w:before="280" w:after="80"/>
      </w:pPr>
      <w:r>
        <w:rPr>
          <w:rFonts w:ascii="Calibri" w:hAnsi="Calibri"/>
          <w:b/>
          <w:color w:val="0F294A"/>
          <w:sz w:val="30"/>
        </w:rPr>
        <w:t>7. System Design / Architecture</w:t>
      </w:r>
    </w:p>
    <w:p>
      <w:r>
        <w:t>The CyberShield architectural blueprint is organized into seven modular layers designed to ensure strict separation of concerns, asynchronous non-blocking execution, and enterprise-grade resilience:</w:t>
      </w:r>
    </w:p>
    <w:p>
      <w:pPr>
        <w:pStyle w:val="ListBullet"/>
        <w:spacing w:after="60" w:line="276" w:lineRule="auto"/>
      </w:pPr>
      <w:r>
        <w:rPr>
          <w:b/>
          <w:color w:val="0F294A"/>
        </w:rPr>
        <w:t>1. Input &amp; Ingestion Layer:</w:t>
      </w:r>
      <w:r>
        <w:rPr>
          <w:color w:val="262626"/>
        </w:rPr>
        <w:t xml:space="preserve"> Captures incoming email streams via Google OAuth 2.0 (read-only PKCE flow), simulated academic test streams, or manual analysts consoles.</w:t>
      </w:r>
    </w:p>
    <w:p>
      <w:pPr>
        <w:pStyle w:val="ListBullet"/>
        <w:spacing w:after="60" w:line="276" w:lineRule="auto"/>
      </w:pPr>
      <w:r>
        <w:rPr>
          <w:b/>
          <w:color w:val="0F294A"/>
        </w:rPr>
        <w:t>2. Multi-Vector Threat Detection Engine:</w:t>
      </w:r>
      <w:r>
        <w:rPr>
          <w:color w:val="262626"/>
        </w:rPr>
        <w:t xml:space="preserve"> Houses the 5 specialized analyzers (Content NLP, Sender Reputation, URL Targets, Attachments, RFC Headers) and the explainable weighted scorer.</w:t>
      </w:r>
    </w:p>
    <w:p>
      <w:pPr>
        <w:pStyle w:val="ListBullet"/>
        <w:spacing w:after="60" w:line="276" w:lineRule="auto"/>
      </w:pPr>
      <w:r>
        <w:rPr>
          <w:b/>
          <w:color w:val="0F294A"/>
        </w:rPr>
        <w:t>3. Threat Investigation &amp; Correlation Core:</w:t>
      </w:r>
      <w:r>
        <w:rPr>
          <w:color w:val="262626"/>
        </w:rPr>
        <w:t xml:space="preserve"> Synthesizes MITRE ATT&amp;CK kill-chain dossiers and correlates shared attack infrastructure across the enterprise.</w:t>
      </w:r>
    </w:p>
    <w:p>
      <w:pPr>
        <w:pStyle w:val="ListBullet"/>
        <w:spacing w:after="60" w:line="276" w:lineRule="auto"/>
      </w:pPr>
      <w:r>
        <w:rPr>
          <w:b/>
          <w:color w:val="0F294A"/>
        </w:rPr>
        <w:t>4. Autonomous Remediation &amp; Verification Subsystem:</w:t>
      </w:r>
      <w:r>
        <w:rPr>
          <w:color w:val="262626"/>
        </w:rPr>
        <w:t xml:space="preserve"> Generates simulated iptables drop rules, DNS sinkholes, mailbox isolations, and executes active post-remediation verification probes.</w:t>
      </w:r>
    </w:p>
    <w:p>
      <w:pPr>
        <w:pStyle w:val="ListBullet"/>
        <w:spacing w:after="60" w:line="276" w:lineRule="auto"/>
      </w:pPr>
      <w:r>
        <w:rPr>
          <w:b/>
          <w:color w:val="0F294A"/>
        </w:rPr>
        <w:t>5. Notification &amp; Communications Layer:</w:t>
      </w:r>
      <w:r>
        <w:rPr>
          <w:color w:val="262626"/>
        </w:rPr>
        <w:t xml:space="preserve"> Manages dual-audience alert queues (reassuring employee notices vs. technical SOC admin advisories).</w:t>
      </w:r>
    </w:p>
    <w:p>
      <w:pPr>
        <w:pStyle w:val="ListBullet"/>
        <w:spacing w:after="60" w:line="276" w:lineRule="auto"/>
      </w:pPr>
      <w:r>
        <w:rPr>
          <w:b/>
          <w:color w:val="0F294A"/>
        </w:rPr>
        <w:t>6. 24/7 Continuous Watchdog Daemon:</w:t>
      </w:r>
      <w:r>
        <w:rPr>
          <w:color w:val="262626"/>
        </w:rPr>
        <w:t xml:space="preserve"> Asynchronous background polling worker operating at 5s–60s intervals with SHA-256 deduplication caching.</w:t>
      </w:r>
    </w:p>
    <w:p>
      <w:pPr>
        <w:pStyle w:val="ListBullet"/>
        <w:spacing w:after="60" w:line="276" w:lineRule="auto"/>
      </w:pPr>
      <w:r>
        <w:rPr>
          <w:b/>
          <w:color w:val="0F294A"/>
        </w:rPr>
        <w:t>7. Data Persistence &amp; Human Defense Layer:</w:t>
      </w:r>
      <w:r>
        <w:rPr>
          <w:color w:val="262626"/>
        </w:rPr>
        <w:t xml:space="preserve"> Non-blocking MongoDB document storage via Motor driver alongside the 5-module security awareness curriculum and quiz challenge.</w:t>
      </w:r>
    </w:p>
    <w:p>
      <w:pPr>
        <w:spacing w:before="160" w:after="80"/>
        <w:jc w:val="center"/>
      </w:pPr>
      <w:r>
        <w:drawing>
          <wp:inline xmlns:a="http://schemas.openxmlformats.org/drawingml/2006/main" xmlns:pic="http://schemas.openxmlformats.org/drawingml/2006/picture">
            <wp:extent cx="5733288" cy="3574309"/>
            <wp:docPr id="1" name="Picture 1"/>
            <wp:cNvGraphicFramePr>
              <a:graphicFrameLocks noChangeAspect="1"/>
            </wp:cNvGraphicFramePr>
            <a:graphic>
              <a:graphicData uri="http://schemas.openxmlformats.org/drawingml/2006/picture">
                <pic:pic>
                  <pic:nvPicPr>
                    <pic:cNvPr id="0" name="CyberShield_System_Architecture.png"/>
                    <pic:cNvPicPr/>
                  </pic:nvPicPr>
                  <pic:blipFill>
                    <a:blip r:embed="rId11"/>
                    <a:stretch>
                      <a:fillRect/>
                    </a:stretch>
                  </pic:blipFill>
                  <pic:spPr>
                    <a:xfrm>
                      <a:off x="0" y="0"/>
                      <a:ext cx="5733288" cy="3574309"/>
                    </a:xfrm>
                    <a:prstGeom prst="rect"/>
                  </pic:spPr>
                </pic:pic>
              </a:graphicData>
            </a:graphic>
          </wp:inline>
        </w:drawing>
      </w:r>
    </w:p>
    <w:p>
      <w:pPr>
        <w:spacing w:after="240"/>
        <w:jc w:val="center"/>
      </w:pPr>
      <w:r>
        <w:rPr>
          <w:b/>
          <w:color w:val="1E4E79"/>
          <w:sz w:val="19"/>
        </w:rPr>
        <w:t>Figure 1: High-Resolution CyberShield System Architecture &amp; End-to-End Threat Pipeline Flow</w:t>
      </w:r>
    </w:p>
    <w:p>
      <w:pPr>
        <w:pStyle w:val="Heading1"/>
        <w:keepNext/>
        <w:spacing w:before="280" w:after="80"/>
      </w:pPr>
      <w:r>
        <w:rPr>
          <w:rFonts w:ascii="Calibri" w:hAnsi="Calibri"/>
          <w:b/>
          <w:color w:val="0F294A"/>
          <w:sz w:val="30"/>
        </w:rPr>
        <w:t>8. Implementation / Screenshots</w:t>
      </w:r>
    </w:p>
    <w:p>
      <w:r>
        <w:t>To validate system functionality, comprehensive testing was executed across both backend REST endpoints and frontend user interfaces. The following genuine test captures and structured interface figures illustrate key capabilities of the implemented platform:</w:t>
      </w:r>
    </w:p>
    <w:p>
      <w:pPr>
        <w:spacing w:before="120" w:after="60"/>
        <w:jc w:val="center"/>
      </w:pPr>
      <w:r>
        <w:drawing>
          <wp:inline xmlns:a="http://schemas.openxmlformats.org/drawingml/2006/main" xmlns:pic="http://schemas.openxmlformats.org/drawingml/2006/picture">
            <wp:extent cx="5303520" cy="2579251"/>
            <wp:docPr id="2" name="Picture 2"/>
            <wp:cNvGraphicFramePr>
              <a:graphicFrameLocks noChangeAspect="1"/>
            </wp:cNvGraphicFramePr>
            <a:graphic>
              <a:graphicData uri="http://schemas.openxmlformats.org/drawingml/2006/picture">
                <pic:pic>
                  <pic:nvPicPr>
                    <pic:cNvPr id="0" name="media_1788606370848.png"/>
                    <pic:cNvPicPr/>
                  </pic:nvPicPr>
                  <pic:blipFill>
                    <a:blip r:embed="rId12"/>
                    <a:stretch>
                      <a:fillRect/>
                    </a:stretch>
                  </pic:blipFill>
                  <pic:spPr>
                    <a:xfrm>
                      <a:off x="0" y="0"/>
                      <a:ext cx="5303520" cy="2579251"/>
                    </a:xfrm>
                    <a:prstGeom prst="rect"/>
                  </pic:spPr>
                </pic:pic>
              </a:graphicData>
            </a:graphic>
          </wp:inline>
        </w:drawing>
      </w:r>
    </w:p>
    <w:p>
      <w:pPr>
        <w:spacing w:after="200"/>
        <w:jc w:val="center"/>
      </w:pPr>
      <w:r>
        <w:rPr>
          <w:b/>
          <w:color w:val="1E4E79"/>
          <w:sz w:val="18"/>
        </w:rPr>
        <w:t>Figure 2: Genuine Test Capture — FastAPI Swagger UI Interactive Documentation &amp; Threat Route Testing (/docs)</w:t>
      </w:r>
    </w:p>
    <w:p>
      <w:pPr>
        <w:spacing w:before="120" w:after="60"/>
        <w:jc w:val="center"/>
      </w:pPr>
      <w:r>
        <w:drawing>
          <wp:inline xmlns:a="http://schemas.openxmlformats.org/drawingml/2006/main" xmlns:pic="http://schemas.openxmlformats.org/drawingml/2006/picture">
            <wp:extent cx="5303520" cy="2672477"/>
            <wp:docPr id="3" name="Picture 3"/>
            <wp:cNvGraphicFramePr>
              <a:graphicFrameLocks noChangeAspect="1"/>
            </wp:cNvGraphicFramePr>
            <a:graphic>
              <a:graphicData uri="http://schemas.openxmlformats.org/drawingml/2006/picture">
                <pic:pic>
                  <pic:nvPicPr>
                    <pic:cNvPr id="0" name="media_1788612356855.png"/>
                    <pic:cNvPicPr/>
                  </pic:nvPicPr>
                  <pic:blipFill>
                    <a:blip r:embed="rId13"/>
                    <a:stretch>
                      <a:fillRect/>
                    </a:stretch>
                  </pic:blipFill>
                  <pic:spPr>
                    <a:xfrm>
                      <a:off x="0" y="0"/>
                      <a:ext cx="5303520" cy="2672477"/>
                    </a:xfrm>
                    <a:prstGeom prst="rect"/>
                  </pic:spPr>
                </pic:pic>
              </a:graphicData>
            </a:graphic>
          </wp:inline>
        </w:drawing>
      </w:r>
    </w:p>
    <w:p>
      <w:pPr>
        <w:spacing w:after="200"/>
        <w:jc w:val="center"/>
      </w:pPr>
      <w:r>
        <w:rPr>
          <w:b/>
          <w:color w:val="1E4E79"/>
          <w:sz w:val="18"/>
        </w:rPr>
        <w:t>Figure 3: Genuine Test Capture — Multi-Vector Artifact Scanner Testing in Swagger UI (/api/scan/url)</w:t>
      </w:r>
    </w:p>
    <w:p>
      <w:pPr>
        <w:spacing w:before="120" w:after="60"/>
        <w:jc w:val="center"/>
      </w:pPr>
      <w:r>
        <w:drawing>
          <wp:inline xmlns:a="http://schemas.openxmlformats.org/drawingml/2006/main" xmlns:pic="http://schemas.openxmlformats.org/drawingml/2006/picture">
            <wp:extent cx="5303520" cy="2413516"/>
            <wp:docPr id="4" name="Picture 4"/>
            <wp:cNvGraphicFramePr>
              <a:graphicFrameLocks noChangeAspect="1"/>
            </wp:cNvGraphicFramePr>
            <a:graphic>
              <a:graphicData uri="http://schemas.openxmlformats.org/drawingml/2006/picture">
                <pic:pic>
                  <pic:nvPicPr>
                    <pic:cNvPr id="0" name="media_1788703428065.png"/>
                    <pic:cNvPicPr/>
                  </pic:nvPicPr>
                  <pic:blipFill>
                    <a:blip r:embed="rId14"/>
                    <a:stretch>
                      <a:fillRect/>
                    </a:stretch>
                  </pic:blipFill>
                  <pic:spPr>
                    <a:xfrm>
                      <a:off x="0" y="0"/>
                      <a:ext cx="5303520" cy="2413516"/>
                    </a:xfrm>
                    <a:prstGeom prst="rect"/>
                  </pic:spPr>
                </pic:pic>
              </a:graphicData>
            </a:graphic>
          </wp:inline>
        </w:drawing>
      </w:r>
    </w:p>
    <w:p>
      <w:pPr>
        <w:spacing w:after="200"/>
        <w:jc w:val="center"/>
      </w:pPr>
      <w:r>
        <w:rPr>
          <w:b/>
          <w:color w:val="1E4E79"/>
          <w:sz w:val="18"/>
        </w:rPr>
        <w:t>Figure 4: Genuine Test Capture — Threat Incident History &amp; MongoDB Persistence Testing (/api/analyses)</w:t>
      </w:r>
    </w:p>
    <w:p>
      <w:pPr>
        <w:pStyle w:val="Heading2"/>
        <w:keepNext/>
        <w:spacing w:before="200" w:after="60"/>
      </w:pPr>
      <w:r>
        <w:rPr>
          <w:rFonts w:ascii="Calibri" w:hAnsi="Calibri"/>
          <w:b/>
          <w:color w:val="1E4E79"/>
          <w:sz w:val="25"/>
        </w:rPr>
        <w:t>Key Frontend User Interface Modules</w:t>
      </w:r>
    </w:p>
    <w:tbl>
      <w:tblPr>
        <w:tblW w:type="auto" w:w="0"/>
        <w:jc w:val="center"/>
        <w:tblLook w:firstColumn="1" w:firstRow="1" w:lastColumn="0" w:lastRow="0" w:noHBand="0" w:noVBand="1" w:val="04A0"/>
      </w:tblPr>
      <w:tblGrid>
        <w:gridCol w:w="9029"/>
      </w:tblGrid>
      <w:tr>
        <w:tc>
          <w:tcPr>
            <w:tcW w:type="dxa" w:w="9029"/>
            <w:shd w:fill="F0F4F8"/>
            <w:tcMar>
              <w:top w:w="140" w:type="dxa"/>
              <w:bottom w:w="140" w:type="dxa"/>
              <w:left w:w="200" w:type="dxa"/>
              <w:right w:w="200" w:type="dxa"/>
            </w:tcMar>
            <w:tcBorders>
              <w:top w:val="single" w:sz="4" w:space="0" w:color="E2E8F0"/>
              <w:bottom w:val="single" w:sz="4" w:space="0" w:color="E2E8F0"/>
              <w:left w:val="single" w:sz="4" w:space="0" w:color="0F294A"/>
              <w:right w:val="single" w:sz="4" w:space="0" w:color="E2E8F0"/>
            </w:tcBorders>
          </w:tcPr>
          <w:p>
            <w:pPr>
              <w:spacing w:after="40"/>
            </w:pPr>
            <w:r>
              <w:rPr>
                <w:b/>
                <w:color w:val="0F294A"/>
                <w:sz w:val="20"/>
              </w:rPr>
              <w:t>Figure 5: Web-Based SOC Operations Dashboard &amp; 8-Stage Threat Pipeline Visualizer (/)</w:t>
            </w:r>
          </w:p>
          <w:p>
            <w:pPr>
              <w:spacing w:after="0"/>
            </w:pPr>
            <w:r>
              <w:rPr>
                <w:color w:val="262626"/>
                <w:sz w:val="19"/>
              </w:rPr>
              <w:t>The Dashboard displays real-time SOC metric counters (Total Scanned: 4+, Threats Neutralized, Active Campaigns, Watchdog Loops), the visual 8-stage interactive pipeline stepper (Ingestion -&gt; Multi-Vector Detection -&gt; Forensics -&gt; Correlation -&gt; Remediation -&gt; Verification -&gt; Alerts -&gt; Training), and live widgets for recent threat incidents and correlated campaign clusters.</w:t>
            </w:r>
          </w:p>
        </w:tc>
      </w:tr>
    </w:tbl>
    <w:p>
      <w:pPr>
        <w:spacing w:after="60"/>
      </w:pPr>
    </w:p>
    <w:tbl>
      <w:tblPr>
        <w:tblW w:type="auto" w:w="0"/>
        <w:jc w:val="center"/>
        <w:tblLook w:firstColumn="1" w:firstRow="1" w:lastColumn="0" w:lastRow="0" w:noHBand="0" w:noVBand="1" w:val="04A0"/>
      </w:tblPr>
      <w:tblGrid>
        <w:gridCol w:w="9029"/>
      </w:tblGrid>
      <w:tr>
        <w:tc>
          <w:tcPr>
            <w:tcW w:type="dxa" w:w="9029"/>
            <w:shd w:fill="F0F4F8"/>
            <w:tcMar>
              <w:top w:w="140" w:type="dxa"/>
              <w:bottom w:w="140" w:type="dxa"/>
              <w:left w:w="200" w:type="dxa"/>
              <w:right w:w="200" w:type="dxa"/>
            </w:tcMar>
            <w:tcBorders>
              <w:top w:val="single" w:sz="4" w:space="0" w:color="E2E8F0"/>
              <w:bottom w:val="single" w:sz="4" w:space="0" w:color="E2E8F0"/>
              <w:left w:val="single" w:sz="4" w:space="0" w:color="0F294A"/>
              <w:right w:val="single" w:sz="4" w:space="0" w:color="E2E8F0"/>
            </w:tcBorders>
          </w:tcPr>
          <w:p>
            <w:pPr>
              <w:spacing w:after="40"/>
            </w:pPr>
            <w:r>
              <w:rPr>
                <w:b/>
                <w:color w:val="0F294A"/>
                <w:sz w:val="20"/>
              </w:rPr>
              <w:t>Figure 6: Email Threat Analyzer &amp; 5-Vector Breakdown Result Card (/analyzer)</w:t>
            </w:r>
          </w:p>
          <w:p>
            <w:pPr>
              <w:spacing w:after="0"/>
            </w:pPr>
            <w:r>
              <w:rPr>
                <w:color w:val="262626"/>
                <w:sz w:val="19"/>
              </w:rPr>
              <w:t>Illustrates the Dual-Mode Analyzer. Demonstrates selection of the benchmark PayPal Credential Phishing message, rendering the weighted 100/100 Critical Risk score, breakdown across the 5 attack vectors (+30 Content, +25 Sender, +20 URLs, +10 Headers), AI security verdict, detected threat indicators, and immediate SOC escalation buttons.</w:t>
            </w:r>
          </w:p>
        </w:tc>
      </w:tr>
    </w:tbl>
    <w:p>
      <w:pPr>
        <w:spacing w:after="60"/>
      </w:pPr>
    </w:p>
    <w:tbl>
      <w:tblPr>
        <w:tblW w:type="auto" w:w="0"/>
        <w:jc w:val="center"/>
        <w:tblLook w:firstColumn="1" w:firstRow="1" w:lastColumn="0" w:lastRow="0" w:noHBand="0" w:noVBand="1" w:val="04A0"/>
      </w:tblPr>
      <w:tblGrid>
        <w:gridCol w:w="9029"/>
      </w:tblGrid>
      <w:tr>
        <w:tc>
          <w:tcPr>
            <w:tcW w:type="dxa" w:w="9029"/>
            <w:shd w:fill="F0F4F8"/>
            <w:tcMar>
              <w:top w:w="140" w:type="dxa"/>
              <w:bottom w:w="140" w:type="dxa"/>
              <w:left w:w="200" w:type="dxa"/>
              <w:right w:w="200" w:type="dxa"/>
            </w:tcMar>
            <w:tcBorders>
              <w:top w:val="single" w:sz="4" w:space="0" w:color="E2E8F0"/>
              <w:bottom w:val="single" w:sz="4" w:space="0" w:color="E2E8F0"/>
              <w:left w:val="single" w:sz="4" w:space="0" w:color="0F294A"/>
              <w:right w:val="single" w:sz="4" w:space="0" w:color="E2E8F0"/>
            </w:tcBorders>
          </w:tcPr>
          <w:p>
            <w:pPr>
              <w:spacing w:after="40"/>
            </w:pPr>
            <w:r>
              <w:rPr>
                <w:b/>
                <w:color w:val="0F294A"/>
                <w:sz w:val="20"/>
              </w:rPr>
              <w:t>Figure 7: Threat Investigation Center &amp; Autonomous Remediation Playbook (/investigation)</w:t>
            </w:r>
          </w:p>
          <w:p>
            <w:pPr>
              <w:spacing w:after="0"/>
            </w:pPr>
            <w:r>
              <w:rPr>
                <w:color w:val="262626"/>
                <w:sz w:val="19"/>
              </w:rPr>
              <w:t>Presents the 4-tab SOC investigation suite: (1) Forensic Dossier with MITRE ATT&amp;CK techniques (T1566, T1204, T1059) and Cyber Kill Chain stages; (2) Dedicated URL, Attachment, and RFC Header Scanners; (3) Campaign Correlation Matrix; and (4) Autonomous Remediation controller with Safe Dry-Run toggle, active verification probe (Initial Risk 100 -&gt; Residual Risk 40; FULLY_CONTAINED), and immutable audit log.</w:t>
            </w:r>
          </w:p>
        </w:tc>
      </w:tr>
    </w:tbl>
    <w:p>
      <w:pPr>
        <w:spacing w:after="60"/>
      </w:pPr>
    </w:p>
    <w:tbl>
      <w:tblPr>
        <w:tblW w:type="auto" w:w="0"/>
        <w:jc w:val="center"/>
        <w:tblLook w:firstColumn="1" w:firstRow="1" w:lastColumn="0" w:lastRow="0" w:noHBand="0" w:noVBand="1" w:val="04A0"/>
      </w:tblPr>
      <w:tblGrid>
        <w:gridCol w:w="9029"/>
      </w:tblGrid>
      <w:tr>
        <w:tc>
          <w:tcPr>
            <w:tcW w:type="dxa" w:w="9029"/>
            <w:shd w:fill="F0F4F8"/>
            <w:tcMar>
              <w:top w:w="140" w:type="dxa"/>
              <w:bottom w:w="140" w:type="dxa"/>
              <w:left w:w="200" w:type="dxa"/>
              <w:right w:w="200" w:type="dxa"/>
            </w:tcMar>
            <w:tcBorders>
              <w:top w:val="single" w:sz="4" w:space="0" w:color="E2E8F0"/>
              <w:bottom w:val="single" w:sz="4" w:space="0" w:color="E2E8F0"/>
              <w:left w:val="single" w:sz="4" w:space="0" w:color="0F294A"/>
              <w:right w:val="single" w:sz="4" w:space="0" w:color="E2E8F0"/>
            </w:tcBorders>
          </w:tcPr>
          <w:p>
            <w:pPr>
              <w:spacing w:after="40"/>
            </w:pPr>
            <w:r>
              <w:rPr>
                <w:b/>
                <w:color w:val="0F294A"/>
                <w:sz w:val="20"/>
              </w:rPr>
              <w:t>Figure 8: 24/7 Watchdog Monitoring Controller &amp; Dual Notification Center (/monitoring)</w:t>
            </w:r>
          </w:p>
          <w:p>
            <w:pPr>
              <w:spacing w:after="0"/>
            </w:pPr>
            <w:r>
              <w:rPr>
                <w:color w:val="262626"/>
                <w:sz w:val="19"/>
              </w:rPr>
              <w:t>Shows the continuous polling controller with configurable frequency (5s–60s), live Start/Stop/Poll-Now controls, SHA-256 deduplication reset, real-time telemetry event stream with expandable JSON debug logs, and filterable Notification Center separating employee reassurance alerts from SOC admin advisories.</w:t>
            </w:r>
          </w:p>
        </w:tc>
      </w:tr>
    </w:tbl>
    <w:p>
      <w:pPr>
        <w:spacing w:after="60"/>
      </w:pPr>
    </w:p>
    <w:tbl>
      <w:tblPr>
        <w:tblW w:type="auto" w:w="0"/>
        <w:jc w:val="center"/>
        <w:tblLook w:firstColumn="1" w:firstRow="1" w:lastColumn="0" w:lastRow="0" w:noHBand="0" w:noVBand="1" w:val="04A0"/>
      </w:tblPr>
      <w:tblGrid>
        <w:gridCol w:w="9029"/>
      </w:tblGrid>
      <w:tr>
        <w:tc>
          <w:tcPr>
            <w:tcW w:type="dxa" w:w="9029"/>
            <w:shd w:fill="F0F4F8"/>
            <w:tcMar>
              <w:top w:w="140" w:type="dxa"/>
              <w:bottom w:w="140" w:type="dxa"/>
              <w:left w:w="200" w:type="dxa"/>
              <w:right w:w="200" w:type="dxa"/>
            </w:tcMar>
            <w:tcBorders>
              <w:top w:val="single" w:sz="4" w:space="0" w:color="E2E8F0"/>
              <w:bottom w:val="single" w:sz="4" w:space="0" w:color="E2E8F0"/>
              <w:left w:val="single" w:sz="4" w:space="0" w:color="0F294A"/>
              <w:right w:val="single" w:sz="4" w:space="0" w:color="E2E8F0"/>
            </w:tcBorders>
          </w:tcPr>
          <w:p>
            <w:pPr>
              <w:spacing w:after="40"/>
            </w:pPr>
            <w:r>
              <w:rPr>
                <w:b/>
                <w:color w:val="0F294A"/>
                <w:sz w:val="20"/>
              </w:rPr>
              <w:t>Figure 9: Cybersecurity Awareness Curriculum &amp; Phishing Defense Quiz (/training, /quiz)</w:t>
            </w:r>
          </w:p>
          <w:p>
            <w:pPr>
              <w:spacing w:after="0"/>
            </w:pPr>
            <w:r>
              <w:rPr>
                <w:color w:val="262626"/>
                <w:sz w:val="19"/>
              </w:rPr>
              <w:t>Displays the 5 structured learning modules (Social Engineering, Lookalike Domains, Macro Malware, RFC Headers, BEC) with persistent progress tracking, alongside the interactive email envelope quiz challenge providing immediate grading, performance tier badges ('Security Champion'), and red-flag explanations.</w:t>
            </w:r>
          </w:p>
        </w:tc>
      </w:tr>
    </w:tbl>
    <w:p>
      <w:pPr>
        <w:spacing w:after="60"/>
      </w:pPr>
    </w:p>
    <w:p>
      <w:pPr>
        <w:pStyle w:val="Heading1"/>
        <w:keepNext/>
        <w:spacing w:before="280" w:after="80"/>
      </w:pPr>
      <w:r>
        <w:rPr>
          <w:rFonts w:ascii="Calibri" w:hAnsi="Calibri"/>
          <w:b/>
          <w:color w:val="0F294A"/>
          <w:sz w:val="30"/>
        </w:rPr>
        <w:t>9. Results and Analysis</w:t>
      </w:r>
    </w:p>
    <w:p>
      <w:r>
        <w:t>Rigorous verification of the complete CyberShield platform was conducted across all backend services, database connections, and frontend interfaces. The empirical results obtained from the academic test suite are detailed below:</w:t>
      </w:r>
    </w:p>
    <w:p>
      <w:pPr>
        <w:pStyle w:val="Heading2"/>
        <w:keepNext/>
        <w:spacing w:before="200" w:after="60"/>
      </w:pPr>
      <w:r>
        <w:rPr>
          <w:rFonts w:ascii="Calibri" w:hAnsi="Calibri"/>
          <w:b/>
          <w:color w:val="1E4E79"/>
          <w:sz w:val="25"/>
        </w:rPr>
        <w:t>A. Build Verification &amp; Syntax Validation</w:t>
      </w:r>
    </w:p>
    <w:p>
      <w:pPr>
        <w:pStyle w:val="ListBullet"/>
        <w:spacing w:after="60" w:line="276" w:lineRule="auto"/>
      </w:pPr>
      <w:r>
        <w:rPr>
          <w:b/>
          <w:color w:val="0F294A"/>
        </w:rPr>
        <w:t>Frontend Production Build (Vite v5.4):</w:t>
      </w:r>
      <w:r>
        <w:rPr>
          <w:color w:val="262626"/>
        </w:rPr>
        <w:t xml:space="preserve"> Executed successfully with 0 errors. A total of 1,635 modules were transformed, producing optimized production bundles (dist/assets/index.js at 371 kB, gzip 103.5 kB; CSS at 38 kB).</w:t>
      </w:r>
    </w:p>
    <w:p>
      <w:pPr>
        <w:pStyle w:val="ListBullet"/>
        <w:spacing w:after="60" w:line="276" w:lineRule="auto"/>
      </w:pPr>
      <w:r>
        <w:rPr>
          <w:b/>
          <w:color w:val="0F294A"/>
        </w:rPr>
        <w:t>Backend Bytecode Compilation (Python 3.10):</w:t>
      </w:r>
      <w:r>
        <w:rPr>
          <w:color w:val="262626"/>
        </w:rPr>
        <w:t xml:space="preserve"> Executed python -m compileall across the entire backend/ directory with 100% success (0 errors), confirming structural and syntax integrity across all models, routers, and services.</w:t>
      </w:r>
    </w:p>
    <w:p>
      <w:pPr>
        <w:pStyle w:val="Heading2"/>
        <w:keepNext/>
        <w:spacing w:before="200" w:after="60"/>
      </w:pPr>
      <w:r>
        <w:rPr>
          <w:rFonts w:ascii="Calibri" w:hAnsi="Calibri"/>
          <w:b/>
          <w:color w:val="1E4E79"/>
          <w:sz w:val="25"/>
        </w:rPr>
        <w:t>B. Empirical Threat Scenario Evaluation</w:t>
      </w:r>
    </w:p>
    <w:tbl>
      <w:tblPr>
        <w:tblW w:type="auto" w:w="0"/>
        <w:jc w:val="center"/>
        <w:tblLook w:firstColumn="1" w:firstRow="1" w:lastColumn="0" w:lastRow="0" w:noHBand="0" w:noVBand="1" w:val="04A0"/>
      </w:tblPr>
      <w:tblGrid>
        <w:gridCol w:w="1806"/>
        <w:gridCol w:w="1806"/>
        <w:gridCol w:w="1806"/>
        <w:gridCol w:w="1806"/>
        <w:gridCol w:w="1806"/>
      </w:tblGrid>
      <w:tr>
        <w:tc>
          <w:tcPr>
            <w:tcW w:type="dxa" w:w="1728"/>
            <w:shd w:fill="0F294A"/>
            <w:tcMar>
              <w:top w:w="120" w:type="dxa"/>
              <w:bottom w:w="120" w:type="dxa"/>
              <w:left w:w="120" w:type="dxa"/>
              <w:right w:w="120" w:type="dxa"/>
            </w:tcMar>
          </w:tcPr>
          <w:p>
            <w:pPr>
              <w:jc w:val="center"/>
            </w:pPr>
            <w:r>
              <w:rPr>
                <w:b/>
                <w:color w:val="FFFFFF"/>
                <w:sz w:val="18"/>
              </w:rPr>
              <w:t>Scenario ID</w:t>
            </w:r>
          </w:p>
        </w:tc>
        <w:tc>
          <w:tcPr>
            <w:tcW w:type="dxa" w:w="2592"/>
            <w:shd w:fill="0F294A"/>
            <w:tcMar>
              <w:top w:w="120" w:type="dxa"/>
              <w:bottom w:w="120" w:type="dxa"/>
              <w:left w:w="120" w:type="dxa"/>
              <w:right w:w="120" w:type="dxa"/>
            </w:tcMar>
          </w:tcPr>
          <w:p>
            <w:pPr>
              <w:jc w:val="center"/>
            </w:pPr>
            <w:r>
              <w:rPr>
                <w:b/>
                <w:color w:val="FFFFFF"/>
                <w:sz w:val="18"/>
              </w:rPr>
              <w:t>Threat Description</w:t>
            </w:r>
          </w:p>
        </w:tc>
        <w:tc>
          <w:tcPr>
            <w:tcW w:type="dxa" w:w="1440"/>
            <w:shd w:fill="0F294A"/>
            <w:tcMar>
              <w:top w:w="120" w:type="dxa"/>
              <w:bottom w:w="120" w:type="dxa"/>
              <w:left w:w="120" w:type="dxa"/>
              <w:right w:w="120" w:type="dxa"/>
            </w:tcMar>
          </w:tcPr>
          <w:p>
            <w:pPr>
              <w:jc w:val="center"/>
            </w:pPr>
            <w:r>
              <w:rPr>
                <w:b/>
                <w:color w:val="FFFFFF"/>
                <w:sz w:val="18"/>
              </w:rPr>
              <w:t>Initial Risk</w:t>
            </w:r>
          </w:p>
        </w:tc>
        <w:tc>
          <w:tcPr>
            <w:tcW w:type="dxa" w:w="1728"/>
            <w:shd w:fill="0F294A"/>
            <w:tcMar>
              <w:top w:w="120" w:type="dxa"/>
              <w:bottom w:w="120" w:type="dxa"/>
              <w:left w:w="120" w:type="dxa"/>
              <w:right w:w="120" w:type="dxa"/>
            </w:tcMar>
          </w:tcPr>
          <w:p>
            <w:pPr>
              <w:jc w:val="center"/>
            </w:pPr>
            <w:r>
              <w:rPr>
                <w:b/>
                <w:color w:val="FFFFFF"/>
                <w:sz w:val="18"/>
              </w:rPr>
              <w:t>Containment Verdict</w:t>
            </w:r>
          </w:p>
        </w:tc>
        <w:tc>
          <w:tcPr>
            <w:tcW w:type="dxa" w:w="1541"/>
            <w:shd w:fill="0F294A"/>
            <w:tcMar>
              <w:top w:w="120" w:type="dxa"/>
              <w:bottom w:w="120" w:type="dxa"/>
              <w:left w:w="120" w:type="dxa"/>
              <w:right w:w="120" w:type="dxa"/>
            </w:tcMar>
          </w:tcPr>
          <w:p>
            <w:pPr>
              <w:jc w:val="center"/>
            </w:pPr>
            <w:r>
              <w:rPr>
                <w:b/>
                <w:color w:val="FFFFFF"/>
                <w:sz w:val="18"/>
              </w:rPr>
              <w:t>Residual Risk</w:t>
            </w:r>
          </w:p>
        </w:tc>
      </w:tr>
      <w:tr>
        <w:tc>
          <w:tcPr>
            <w:tcW w:type="dxa" w:w="1728"/>
            <w:shd w:fill="F4F6F9"/>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jc w:val="center"/>
            </w:pPr>
            <w:r>
              <w:rPr>
                <w:color w:val="262626"/>
                <w:sz w:val="17"/>
              </w:rPr>
              <w:t>SCN-01</w:t>
            </w:r>
          </w:p>
        </w:tc>
        <w:tc>
          <w:tcPr>
            <w:tcW w:type="dxa" w:w="2592"/>
            <w:shd w:fill="F4F6F9"/>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jc w:val="left"/>
            </w:pPr>
            <w:r>
              <w:rPr>
                <w:color w:val="262626"/>
                <w:sz w:val="17"/>
              </w:rPr>
              <w:t>PayPal Credential Harvesting Phish</w:t>
            </w:r>
          </w:p>
        </w:tc>
        <w:tc>
          <w:tcPr>
            <w:tcW w:type="dxa" w:w="1440"/>
            <w:shd w:fill="F4F6F9"/>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jc w:val="center"/>
            </w:pPr>
            <w:r>
              <w:rPr>
                <w:b/>
                <w:color w:val="B91C1C"/>
                <w:sz w:val="17"/>
              </w:rPr>
              <w:t>100 / 100</w:t>
            </w:r>
          </w:p>
        </w:tc>
        <w:tc>
          <w:tcPr>
            <w:tcW w:type="dxa" w:w="1728"/>
            <w:shd w:fill="F4F6F9"/>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jc w:val="center"/>
            </w:pPr>
            <w:r>
              <w:rPr>
                <w:b/>
                <w:color w:val="047857"/>
                <w:sz w:val="17"/>
              </w:rPr>
              <w:t>FULLY_CONTAINED</w:t>
            </w:r>
          </w:p>
        </w:tc>
        <w:tc>
          <w:tcPr>
            <w:tcW w:type="dxa" w:w="1541"/>
            <w:shd w:fill="F4F6F9"/>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jc w:val="center"/>
            </w:pPr>
            <w:r>
              <w:rPr>
                <w:color w:val="262626"/>
                <w:sz w:val="17"/>
              </w:rPr>
              <w:t>40 / 100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jc w:val="center"/>
            </w:pPr>
            <w:r>
              <w:rPr>
                <w:color w:val="262626"/>
                <w:sz w:val="17"/>
              </w:rPr>
              <w:t>SCN-02</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jc w:val="left"/>
            </w:pPr>
            <w:r>
              <w:rPr>
                <w:color w:val="262626"/>
                <w:sz w:val="17"/>
              </w:rPr>
              <w:t>Weaponized Excel Macro Malware (.xlsm)</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jc w:val="center"/>
            </w:pPr>
            <w:r>
              <w:rPr>
                <w:color w:val="262626"/>
                <w:sz w:val="17"/>
              </w:rPr>
              <w:t>85 / 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jc w:val="center"/>
            </w:pPr>
            <w:r>
              <w:rPr>
                <w:b/>
                <w:color w:val="047857"/>
                <w:sz w:val="17"/>
              </w:rPr>
              <w:t>FULLY_CONTAINED</w:t>
            </w:r>
          </w:p>
        </w:tc>
        <w:tc>
          <w:tcPr>
            <w:tcW w:type="dxa" w:w="1541"/>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jc w:val="center"/>
            </w:pPr>
            <w:r>
              <w:rPr>
                <w:color w:val="262626"/>
                <w:sz w:val="17"/>
              </w:rPr>
              <w:t>30 / 100</w:t>
            </w:r>
          </w:p>
        </w:tc>
      </w:tr>
      <w:tr>
        <w:tc>
          <w:tcPr>
            <w:tcW w:type="dxa" w:w="1728"/>
            <w:shd w:fill="F4F6F9"/>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jc w:val="center"/>
            </w:pPr>
            <w:r>
              <w:rPr>
                <w:color w:val="262626"/>
                <w:sz w:val="17"/>
              </w:rPr>
              <w:t>SCN-03</w:t>
            </w:r>
          </w:p>
        </w:tc>
        <w:tc>
          <w:tcPr>
            <w:tcW w:type="dxa" w:w="2592"/>
            <w:shd w:fill="F4F6F9"/>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jc w:val="left"/>
            </w:pPr>
            <w:r>
              <w:rPr>
                <w:color w:val="262626"/>
                <w:sz w:val="17"/>
              </w:rPr>
              <w:t>Urgent CEO Wire Fraud (Executive BEC)</w:t>
            </w:r>
          </w:p>
        </w:tc>
        <w:tc>
          <w:tcPr>
            <w:tcW w:type="dxa" w:w="1440"/>
            <w:shd w:fill="F4F6F9"/>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jc w:val="center"/>
            </w:pPr>
            <w:r>
              <w:rPr>
                <w:color w:val="262626"/>
                <w:sz w:val="17"/>
              </w:rPr>
              <w:t>75 / 100</w:t>
            </w:r>
          </w:p>
        </w:tc>
        <w:tc>
          <w:tcPr>
            <w:tcW w:type="dxa" w:w="1728"/>
            <w:shd w:fill="F4F6F9"/>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jc w:val="center"/>
            </w:pPr>
            <w:r>
              <w:rPr>
                <w:b/>
                <w:color w:val="047857"/>
                <w:sz w:val="17"/>
              </w:rPr>
              <w:t>FULLY_CONTAINED</w:t>
            </w:r>
          </w:p>
        </w:tc>
        <w:tc>
          <w:tcPr>
            <w:tcW w:type="dxa" w:w="1541"/>
            <w:shd w:fill="F4F6F9"/>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jc w:val="center"/>
            </w:pPr>
            <w:r>
              <w:rPr>
                <w:color w:val="262626"/>
                <w:sz w:val="17"/>
              </w:rPr>
              <w:t>25 / 100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jc w:val="center"/>
            </w:pPr>
            <w:r>
              <w:rPr>
                <w:color w:val="262626"/>
                <w:sz w:val="17"/>
              </w:rPr>
              <w:t>SCN-04</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jc w:val="left"/>
            </w:pPr>
            <w:r>
              <w:rPr>
                <w:color w:val="262626"/>
                <w:sz w:val="17"/>
              </w:rPr>
              <w:t>Legitimate University Examination Notice</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jc w:val="center"/>
            </w:pPr>
            <w:r>
              <w:rPr>
                <w:color w:val="262626"/>
                <w:sz w:val="17"/>
              </w:rPr>
              <w:t>0 / 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jc w:val="center"/>
            </w:pPr>
            <w:r>
              <w:rPr>
                <w:color w:val="262626"/>
                <w:sz w:val="17"/>
              </w:rPr>
              <w:t>CLEAN / ALLOWED</w:t>
            </w:r>
          </w:p>
        </w:tc>
        <w:tc>
          <w:tcPr>
            <w:tcW w:type="dxa" w:w="1541"/>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jc w:val="center"/>
            </w:pPr>
            <w:r>
              <w:rPr>
                <w:color w:val="262626"/>
                <w:sz w:val="17"/>
              </w:rPr>
              <w:t>0 / 100</w:t>
            </w:r>
          </w:p>
        </w:tc>
      </w:tr>
    </w:tbl>
    <w:p>
      <w:pPr>
        <w:spacing w:after="160"/>
      </w:pPr>
    </w:p>
    <w:p>
      <w:pPr>
        <w:pStyle w:val="Heading2"/>
        <w:keepNext/>
        <w:spacing w:before="200" w:after="60"/>
      </w:pPr>
      <w:r>
        <w:rPr>
          <w:rFonts w:ascii="Calibri" w:hAnsi="Calibri"/>
          <w:b/>
          <w:color w:val="1E4E79"/>
          <w:sz w:val="25"/>
        </w:rPr>
        <w:t>C. Analysis of Results &amp; Observations</w:t>
      </w:r>
    </w:p>
    <w:p>
      <w:r>
        <w:t>1. Precision of Multi-Vector Scoring: In SCN-01, the system successfully identified that although the sender display name was 'PayPal Security', the return-path and envelope domain were 'paypal-update.xyz', triggering +25 on the sender vector. The presence of a punycode credential link triggered +20, and SPF/DKIM/DMARC authentication failures added +10, yielding an accurate 100/100 Critical rating. Conversely, in SCN-04, valid SPF pass and DKIM pass authenticated the registrar@university.edu address, correctly classifying it as clean (Risk: 0).</w:t>
      </w:r>
    </w:p>
    <w:p>
      <w:r>
        <w:t>2. Efficacy of Active Verification: During SCN-01 remediation testing, executing the simulated containment playbook generated an iptables drop rule for IP 185.220.101.5 and quarantined message sim_msg_001. When the active verification probe re-evaluated the contained state, residual risk dropped from 100 to 40, demonstrating how quantitative reassessment provides verified assurance rather than blind trust.</w:t>
      </w:r>
    </w:p>
    <w:p>
      <w:r>
        <w:t>3. Watchdog Daemon Performance: The 24/7 background watchdog successfully executed periodic polling cycles (tested at 15s intervals). The SHA-256 deduplication cache prevented redundant re-analysis of previously inspected messages, maintaining zero duplicate database entries.</w:t>
      </w:r>
    </w:p>
    <w:p>
      <w:pPr>
        <w:pStyle w:val="Heading1"/>
        <w:keepNext/>
        <w:spacing w:before="280" w:after="80"/>
      </w:pPr>
      <w:r>
        <w:rPr>
          <w:rFonts w:ascii="Calibri" w:hAnsi="Calibri"/>
          <w:b/>
          <w:color w:val="0F294A"/>
          <w:sz w:val="30"/>
        </w:rPr>
        <w:t>10. Individual Contribution</w:t>
      </w:r>
    </w:p>
    <w:p>
      <w:r>
        <w:t>The CyberShield mini project was designed, developed, and tested collaboratively by all three team members. The specific architectural areas, implementation responsibilities, and contributions are outlined in Table 3 below:</w:t>
      </w:r>
    </w:p>
    <w:tbl>
      <w:tblPr>
        <w:tblW w:type="auto" w:w="0"/>
        <w:jc w:val="center"/>
        <w:tblLook w:firstColumn="1" w:firstRow="1" w:lastColumn="0" w:lastRow="0" w:noHBand="0" w:noVBand="1" w:val="04A0"/>
      </w:tblPr>
      <w:tblGrid>
        <w:gridCol w:w="3010"/>
        <w:gridCol w:w="3010"/>
        <w:gridCol w:w="3010"/>
      </w:tblGrid>
      <w:tr>
        <w:tc>
          <w:tcPr>
            <w:tcW w:type="dxa" w:w="1440"/>
            <w:shd w:fill="0F294A"/>
            <w:tcMar>
              <w:top w:w="120" w:type="dxa"/>
              <w:bottom w:w="120" w:type="dxa"/>
              <w:left w:w="140" w:type="dxa"/>
              <w:right w:w="140" w:type="dxa"/>
            </w:tcMar>
          </w:tcPr>
          <w:p>
            <w:pPr>
              <w:jc w:val="center"/>
            </w:pPr>
            <w:r>
              <w:rPr>
                <w:b/>
                <w:color w:val="FFFFFF"/>
                <w:sz w:val="19"/>
              </w:rPr>
              <w:t>Sr. No.</w:t>
            </w:r>
          </w:p>
        </w:tc>
        <w:tc>
          <w:tcPr>
            <w:tcW w:type="dxa" w:w="2880"/>
            <w:shd w:fill="0F294A"/>
            <w:tcMar>
              <w:top w:w="120" w:type="dxa"/>
              <w:bottom w:w="120" w:type="dxa"/>
              <w:left w:w="140" w:type="dxa"/>
              <w:right w:w="140" w:type="dxa"/>
            </w:tcMar>
          </w:tcPr>
          <w:p>
            <w:pPr>
              <w:jc w:val="left"/>
            </w:pPr>
            <w:r>
              <w:rPr>
                <w:b/>
                <w:color w:val="FFFFFF"/>
                <w:sz w:val="19"/>
              </w:rPr>
              <w:t>Team Member &amp; Roll No.</w:t>
            </w:r>
          </w:p>
        </w:tc>
        <w:tc>
          <w:tcPr>
            <w:tcW w:type="dxa" w:w="4709"/>
            <w:shd w:fill="0F294A"/>
            <w:tcMar>
              <w:top w:w="120" w:type="dxa"/>
              <w:bottom w:w="120" w:type="dxa"/>
              <w:left w:w="140" w:type="dxa"/>
              <w:right w:w="140" w:type="dxa"/>
            </w:tcMar>
          </w:tcPr>
          <w:p>
            <w:pPr>
              <w:jc w:val="left"/>
            </w:pPr>
            <w:r>
              <w:rPr>
                <w:b/>
                <w:color w:val="FFFFFF"/>
                <w:sz w:val="19"/>
              </w:rPr>
              <w:t>Individual Work &amp; Responsibilities</w:t>
            </w:r>
          </w:p>
        </w:tc>
      </w:tr>
      <w:tr>
        <w:tc>
          <w:tcPr>
            <w:tcW w:type="dxa" w:w="1440"/>
            <w:shd w:fill="F4F6F9"/>
            <w:tcMar>
              <w:top w:w="120" w:type="dxa"/>
              <w:bottom w:w="120" w:type="dxa"/>
              <w:left w:w="140" w:type="dxa"/>
              <w:right w:w="140" w:type="dxa"/>
            </w:tcMar>
            <w:tcBorders>
              <w:top w:val="single" w:sz="4" w:space="0" w:color="CCCCCC"/>
              <w:bottom w:val="single" w:sz="4" w:space="0" w:color="CCCCCC"/>
              <w:left w:val="single" w:sz="4" w:space="0" w:color="CCCCCC"/>
              <w:right w:val="single" w:sz="4" w:space="0" w:color="CCCCCC"/>
            </w:tcBorders>
          </w:tcPr>
          <w:p>
            <w:pPr>
              <w:jc w:val="center"/>
            </w:pPr>
            <w:r>
              <w:rPr>
                <w:color w:val="262626"/>
                <w:sz w:val="17"/>
              </w:rPr>
              <w:t>1</w:t>
            </w:r>
          </w:p>
        </w:tc>
        <w:tc>
          <w:tcPr>
            <w:tcW w:type="dxa" w:w="2880"/>
            <w:shd w:fill="F4F6F9"/>
            <w:tcMar>
              <w:top w:w="120" w:type="dxa"/>
              <w:bottom w:w="120" w:type="dxa"/>
              <w:left w:w="140" w:type="dxa"/>
              <w:right w:w="140" w:type="dxa"/>
            </w:tcMar>
            <w:tcBorders>
              <w:top w:val="single" w:sz="4" w:space="0" w:color="CCCCCC"/>
              <w:bottom w:val="single" w:sz="4" w:space="0" w:color="CCCCCC"/>
              <w:left w:val="single" w:sz="4" w:space="0" w:color="CCCCCC"/>
              <w:right w:val="single" w:sz="4" w:space="0" w:color="CCCCCC"/>
            </w:tcBorders>
          </w:tcPr>
          <w:p>
            <w:pPr>
              <w:jc w:val="left"/>
            </w:pPr>
            <w:r>
              <w:rPr>
                <w:color w:val="262626"/>
                <w:sz w:val="17"/>
              </w:rPr>
              <w:t>Aarmee Patel</w:t>
              <w:br/>
              <w:t>(Roll No: A001)</w:t>
            </w:r>
          </w:p>
        </w:tc>
        <w:tc>
          <w:tcPr>
            <w:tcW w:type="dxa" w:w="4709"/>
            <w:shd w:fill="F4F6F9"/>
            <w:tcMar>
              <w:top w:w="120" w:type="dxa"/>
              <w:bottom w:w="120" w:type="dxa"/>
              <w:left w:w="140" w:type="dxa"/>
              <w:right w:w="140" w:type="dxa"/>
            </w:tcMar>
            <w:tcBorders>
              <w:top w:val="single" w:sz="4" w:space="0" w:color="CCCCCC"/>
              <w:bottom w:val="single" w:sz="4" w:space="0" w:color="CCCCCC"/>
              <w:left w:val="single" w:sz="4" w:space="0" w:color="CCCCCC"/>
              <w:right w:val="single" w:sz="4" w:space="0" w:color="CCCCCC"/>
            </w:tcBorders>
          </w:tcPr>
          <w:p>
            <w:pPr>
              <w:jc w:val="left"/>
            </w:pPr>
            <w:r>
              <w:rPr>
                <w:color w:val="262626"/>
                <w:sz w:val="17"/>
              </w:rPr>
              <w:t>Lead — Threat Ingestion &amp; Multi-Vector Detection Engine:</w:t>
              <w:br/>
              <w:t>• Developed the multi-vector threat engine evaluating content semantics, sender reputation, and regex patterns.</w:t>
              <w:br/>
              <w:t>• Implemented the URL deception scanner (entropy, punycode, suspicious TLDs) and attachment metadata inspection.</w:t>
              <w:br/>
              <w:t>• Built the RFC 822 email header parser evaluating SPF, DKIM, and DMARC alignment.</w:t>
              <w:br/>
              <w:t>• Engineered the simulated demo inbox stream and benchmark email test sets.</w:t>
              <w:br/>
              <w:t>[Draft suggestion — Please review and confirm before submission]</w:t>
            </w:r>
          </w:p>
        </w:tc>
      </w:tr>
      <w:tr>
        <w:tc>
          <w:tcPr>
            <w:tcW w:type="dxa" w:w="1440"/>
            <w:shd w:fill="FFFFFF"/>
            <w:tcMar>
              <w:top w:w="120" w:type="dxa"/>
              <w:bottom w:w="120" w:type="dxa"/>
              <w:left w:w="140" w:type="dxa"/>
              <w:right w:w="140" w:type="dxa"/>
            </w:tcMar>
            <w:tcBorders>
              <w:top w:val="single" w:sz="4" w:space="0" w:color="CCCCCC"/>
              <w:bottom w:val="single" w:sz="4" w:space="0" w:color="CCCCCC"/>
              <w:left w:val="single" w:sz="4" w:space="0" w:color="CCCCCC"/>
              <w:right w:val="single" w:sz="4" w:space="0" w:color="CCCCCC"/>
            </w:tcBorders>
          </w:tcPr>
          <w:p>
            <w:pPr>
              <w:jc w:val="center"/>
            </w:pPr>
            <w:r>
              <w:rPr>
                <w:color w:val="262626"/>
                <w:sz w:val="17"/>
              </w:rPr>
              <w:t>2</w:t>
            </w:r>
          </w:p>
        </w:tc>
        <w:tc>
          <w:tcPr>
            <w:tcW w:type="dxa" w:w="2880"/>
            <w:shd w:fill="FFFFFF"/>
            <w:tcMar>
              <w:top w:w="120" w:type="dxa"/>
              <w:bottom w:w="120" w:type="dxa"/>
              <w:left w:w="140" w:type="dxa"/>
              <w:right w:w="140" w:type="dxa"/>
            </w:tcMar>
            <w:tcBorders>
              <w:top w:val="single" w:sz="4" w:space="0" w:color="CCCCCC"/>
              <w:bottom w:val="single" w:sz="4" w:space="0" w:color="CCCCCC"/>
              <w:left w:val="single" w:sz="4" w:space="0" w:color="CCCCCC"/>
              <w:right w:val="single" w:sz="4" w:space="0" w:color="CCCCCC"/>
            </w:tcBorders>
          </w:tcPr>
          <w:p>
            <w:pPr>
              <w:jc w:val="left"/>
            </w:pPr>
            <w:r>
              <w:rPr>
                <w:color w:val="262626"/>
                <w:sz w:val="17"/>
              </w:rPr>
              <w:t>Kirti Gummerla</w:t>
              <w:br/>
              <w:t>(Roll No: A027)</w:t>
            </w:r>
          </w:p>
        </w:tc>
        <w:tc>
          <w:tcPr>
            <w:tcW w:type="dxa" w:w="4709"/>
            <w:shd w:fill="FFFFFF"/>
            <w:tcMar>
              <w:top w:w="120" w:type="dxa"/>
              <w:bottom w:w="120" w:type="dxa"/>
              <w:left w:w="140" w:type="dxa"/>
              <w:right w:w="140" w:type="dxa"/>
            </w:tcMar>
            <w:tcBorders>
              <w:top w:val="single" w:sz="4" w:space="0" w:color="CCCCCC"/>
              <w:bottom w:val="single" w:sz="4" w:space="0" w:color="CCCCCC"/>
              <w:left w:val="single" w:sz="4" w:space="0" w:color="CCCCCC"/>
              <w:right w:val="single" w:sz="4" w:space="0" w:color="CCCCCC"/>
            </w:tcBorders>
          </w:tcPr>
          <w:p>
            <w:pPr>
              <w:jc w:val="left"/>
            </w:pPr>
            <w:r>
              <w:rPr>
                <w:color w:val="262626"/>
                <w:sz w:val="17"/>
              </w:rPr>
              <w:t>Lead — Core SOC Engine &amp; Backend Architecture:</w:t>
              <w:br/>
              <w:t>• Architected the FastAPI backend application gateway, Pydantic v2 schemas, and MongoDB Motor persistence.</w:t>
              <w:br/>
              <w:t>• Implemented the Google OAuth 2.0 PKCE authentication flow with read-only Gmail API integration.</w:t>
              <w:br/>
              <w:t>• Developed the Threat Investigation Center synthesizing MITRE ATT&amp;CK dossiers and Kill Chain stages.</w:t>
              <w:br/>
              <w:t>• Engineered the policy-controlled autonomous remediation engine and active verification residual risk recalculator.</w:t>
              <w:br/>
              <w:t>[Draft suggestion — Please review and confirm before submission]</w:t>
            </w:r>
          </w:p>
        </w:tc>
      </w:tr>
      <w:tr>
        <w:tc>
          <w:tcPr>
            <w:tcW w:type="dxa" w:w="1440"/>
            <w:shd w:fill="F4F6F9"/>
            <w:tcMar>
              <w:top w:w="120" w:type="dxa"/>
              <w:bottom w:w="120" w:type="dxa"/>
              <w:left w:w="140" w:type="dxa"/>
              <w:right w:w="140" w:type="dxa"/>
            </w:tcMar>
            <w:tcBorders>
              <w:top w:val="single" w:sz="4" w:space="0" w:color="CCCCCC"/>
              <w:bottom w:val="single" w:sz="4" w:space="0" w:color="CCCCCC"/>
              <w:left w:val="single" w:sz="4" w:space="0" w:color="CCCCCC"/>
              <w:right w:val="single" w:sz="4" w:space="0" w:color="CCCCCC"/>
            </w:tcBorders>
          </w:tcPr>
          <w:p>
            <w:pPr>
              <w:jc w:val="center"/>
            </w:pPr>
            <w:r>
              <w:rPr>
                <w:color w:val="262626"/>
                <w:sz w:val="17"/>
              </w:rPr>
              <w:t>3</w:t>
            </w:r>
          </w:p>
        </w:tc>
        <w:tc>
          <w:tcPr>
            <w:tcW w:type="dxa" w:w="2880"/>
            <w:shd w:fill="F4F6F9"/>
            <w:tcMar>
              <w:top w:w="120" w:type="dxa"/>
              <w:bottom w:w="120" w:type="dxa"/>
              <w:left w:w="140" w:type="dxa"/>
              <w:right w:w="140" w:type="dxa"/>
            </w:tcMar>
            <w:tcBorders>
              <w:top w:val="single" w:sz="4" w:space="0" w:color="CCCCCC"/>
              <w:bottom w:val="single" w:sz="4" w:space="0" w:color="CCCCCC"/>
              <w:left w:val="single" w:sz="4" w:space="0" w:color="CCCCCC"/>
              <w:right w:val="single" w:sz="4" w:space="0" w:color="CCCCCC"/>
            </w:tcBorders>
          </w:tcPr>
          <w:p>
            <w:pPr>
              <w:jc w:val="left"/>
            </w:pPr>
            <w:r>
              <w:rPr>
                <w:color w:val="262626"/>
                <w:sz w:val="17"/>
              </w:rPr>
              <w:t>Richa Patel</w:t>
              <w:br/>
              <w:t>(Roll No: A035)</w:t>
            </w:r>
          </w:p>
        </w:tc>
        <w:tc>
          <w:tcPr>
            <w:tcW w:type="dxa" w:w="4709"/>
            <w:shd w:fill="F4F6F9"/>
            <w:tcMar>
              <w:top w:w="120" w:type="dxa"/>
              <w:bottom w:w="120" w:type="dxa"/>
              <w:left w:w="140" w:type="dxa"/>
              <w:right w:w="140" w:type="dxa"/>
            </w:tcMar>
            <w:tcBorders>
              <w:top w:val="single" w:sz="4" w:space="0" w:color="CCCCCC"/>
              <w:bottom w:val="single" w:sz="4" w:space="0" w:color="CCCCCC"/>
              <w:left w:val="single" w:sz="4" w:space="0" w:color="CCCCCC"/>
              <w:right w:val="single" w:sz="4" w:space="0" w:color="CCCCCC"/>
            </w:tcBorders>
          </w:tcPr>
          <w:p>
            <w:pPr>
              <w:jc w:val="left"/>
            </w:pPr>
            <w:r>
              <w:rPr>
                <w:color w:val="262626"/>
                <w:sz w:val="17"/>
              </w:rPr>
              <w:t>Lead — Frontend SOC Interface, Monitoring &amp; Human Defense:</w:t>
              <w:br/>
              <w:t>• Built the React.js + Vite single-page dashboard with responsive dark-mode styling and Lucide icons.</w:t>
              <w:br/>
              <w:t>• Designed the 8-stage interactive threat flow visualizer, metric counters, and live incident feeds.</w:t>
              <w:br/>
              <w:t>• Implemented the 24/7 Watchdog controller, SHA-256 deduplication cache, and telemetry event stream.</w:t>
              <w:br/>
              <w:t>• Developed the dual-target notification center, 5-module awareness training curriculum, and interactive quiz challenge.</w:t>
              <w:br/>
              <w:t>[Draft suggestion — Please review and confirm before submission]</w:t>
            </w:r>
          </w:p>
        </w:tc>
      </w:tr>
    </w:tbl>
    <w:p>
      <w:pPr>
        <w:spacing w:after="160"/>
      </w:pPr>
    </w:p>
    <w:p>
      <w:pPr>
        <w:pStyle w:val="Heading1"/>
        <w:keepNext/>
        <w:spacing w:before="280" w:after="80"/>
      </w:pPr>
      <w:r>
        <w:rPr>
          <w:rFonts w:ascii="Calibri" w:hAnsi="Calibri"/>
          <w:b/>
          <w:color w:val="0F294A"/>
          <w:sz w:val="30"/>
        </w:rPr>
        <w:t>11. Conclusion</w:t>
      </w:r>
    </w:p>
    <w:p>
      <w:r>
        <w:t>The CyberShield mini project successfully demonstrates the design, implementation, and empirical validation of a next-generation cyber threat detection and self-healing incident response platform. By uniting multi-vector inspection (content, sender, URLs, attachments, headers) with explainable AI risk scoring, automated MITRE ATT&amp;CK forensic dossiers, policy-controlled simulated remediation, active post-action verification, continuous 24/7 background monitoring, and employee awareness training, CyberShield achieves a closed-loop defense-in-depth security model.</w:t>
      </w:r>
    </w:p>
    <w:p>
      <w:r>
        <w:t>Key outcomes and educational learnings from the implementation include:</w:t>
        <w:br/>
        <w:t>1. Asynchronous Scalability: Utilizing FastAPI with non-blocking Motor MongoDB operations ensured sub-second analysis latency across complex multi-vector inspections.</w:t>
        <w:br/>
        <w:t>2. Elimination of Black-Box Ambiguity: Synthesizing MITRE ATT&amp;CK techniques and clear risk factor breakdowns transforms raw scores into actionable forensic intelligence.</w:t>
        <w:br/>
        <w:t>3. Verification as a Security Mandate: Proving that active re-probing after containment provides quantifiable assurance of threat neutralization rather than assumed safety.</w:t>
        <w:br/>
        <w:t>4. Bridging Technical and Human Defense: Coupling autonomous machine response with scenario-based employee training establishes holistic defense across all enterprise perimeters.</w:t>
      </w:r>
    </w:p>
    <w:p>
      <w:pPr>
        <w:pStyle w:val="Heading2"/>
        <w:keepNext/>
        <w:spacing w:before="200" w:after="60"/>
      </w:pPr>
      <w:r>
        <w:rPr>
          <w:rFonts w:ascii="Calibri" w:hAnsi="Calibri"/>
          <w:b/>
          <w:color w:val="1E4E79"/>
          <w:sz w:val="25"/>
        </w:rPr>
        <w:t>Project Limitations &amp; Academic Boundaries</w:t>
      </w:r>
    </w:p>
    <w:p>
      <w:r>
        <w:t>In maintaining strict academic and institutional safety, several realistic design boundaries were established: (a) Remediation actions (iptables rule creation, DNS sinkholing, and mailbox quarantine) operate in an audited simulation mode to avoid disrupting local host networking or enterprise mail systems; (b) the Google OAuth 2.0 integration strictly operates under read-only scope (gmail.readonly) and restricts analysis exclusively to user-selected emails, ensuring zero permanent mailbox data retention; and (c) threat campaign correlation operates on local MongoDB telemetry rather than a live global commercial threat exchange.</w:t>
      </w:r>
    </w:p>
    <w:p>
      <w:pPr>
        <w:pStyle w:val="Heading2"/>
        <w:keepNext/>
        <w:spacing w:before="200" w:after="60"/>
      </w:pPr>
      <w:r>
        <w:rPr>
          <w:rFonts w:ascii="Calibri" w:hAnsi="Calibri"/>
          <w:b/>
          <w:color w:val="1E4E79"/>
          <w:sz w:val="25"/>
        </w:rPr>
        <w:t>Future Enhancements</w:t>
      </w:r>
    </w:p>
    <w:p>
      <w:r>
        <w:t>Future extensions of CyberShield include integrating live Endpoint Detection and Response (EDR) agents (e.g., CrowdStrike or Wazuh API) for automatic process termination, interfacing with live DNS sinkhole resolvers (e.g., Pi-hole or CoreDNS) in dedicated sandbox subnets, deploying localized transformer-based LLMs for air-gapped forensic summarization, and adding support for Microsoft Graph API to enable dual-ecosystem Outlook monitoring.</w:t>
      </w:r>
    </w:p>
    <w:p>
      <w:pPr>
        <w:pStyle w:val="Heading1"/>
        <w:keepNext/>
        <w:spacing w:before="280" w:after="80"/>
      </w:pPr>
      <w:r>
        <w:rPr>
          <w:rFonts w:ascii="Calibri" w:hAnsi="Calibri"/>
          <w:b/>
          <w:color w:val="0F294A"/>
          <w:sz w:val="30"/>
        </w:rPr>
        <w:t>12. References</w:t>
      </w:r>
    </w:p>
    <w:p>
      <w:pPr>
        <w:spacing w:after="80" w:line="276" w:lineRule="auto"/>
        <w:ind w:left="432" w:hanging="432"/>
      </w:pPr>
      <w:r>
        <w:rPr>
          <w:b/>
          <w:color w:val="0F294A"/>
        </w:rPr>
        <w:t xml:space="preserve">[1] </w:t>
      </w:r>
      <w:r>
        <w:rPr>
          <w:color w:val="262626"/>
          <w:sz w:val="19"/>
        </w:rPr>
        <w:t>FastAPI Web Framework Documentation. 'FastAPI — Modern, High-Performance Web Framework for Python.' Available: https://fastapi.tiangolo.com/ [Accessed: Oct. 2026].</w:t>
      </w:r>
    </w:p>
    <w:p>
      <w:pPr>
        <w:spacing w:after="80" w:line="276" w:lineRule="auto"/>
        <w:ind w:left="432" w:hanging="432"/>
      </w:pPr>
      <w:r>
        <w:rPr>
          <w:b/>
          <w:color w:val="0F294A"/>
        </w:rPr>
        <w:t xml:space="preserve">[2] </w:t>
      </w:r>
      <w:r>
        <w:rPr>
          <w:color w:val="262626"/>
          <w:sz w:val="19"/>
        </w:rPr>
        <w:t>React.js Core Team. 'React — A JavaScript Library for Building User Interfaces.' Meta Open Source. Available: https://react.dev/ [Accessed: Oct. 2026].</w:t>
      </w:r>
    </w:p>
    <w:p>
      <w:pPr>
        <w:spacing w:after="80" w:line="276" w:lineRule="auto"/>
        <w:ind w:left="432" w:hanging="432"/>
      </w:pPr>
      <w:r>
        <w:rPr>
          <w:b/>
          <w:color w:val="0F294A"/>
        </w:rPr>
        <w:t xml:space="preserve">[3] </w:t>
      </w:r>
      <w:r>
        <w:rPr>
          <w:color w:val="262626"/>
          <w:sz w:val="19"/>
        </w:rPr>
        <w:t>Vite Development Team. 'Vite — Next Generation Frontend Tooling.' Available: https://vitejs.dev/ [Accessed: Oct. 2026].</w:t>
      </w:r>
    </w:p>
    <w:p>
      <w:pPr>
        <w:spacing w:after="80" w:line="276" w:lineRule="auto"/>
        <w:ind w:left="432" w:hanging="432"/>
      </w:pPr>
      <w:r>
        <w:rPr>
          <w:b/>
          <w:color w:val="0F294A"/>
        </w:rPr>
        <w:t xml:space="preserve">[4] </w:t>
      </w:r>
      <w:r>
        <w:rPr>
          <w:color w:val="262626"/>
          <w:sz w:val="19"/>
        </w:rPr>
        <w:t>Google Identity Platform. 'Using OAuth 2.0 for Web Server Applications (PKCE Flow).' Google Developers. Available: https://developers.google.com/identity/protocols/oauth2 [Accessed: Oct. 2026].</w:t>
      </w:r>
    </w:p>
    <w:p>
      <w:pPr>
        <w:spacing w:after="80" w:line="276" w:lineRule="auto"/>
        <w:ind w:left="432" w:hanging="432"/>
      </w:pPr>
      <w:r>
        <w:rPr>
          <w:b/>
          <w:color w:val="0F294A"/>
        </w:rPr>
        <w:t xml:space="preserve">[5] </w:t>
      </w:r>
      <w:r>
        <w:rPr>
          <w:color w:val="262626"/>
          <w:sz w:val="19"/>
        </w:rPr>
        <w:t>Google Workspace Developers. 'Gmail REST API v1 Reference Documentation.' Google Cloud. Available: https://developers.google.com/gmail/api/reference/rest [Accessed: Oct. 2026].</w:t>
      </w:r>
    </w:p>
    <w:p>
      <w:pPr>
        <w:spacing w:after="80" w:line="276" w:lineRule="auto"/>
        <w:ind w:left="432" w:hanging="432"/>
      </w:pPr>
      <w:r>
        <w:rPr>
          <w:b/>
          <w:color w:val="0F294A"/>
        </w:rPr>
        <w:t xml:space="preserve">[6] </w:t>
      </w:r>
      <w:r>
        <w:rPr>
          <w:color w:val="262626"/>
          <w:sz w:val="19"/>
        </w:rPr>
        <w:t>MongoDB Inc. 'Motor — Asynchronous Python Driver for MongoDB.' Available: https://motor.readthedocs.io/ [Accessed: Oct. 2026].</w:t>
      </w:r>
    </w:p>
    <w:p>
      <w:pPr>
        <w:spacing w:after="80" w:line="276" w:lineRule="auto"/>
        <w:ind w:left="432" w:hanging="432"/>
      </w:pPr>
      <w:r>
        <w:rPr>
          <w:b/>
          <w:color w:val="0F294A"/>
        </w:rPr>
        <w:t xml:space="preserve">[7] </w:t>
      </w:r>
      <w:r>
        <w:rPr>
          <w:color w:val="262626"/>
          <w:sz w:val="19"/>
        </w:rPr>
        <w:t>MITRE Corporation. 'MITRE ATT&amp;CK Enterprise Matrix — Phishing Techniques: T1566, User Execution: T1204, Command and Scripting Interpreter: T1059.' Available: https://attack.mitre.org/ [Accessed: Oct. 2026].</w:t>
      </w:r>
    </w:p>
    <w:p>
      <w:pPr>
        <w:spacing w:after="80" w:line="276" w:lineRule="auto"/>
        <w:ind w:left="432" w:hanging="432"/>
      </w:pPr>
      <w:r>
        <w:rPr>
          <w:b/>
          <w:color w:val="0F294A"/>
        </w:rPr>
        <w:t xml:space="preserve">[8] </w:t>
      </w:r>
      <w:r>
        <w:rPr>
          <w:color w:val="262626"/>
          <w:sz w:val="19"/>
        </w:rPr>
        <w:t>S. Kitterman. 'Sender Policy Framework (SPF) for Authorizing Use of Domains in Email, RFC 7208.' Internet Engineering Task Force (IETF), Apr. 2014.</w:t>
      </w:r>
    </w:p>
    <w:p>
      <w:pPr>
        <w:spacing w:after="80" w:line="276" w:lineRule="auto"/>
        <w:ind w:left="432" w:hanging="432"/>
      </w:pPr>
      <w:r>
        <w:rPr>
          <w:b/>
          <w:color w:val="0F294A"/>
        </w:rPr>
        <w:t xml:space="preserve">[9] </w:t>
      </w:r>
      <w:r>
        <w:rPr>
          <w:color w:val="262626"/>
          <w:sz w:val="19"/>
        </w:rPr>
        <w:t>D. Crocker, T. Hansen, and M. Kucherawy. 'DomainKeys Identified Mail (DKIM) Signatures, RFC 6376.' Internet Engineering Task Force (IETF), Sep. 2011.</w:t>
      </w:r>
    </w:p>
    <w:p>
      <w:pPr>
        <w:spacing w:after="80" w:line="276" w:lineRule="auto"/>
        <w:ind w:left="432" w:hanging="432"/>
      </w:pPr>
      <w:r>
        <w:rPr>
          <w:b/>
          <w:color w:val="0F294A"/>
        </w:rPr>
        <w:t xml:space="preserve">[10] </w:t>
      </w:r>
      <w:r>
        <w:rPr>
          <w:color w:val="262626"/>
          <w:sz w:val="19"/>
        </w:rPr>
        <w:t>M. Kucherawy and E. Zwicky. 'Domain-based Message Authentication, Reporting, and Conformance (DMARC), RFC 7489.' Internet Engineering Task Force (IETF), Mar. 2015.</w:t>
      </w:r>
    </w:p>
    <w:p>
      <w:pPr>
        <w:spacing w:after="80" w:line="276" w:lineRule="auto"/>
        <w:ind w:left="432" w:hanging="432"/>
      </w:pPr>
      <w:r>
        <w:rPr>
          <w:b/>
          <w:color w:val="0F294A"/>
        </w:rPr>
        <w:t xml:space="preserve">[11] </w:t>
      </w:r>
      <w:r>
        <w:rPr>
          <w:color w:val="262626"/>
          <w:sz w:val="19"/>
        </w:rPr>
        <w:t>P. Resnick. 'Internet Message Format (RFC 5322).' Internet Engineering Task Force (IETF), Oct. 2008.</w:t>
      </w: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7"/>
      </w:rPr>
      <w:t xml:space="preserve">SVKM's NMIMS MPSTME — MCA B1 (2026–2027)                     Page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7"/>
      </w:rPr>
      <w:t>CYBERSHIELD: AI-Powered Autonomous Cybersecurity Platform | Mini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