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7 –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Documentation Scope: </w:t>
      </w:r>
      <w:r w:rsidDel="00000000" w:rsidR="00000000" w:rsidRPr="00000000">
        <w:rPr>
          <w:rtl w:val="0"/>
        </w:rPr>
        <w:t xml:space="preserve">The project documentation records the complete process of importing employee data into ServiceNow using Import Sets and Transform Maps.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 Documentation: </w:t>
      </w:r>
      <w:r w:rsidDel="00000000" w:rsidR="00000000" w:rsidRPr="00000000">
        <w:rPr>
          <w:rtl w:val="0"/>
        </w:rPr>
        <w:t xml:space="preserve">The Employee Test table, Employee Import table, required fields, Transform Map, field mappings, and Coalesce configuration are documented.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and Transformation Documentation: </w:t>
      </w:r>
      <w:r w:rsidDel="00000000" w:rsidR="00000000" w:rsidRPr="00000000">
        <w:rPr>
          <w:rtl w:val="0"/>
        </w:rPr>
        <w:t xml:space="preserve">The documentation records the Load Data process, Transform operation, success verification, and validation of records in the Employee Test table.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Duplicate Handling Documentation: </w:t>
      </w:r>
      <w:r w:rsidDel="00000000" w:rsidR="00000000" w:rsidRPr="00000000">
        <w:rPr>
          <w:rtl w:val="0"/>
        </w:rPr>
        <w:t xml:space="preserve">The documentation explains that Coalesce is used to update existing records and prevent duplicate records during repeated imports.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Reports Documentation: </w:t>
      </w:r>
      <w:r w:rsidDel="00000000" w:rsidR="00000000" w:rsidRPr="00000000">
        <w:rPr>
          <w:rtl w:val="0"/>
        </w:rPr>
        <w:t xml:space="preserve">The documentation includes Employees by Department, Employees by Location, and Employee List Report configurations.</w:t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Documentation: </w:t>
      </w:r>
      <w:r w:rsidDel="00000000" w:rsidR="00000000" w:rsidRPr="00000000">
        <w:rPr>
          <w:rtl w:val="0"/>
        </w:rPr>
        <w:t xml:space="preserve">The process of creating the Employee Analytics Dashboard and adding all three reports is documented.</w:t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Outcome: </w:t>
      </w:r>
      <w:r w:rsidDel="00000000" w:rsidR="00000000" w:rsidRPr="00000000">
        <w:rPr>
          <w:rtl w:val="0"/>
        </w:rPr>
        <w:t xml:space="preserve">The documentation demonstrates how the solution supports employee data accuracy, duplicate prevention, reporting, and centralized visibility.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