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color:green;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font-size:30px;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.listitem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color:yellow;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font-size:20px;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#two{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height: 150px;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width: 150px;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background-color:pink;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.paragraph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color:violet;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font-size:2.5em;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#navmenu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width:250px;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height:30px;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margin:auto;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.navitem 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list-style-type:none;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display:inline;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padding-right:1.5em;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a:link{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color:green;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a:visited{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color:red;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a:hover{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color:white;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a:active{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color:yellow;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#three{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height: 150px;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width: 150px;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background-color:#b366ff;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#one{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height: 150px;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width: 150px;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background-color:lightblue;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.wrap-text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color:#ccffcc;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font-size: 2.1em;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.wrap-trivia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height:500px;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width:200px;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border:5px double yellow;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#background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background-color:#beb9c6;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#button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width:200px;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height:100px;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color:black;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background-color:white;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border-radius:20px;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height:50px;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width:50%;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border:5px solid black;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background-color:orange;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height:50px;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width:50%;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border:2px solid black;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background-color:#aef880;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.padd{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border:10px white double;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padding-left: 25px;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.header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position: relative;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margin-bottom: 50px;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