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探索性数据分析简报</w:t>
      </w:r>
    </w:p>
    <w:p w14:paraId="00000002">
      <w:pPr>
        <w:ind w:left="240"/>
      </w:pPr>
      <w:r>
        <w:rPr>
          <w:rFonts w:hint="eastAsia"/>
        </w:rPr>
        <w:t>项目：云购生活新零售企业 —— 企业级数据仓库与经营分析可视化系统</w:t>
      </w:r>
    </w:p>
    <w:p w14:paraId="00000003">
      <w:pPr>
        <w:ind w:left="240"/>
      </w:pPr>
      <w:r>
        <w:rPr>
          <w:rFonts w:hint="eastAsia"/>
        </w:rPr>
        <w:t>阶段：第 2 周 · 子任务 7</w:t>
      </w:r>
    </w:p>
    <w:p w14:paraId="00000004">
      <w:pPr>
        <w:ind w:left="240"/>
      </w:pPr>
      <w:r>
        <w:rPr>
          <w:rFonts w:hint="eastAsia"/>
        </w:rPr>
        <w:t>团队：云购生活数据仓库项目组 ｜ 成员：曲欣锋</w:t>
      </w:r>
    </w:p>
    <w:p w14:paraId="00000005">
      <w:pPr>
        <w:ind w:left="240"/>
      </w:pPr>
      <w:r>
        <w:rPr>
          <w:rFonts w:hint="eastAsia"/>
        </w:rPr>
        <w:t>数据范围：2024-01-01 ~ 2024-12-31，订单 14,398 笔 / 用户 1,000 人</w:t>
      </w:r>
    </w:p>
    <w:p w14:paraId="00000006">
      <w:pPr>
        <w:ind w:left="240"/>
      </w:pPr>
      <w:r>
        <w:rPr>
          <w:rFonts w:hint="eastAsia"/>
        </w:rPr>
        <w:t>取数脚本：</w:t>
      </w:r>
      <w:r>
        <w:rPr>
          <w:rFonts w:ascii="Consolas" w:hAnsi="Consolas" w:eastAsia="Consolas" w:cs="Consolas"/>
        </w:rPr>
        <w:t>sql/dwd/40_eda.sql</w:t>
      </w:r>
      <w:r>
        <w:rPr>
          <w:rFonts w:hint="eastAsia"/>
        </w:rPr>
        <w:t xml:space="preserve">，结果表 </w:t>
      </w:r>
      <w:r>
        <w:rPr>
          <w:rFonts w:ascii="Consolas" w:hAnsi="Consolas" w:eastAsia="Consolas" w:cs="Consolas"/>
        </w:rPr>
        <w:t>ydsh_ads.*</w:t>
      </w:r>
    </w:p>
    <w:p w14:paraId="00000007">
      <w:pPr>
        <w:pBdr>
          <w:bottom w:val="thick" w:color="040102" w:sz="8"/>
        </w:pBdr>
      </w:pPr>
    </w:p>
    <w:p w14:paraId="0000000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一、核心结论（先看这五条）</w:t>
      </w:r>
    </w:p>
    <w:p w14:paraId="00000009">
      <w:pPr>
        <w:numPr>
          <w:ilvl w:val="0"/>
          <w:numId w:val="1"/>
        </w:numPr>
      </w:pPr>
      <w:r>
        <w:rPr>
          <w:rFonts w:hint="eastAsia"/>
          <w:b w:val="1"/>
        </w:rPr>
        <w:t>全年 GMV 3,611.67 万元，客单价 2,508 元，盘子稳定但缺少增长引擎</w:t>
      </w:r>
      <w:r>
        <w:rPr>
          <w:rFonts w:hint="eastAsia"/>
        </w:rPr>
        <w:t xml:space="preserve"> —— 12 个月 GMV 波动区间仅 283 万 ~ 316 万，环比在 -8.13% ~ +5.92% 之间来回摆动，没有明显的上升趋势。</w:t>
      </w:r>
    </w:p>
    <w:p w14:paraId="0000000A">
      <w:pPr>
        <w:numPr>
          <w:ilvl w:val="0"/>
          <w:numId w:val="1"/>
        </w:numPr>
      </w:pPr>
      <w:r>
        <w:rPr>
          <w:rFonts w:hint="eastAsia"/>
          <w:b w:val="1"/>
        </w:rPr>
        <w:t>235 名用户贡献了 32.78% 的 GMV，人均贡献是低价值用户的 4 倍</w:t>
      </w:r>
      <w:r>
        <w:rPr>
          <w:rFonts w:hint="eastAsia"/>
        </w:rPr>
        <w:t xml:space="preserve"> —— 头部集中度高，运营资源应向这批人倾斜。</w:t>
      </w:r>
    </w:p>
    <w:p w14:paraId="0000000B">
      <w:pPr>
        <w:numPr>
          <w:ilvl w:val="0"/>
          <w:numId w:val="1"/>
        </w:numPr>
      </w:pPr>
      <w:r>
        <w:rPr>
          <w:rFonts w:hint="eastAsia"/>
          <w:b w:val="1"/>
        </w:rPr>
        <w:t>四大渠道几乎均分（各占约 25%）</w:t>
      </w:r>
      <w:r>
        <w:rPr>
          <w:rFonts w:hint="eastAsia"/>
        </w:rPr>
        <w:t xml:space="preserve"> —— 没有绝对强势渠道，意味着没有明显短板，但也意味着没有可放大的单一增长点。</w:t>
      </w:r>
    </w:p>
    <w:p w14:paraId="0000000C">
      <w:pPr>
        <w:numPr>
          <w:ilvl w:val="0"/>
          <w:numId w:val="1"/>
        </w:numPr>
      </w:pPr>
      <w:r>
        <w:rPr>
          <w:rFonts w:hint="eastAsia"/>
          <w:b w:val="1"/>
        </w:rPr>
        <w:t>区域分布极度扁平</w:t>
      </w:r>
      <w:r>
        <w:rPr>
          <w:rFonts w:hint="eastAsia"/>
        </w:rPr>
        <w:t xml:space="preserve"> —— 前三名省份（陕西 7.89%、重庆 7.51%、辽宁 7.50%）差距不到 0.4 个百分点，60 家门店 GMV 标准差极小（最高 708,051 元 / 最低 509,141 元，相差 39%）。</w:t>
      </w:r>
    </w:p>
    <w:p w14:paraId="0000000D">
      <w:pPr>
        <w:numPr>
          <w:ilvl w:val="0"/>
          <w:numId w:val="1"/>
        </w:numPr>
      </w:pPr>
      <w:r>
        <w:rPr>
          <w:rFonts w:hint="eastAsia"/>
          <w:b w:val="1"/>
        </w:rPr>
        <w:t>流量高峰出现在凌晨 00-05 点（14,936 次行为，占 24.9%）</w:t>
      </w:r>
      <w:r>
        <w:rPr>
          <w:rFonts w:hint="eastAsia"/>
        </w:rPr>
        <w:t xml:space="preserve"> —— 与常规零售「晚间高峰」的认知相反，需要核实是真实用户行为还是采集时区偏移。</w:t>
      </w:r>
    </w:p>
    <w:p w14:paraId="0000000E">
      <w:pPr>
        <w:pBdr>
          <w:bottom w:val="thick" w:color="040102" w:sz="8"/>
        </w:pBdr>
      </w:pPr>
    </w:p>
    <w:p w14:paraId="0000000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二、总量指标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768" w:type="dxa"/>
            <w:tcMar/>
            <w:vAlign w:val="center"/>
          </w:tcPr>
          <w:p w14:paraId="000000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数值</w:t>
            </w:r>
          </w:p>
        </w:tc>
        <w:tc>
          <w:tcPr>
            <w:tcW w:w="2768" w:type="dxa"/>
            <w:tcMar/>
            <w:vAlign w:val="center"/>
          </w:tcPr>
          <w:p w14:paraId="000000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口径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13">
            <w:r>
              <w:rPr>
                <w:rFonts w:hint="eastAsia"/>
              </w:rPr>
              <w:t>总成交额 GMV</w:t>
            </w:r>
          </w:p>
        </w:tc>
        <w:tc>
          <w:tcPr>
            <w:tcW w:w="2768" w:type="dxa"/>
            <w:tcMar/>
            <w:vAlign w:val="center"/>
          </w:tcPr>
          <w:p w14:paraId="00000014">
            <w:r>
              <w:rPr>
                <w:rFonts w:hint="eastAsia"/>
                <w:b w:val="1"/>
              </w:rPr>
              <w:t>36,116,687.06 元</w:t>
            </w:r>
          </w:p>
        </w:tc>
        <w:tc>
          <w:tcPr>
            <w:tcW w:w="2768" w:type="dxa"/>
            <w:tcMar/>
            <w:vAlign w:val="center"/>
          </w:tcPr>
          <w:p w14:paraId="00000015">
            <w:r>
              <w:rPr>
                <w:rFonts w:ascii="Consolas" w:hAnsi="Consolas" w:eastAsia="Consolas" w:cs="Consolas"/>
              </w:rPr>
              <w:t>SUM(pay_amount)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16">
            <w:r>
              <w:rPr>
                <w:rFonts w:hint="eastAsia"/>
              </w:rPr>
              <w:t>订单总量</w:t>
            </w:r>
          </w:p>
        </w:tc>
        <w:tc>
          <w:tcPr>
            <w:tcW w:w="2768" w:type="dxa"/>
            <w:tcMar/>
            <w:vAlign w:val="center"/>
          </w:tcPr>
          <w:p w14:paraId="00000017">
            <w:r>
              <w:rPr>
                <w:rFonts w:hint="eastAsia"/>
                <w:b w:val="1"/>
              </w:rPr>
              <w:t>14,398 笔</w:t>
            </w:r>
          </w:p>
        </w:tc>
        <w:tc>
          <w:tcPr>
            <w:tcW w:w="2768" w:type="dxa"/>
            <w:tcMar/>
            <w:vAlign w:val="center"/>
          </w:tcPr>
          <w:p w14:paraId="00000018">
            <w:r>
              <w:rPr>
                <w:rFonts w:ascii="Consolas" w:hAnsi="Consolas" w:eastAsia="Consolas" w:cs="Consolas"/>
              </w:rPr>
              <w:t>COUNT(DISTINCT order_id)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19">
            <w:r>
              <w:rPr>
                <w:rFonts w:hint="eastAsia"/>
              </w:rPr>
              <w:t>下单用户数</w:t>
            </w:r>
          </w:p>
        </w:tc>
        <w:tc>
          <w:tcPr>
            <w:tcW w:w="2768" w:type="dxa"/>
            <w:tcMar/>
            <w:vAlign w:val="center"/>
          </w:tcPr>
          <w:p w14:paraId="0000001A">
            <w:r>
              <w:rPr>
                <w:rFonts w:hint="eastAsia"/>
                <w:b w:val="1"/>
              </w:rPr>
              <w:t>1,000 人</w:t>
            </w:r>
          </w:p>
        </w:tc>
        <w:tc>
          <w:tcPr>
            <w:tcW w:w="2768" w:type="dxa"/>
            <w:tcMar/>
            <w:vAlign w:val="center"/>
          </w:tcPr>
          <w:p w14:paraId="0000001B">
            <w:r>
              <w:rPr>
                <w:rFonts w:ascii="Consolas" w:hAnsi="Consolas" w:eastAsia="Consolas" w:cs="Consolas"/>
              </w:rPr>
              <w:t>COUNT(DISTINCT user_id)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1C">
            <w:r>
              <w:rPr>
                <w:rFonts w:hint="eastAsia"/>
              </w:rPr>
              <w:t>客单价 AOV</w:t>
            </w:r>
          </w:p>
        </w:tc>
        <w:tc>
          <w:tcPr>
            <w:tcW w:w="2768" w:type="dxa"/>
            <w:tcMar/>
            <w:vAlign w:val="center"/>
          </w:tcPr>
          <w:p w14:paraId="0000001D">
            <w:r>
              <w:rPr>
                <w:rFonts w:hint="eastAsia"/>
                <w:b w:val="1"/>
              </w:rPr>
              <w:t>2,508.45 元</w:t>
            </w:r>
          </w:p>
        </w:tc>
        <w:tc>
          <w:tcPr>
            <w:tcW w:w="2768" w:type="dxa"/>
            <w:tcMar/>
            <w:vAlign w:val="center"/>
          </w:tcPr>
          <w:p w14:paraId="0000001E">
            <w:r>
              <w:rPr>
                <w:rFonts w:hint="eastAsia"/>
              </w:rPr>
              <w:t>GMV / 订单量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1F">
            <w:r>
              <w:rPr>
                <w:rFonts w:hint="eastAsia"/>
              </w:rPr>
              <w:t>人均消费 ARPU</w:t>
            </w:r>
          </w:p>
        </w:tc>
        <w:tc>
          <w:tcPr>
            <w:tcW w:w="2768" w:type="dxa"/>
            <w:tcMar/>
            <w:vAlign w:val="center"/>
          </w:tcPr>
          <w:p w14:paraId="00000020">
            <w:r>
              <w:rPr>
                <w:rFonts w:hint="eastAsia"/>
                <w:b w:val="1"/>
              </w:rPr>
              <w:t>36,116.69 元</w:t>
            </w:r>
          </w:p>
        </w:tc>
        <w:tc>
          <w:tcPr>
            <w:tcW w:w="2768" w:type="dxa"/>
            <w:tcMar/>
            <w:vAlign w:val="center"/>
          </w:tcPr>
          <w:p w14:paraId="00000021">
            <w:r>
              <w:rPr>
                <w:rFonts w:hint="eastAsia"/>
              </w:rPr>
              <w:t>GMV / 下单用户数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22">
            <w:r>
              <w:rPr>
                <w:rFonts w:hint="eastAsia"/>
              </w:rPr>
              <w:t>人均下单次数</w:t>
            </w:r>
          </w:p>
        </w:tc>
        <w:tc>
          <w:tcPr>
            <w:tcW w:w="2768" w:type="dxa"/>
            <w:tcMar/>
            <w:vAlign w:val="center"/>
          </w:tcPr>
          <w:p w14:paraId="00000023">
            <w:r>
              <w:rPr>
                <w:rFonts w:hint="eastAsia"/>
                <w:b w:val="1"/>
              </w:rPr>
              <w:t>14.4 次</w:t>
            </w:r>
          </w:p>
        </w:tc>
        <w:tc>
          <w:tcPr>
            <w:tcW w:w="2768" w:type="dxa"/>
            <w:tcMar/>
            <w:vAlign w:val="center"/>
          </w:tcPr>
          <w:p w14:paraId="00000024">
            <w:r>
              <w:rPr>
                <w:rFonts w:hint="eastAsia"/>
              </w:rPr>
              <w:t>订单量 / 下单用户数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25">
            <w:r>
              <w:rPr>
                <w:rFonts w:hint="eastAsia"/>
              </w:rPr>
              <w:t>优惠金额合计</w:t>
            </w:r>
          </w:p>
        </w:tc>
        <w:tc>
          <w:tcPr>
            <w:tcW w:w="2768" w:type="dxa"/>
            <w:tcMar/>
            <w:vAlign w:val="center"/>
          </w:tcPr>
          <w:p w14:paraId="00000026">
            <w:r>
              <w:rPr>
                <w:rFonts w:hint="eastAsia"/>
                <w:b w:val="1"/>
              </w:rPr>
              <w:t>4,817,062.10 元</w:t>
            </w:r>
          </w:p>
        </w:tc>
        <w:tc>
          <w:tcPr>
            <w:tcW w:w="2768" w:type="dxa"/>
            <w:tcMar/>
            <w:vAlign w:val="center"/>
          </w:tcPr>
          <w:p w14:paraId="00000027">
            <w:r>
              <w:rPr>
                <w:rFonts w:ascii="Consolas" w:hAnsi="Consolas" w:eastAsia="Consolas" w:cs="Consolas"/>
              </w:rPr>
              <w:t>SUM(discount_amount)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28">
            <w:r>
              <w:rPr>
                <w:rFonts w:hint="eastAsia"/>
              </w:rPr>
              <w:t>取消订单占比</w:t>
            </w:r>
          </w:p>
        </w:tc>
        <w:tc>
          <w:tcPr>
            <w:tcW w:w="2768" w:type="dxa"/>
            <w:tcMar/>
            <w:vAlign w:val="center"/>
          </w:tcPr>
          <w:p w14:paraId="00000029">
            <w:r>
              <w:rPr>
                <w:b w:val="1"/>
              </w:rPr>
              <w:t>14.05%</w:t>
            </w:r>
          </w:p>
        </w:tc>
        <w:tc>
          <w:tcPr>
            <w:tcW w:w="2768" w:type="dxa"/>
            <w:tcMar/>
            <w:vAlign w:val="center"/>
          </w:tcPr>
          <w:p w14:paraId="0000002A">
            <w:r>
              <w:rPr>
                <w:rFonts w:hint="eastAsia"/>
              </w:rPr>
              <w:t>取消订单 / 总订单</w:t>
            </w:r>
          </w:p>
        </w:tc>
      </w:tr>
    </w:tbl>
    <w:p w14:paraId="0000002B">
      <w:r>
        <w:rPr>
          <w:rFonts w:hint="eastAsia"/>
          <w:b w:val="1"/>
        </w:rPr>
        <w:t>解读</w:t>
      </w:r>
      <w:r>
        <w:rPr>
          <w:rFonts w:hint="eastAsia"/>
        </w:rPr>
        <w:t>：ARPU 3.6 万元、人均下单 14.4 次，说明这是一批高活跃度、高客单的存量用户，而非拉新驱动的盘子。取消率 14.05% 偏高（零售行业常见区间 5%~10%），是本周最值得关注的负向信号。</w:t>
      </w:r>
    </w:p>
    <w:p w14:paraId="0000002C">
      <w:pPr>
        <w:pBdr>
          <w:bottom w:val="thick" w:color="040102" w:sz="8"/>
        </w:pBdr>
      </w:pPr>
    </w:p>
    <w:p w14:paraId="0000002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三、订单状态结构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68" w:type="dxa"/>
            <w:tcMar/>
            <w:vAlign w:val="center"/>
          </w:tcPr>
          <w:p w14:paraId="000000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订单数</w:t>
            </w:r>
          </w:p>
        </w:tc>
        <w:tc>
          <w:tcPr>
            <w:tcW w:w="2768" w:type="dxa"/>
            <w:tcMar/>
            <w:vAlign w:val="center"/>
          </w:tcPr>
          <w:p w14:paraId="000000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占比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1"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  <w:tcMar/>
            <w:vAlign w:val="center"/>
          </w:tcPr>
          <w:p w14:paraId="00000032">
            <w:r>
              <w:t>5,248</w:t>
            </w:r>
          </w:p>
        </w:tc>
        <w:tc>
          <w:tcPr>
            <w:tcW w:w="2768" w:type="dxa"/>
            <w:tcMar/>
            <w:vAlign w:val="center"/>
          </w:tcPr>
          <w:p w14:paraId="00000033">
            <w:r>
              <w:t>36.45%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4">
            <w:r>
              <w:rPr>
                <w:rFonts w:hint="eastAsia"/>
              </w:rPr>
              <w:t>已支付（待履约）</w:t>
            </w:r>
          </w:p>
        </w:tc>
        <w:tc>
          <w:tcPr>
            <w:tcW w:w="2768" w:type="dxa"/>
            <w:tcMar/>
            <w:vAlign w:val="center"/>
          </w:tcPr>
          <w:p w14:paraId="00000035">
            <w:r>
              <w:t>4,183</w:t>
            </w:r>
          </w:p>
        </w:tc>
        <w:tc>
          <w:tcPr>
            <w:tcW w:w="2768" w:type="dxa"/>
            <w:tcMar/>
            <w:vAlign w:val="center"/>
          </w:tcPr>
          <w:p w14:paraId="00000036">
            <w:r>
              <w:t>29.05%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7">
            <w:r>
              <w:rPr>
                <w:rFonts w:hint="eastAsia"/>
              </w:rPr>
              <w:t>已取消</w:t>
            </w:r>
          </w:p>
        </w:tc>
        <w:tc>
          <w:tcPr>
            <w:tcW w:w="2768" w:type="dxa"/>
            <w:tcMar/>
            <w:vAlign w:val="center"/>
          </w:tcPr>
          <w:p w14:paraId="00000038">
            <w:r>
              <w:t>2,023</w:t>
            </w:r>
          </w:p>
        </w:tc>
        <w:tc>
          <w:tcPr>
            <w:tcW w:w="2768" w:type="dxa"/>
            <w:tcMar/>
            <w:vAlign w:val="center"/>
          </w:tcPr>
          <w:p w14:paraId="00000039">
            <w:r>
              <w:t>14.05%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A">
            <w:r>
              <w:rPr>
                <w:rFonts w:hint="eastAsia"/>
              </w:rPr>
              <w:t>待支付</w:t>
            </w:r>
          </w:p>
        </w:tc>
        <w:tc>
          <w:tcPr>
            <w:tcW w:w="2768" w:type="dxa"/>
            <w:tcMar/>
            <w:vAlign w:val="center"/>
          </w:tcPr>
          <w:p w14:paraId="0000003B">
            <w:r>
              <w:t>2,001</w:t>
            </w:r>
          </w:p>
        </w:tc>
        <w:tc>
          <w:tcPr>
            <w:tcW w:w="2768" w:type="dxa"/>
            <w:tcMar/>
            <w:vAlign w:val="center"/>
          </w:tcPr>
          <w:p w14:paraId="0000003C">
            <w:r>
              <w:t>13.90%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D">
            <w:r>
              <w:rPr>
                <w:rFonts w:hint="eastAsia"/>
              </w:rPr>
              <w:t>退款中</w:t>
            </w:r>
          </w:p>
        </w:tc>
        <w:tc>
          <w:tcPr>
            <w:tcW w:w="2768" w:type="dxa"/>
            <w:tcMar/>
            <w:vAlign w:val="center"/>
          </w:tcPr>
          <w:p w14:paraId="0000003E">
            <w:r>
              <w:t>943</w:t>
            </w:r>
          </w:p>
        </w:tc>
        <w:tc>
          <w:tcPr>
            <w:tcW w:w="2768" w:type="dxa"/>
            <w:tcMar/>
            <w:vAlign w:val="center"/>
          </w:tcPr>
          <w:p w14:paraId="0000003F">
            <w:r>
              <w:t>6.55%</w:t>
            </w:r>
          </w:p>
        </w:tc>
      </w:tr>
    </w:tbl>
    <w:p w14:paraId="00000040">
      <w:r>
        <w:rPr>
          <w:rFonts w:hint="eastAsia"/>
          <w:b w:val="1"/>
        </w:rPr>
        <w:t>关注点</w:t>
      </w:r>
      <w:r>
        <w:rPr>
          <w:rFonts w:hint="eastAsia"/>
        </w:rPr>
        <w:t>：已支付但未完成的有 4,183 笔（29.05%），加上退款中 943 笔，处于「交易中」状态的订单接近 36%。这部分订单的最终转化率直接决定实际收入，建议单独建立「履约漏斗」监控。</w:t>
      </w:r>
    </w:p>
    <w:p w14:paraId="00000041">
      <w:pPr>
        <w:pBdr>
          <w:bottom w:val="thick" w:color="040102" w:sz="8"/>
        </w:pBdr>
      </w:pPr>
    </w:p>
    <w:p w14:paraId="0000004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四、时间维度：月度趋势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月份</w:t>
            </w:r>
          </w:p>
        </w:tc>
        <w:tc>
          <w:tcPr>
            <w:tcW w:w="1661" w:type="dxa"/>
            <w:tcMar/>
            <w:vAlign w:val="center"/>
          </w:tcPr>
          <w:p w14:paraId="000000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订单量</w:t>
            </w:r>
          </w:p>
        </w:tc>
        <w:tc>
          <w:tcPr>
            <w:tcW w:w="1661" w:type="dxa"/>
            <w:tcMar/>
            <w:vAlign w:val="center"/>
          </w:tcPr>
          <w:p w14:paraId="000000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GMV（元）</w:t>
            </w:r>
          </w:p>
        </w:tc>
        <w:tc>
          <w:tcPr>
            <w:tcW w:w="1661" w:type="dxa"/>
            <w:tcMar/>
            <w:vAlign w:val="center"/>
          </w:tcPr>
          <w:p w14:paraId="000000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客单价</w:t>
            </w:r>
          </w:p>
        </w:tc>
        <w:tc>
          <w:tcPr>
            <w:tcW w:w="1661" w:type="dxa"/>
            <w:tcMar/>
            <w:vAlign w:val="center"/>
          </w:tcPr>
          <w:p w14:paraId="000000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环比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48">
            <w:r>
              <w:t>2024-01</w:t>
            </w:r>
          </w:p>
        </w:tc>
        <w:tc>
          <w:tcPr>
            <w:tcW w:w="1661" w:type="dxa"/>
            <w:tcMar/>
            <w:vAlign w:val="center"/>
          </w:tcPr>
          <w:p w14:paraId="00000049">
            <w:r>
              <w:t>1,228</w:t>
            </w:r>
          </w:p>
        </w:tc>
        <w:tc>
          <w:tcPr>
            <w:tcW w:w="1661" w:type="dxa"/>
            <w:tcMar/>
            <w:vAlign w:val="center"/>
          </w:tcPr>
          <w:p w14:paraId="0000004A">
            <w:r>
              <w:t>3,158,704.70</w:t>
            </w:r>
          </w:p>
        </w:tc>
        <w:tc>
          <w:tcPr>
            <w:tcW w:w="1661" w:type="dxa"/>
            <w:tcMar/>
            <w:vAlign w:val="center"/>
          </w:tcPr>
          <w:p w14:paraId="0000004B">
            <w:r>
              <w:t>2,572.24</w:t>
            </w:r>
          </w:p>
        </w:tc>
        <w:tc>
          <w:tcPr>
            <w:tcW w:w="1661" w:type="dxa"/>
            <w:tcMar/>
            <w:vAlign w:val="center"/>
          </w:tcPr>
          <w:p w14:paraId="0000004C">
            <w:r>
              <w:t>—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4D">
            <w:r>
              <w:t>2024-02</w:t>
            </w:r>
          </w:p>
        </w:tc>
        <w:tc>
          <w:tcPr>
            <w:tcW w:w="1661" w:type="dxa"/>
            <w:tcMar/>
            <w:vAlign w:val="center"/>
          </w:tcPr>
          <w:p w14:paraId="0000004E">
            <w:r>
              <w:t>1,143</w:t>
            </w:r>
          </w:p>
        </w:tc>
        <w:tc>
          <w:tcPr>
            <w:tcW w:w="1661" w:type="dxa"/>
            <w:tcMar/>
            <w:vAlign w:val="center"/>
          </w:tcPr>
          <w:p w14:paraId="0000004F">
            <w:r>
              <w:t>2,915,145.59</w:t>
            </w:r>
          </w:p>
        </w:tc>
        <w:tc>
          <w:tcPr>
            <w:tcW w:w="1661" w:type="dxa"/>
            <w:tcMar/>
            <w:vAlign w:val="center"/>
          </w:tcPr>
          <w:p w14:paraId="00000050">
            <w:r>
              <w:t>2,550.43</w:t>
            </w:r>
          </w:p>
        </w:tc>
        <w:tc>
          <w:tcPr>
            <w:tcW w:w="1661" w:type="dxa"/>
            <w:tcMar/>
            <w:vAlign w:val="center"/>
          </w:tcPr>
          <w:p w14:paraId="00000051">
            <w:r>
              <w:t>-7.71%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52">
            <w:r>
              <w:t>2024-03</w:t>
            </w:r>
          </w:p>
        </w:tc>
        <w:tc>
          <w:tcPr>
            <w:tcW w:w="1661" w:type="dxa"/>
            <w:tcMar/>
            <w:vAlign w:val="center"/>
          </w:tcPr>
          <w:p w14:paraId="00000053">
            <w:r>
              <w:t>1,236</w:t>
            </w:r>
          </w:p>
        </w:tc>
        <w:tc>
          <w:tcPr>
            <w:tcW w:w="1661" w:type="dxa"/>
            <w:tcMar/>
            <w:vAlign w:val="center"/>
          </w:tcPr>
          <w:p w14:paraId="00000054">
            <w:r>
              <w:t>3,087,726.84</w:t>
            </w:r>
          </w:p>
        </w:tc>
        <w:tc>
          <w:tcPr>
            <w:tcW w:w="1661" w:type="dxa"/>
            <w:tcMar/>
            <w:vAlign w:val="center"/>
          </w:tcPr>
          <w:p w14:paraId="00000055">
            <w:r>
              <w:t>2,498.16</w:t>
            </w:r>
          </w:p>
        </w:tc>
        <w:tc>
          <w:tcPr>
            <w:tcW w:w="1661" w:type="dxa"/>
            <w:tcMar/>
            <w:vAlign w:val="center"/>
          </w:tcPr>
          <w:p w14:paraId="00000056">
            <w:r>
              <w:t>+5.92%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57">
            <w:r>
              <w:t>2024-04</w:t>
            </w:r>
          </w:p>
        </w:tc>
        <w:tc>
          <w:tcPr>
            <w:tcW w:w="1661" w:type="dxa"/>
            <w:tcMar/>
            <w:vAlign w:val="center"/>
          </w:tcPr>
          <w:p w14:paraId="00000058">
            <w:r>
              <w:t>1,174</w:t>
            </w:r>
          </w:p>
        </w:tc>
        <w:tc>
          <w:tcPr>
            <w:tcW w:w="1661" w:type="dxa"/>
            <w:tcMar/>
            <w:vAlign w:val="center"/>
          </w:tcPr>
          <w:p w14:paraId="00000059">
            <w:r>
              <w:t>3,025,844.79</w:t>
            </w:r>
          </w:p>
        </w:tc>
        <w:tc>
          <w:tcPr>
            <w:tcW w:w="1661" w:type="dxa"/>
            <w:tcMar/>
            <w:vAlign w:val="center"/>
          </w:tcPr>
          <w:p w14:paraId="0000005A">
            <w:r>
              <w:t>2,577.38</w:t>
            </w:r>
          </w:p>
        </w:tc>
        <w:tc>
          <w:tcPr>
            <w:tcW w:w="1661" w:type="dxa"/>
            <w:tcMar/>
            <w:vAlign w:val="center"/>
          </w:tcPr>
          <w:p w14:paraId="0000005B">
            <w:r>
              <w:t>-2.00%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5C">
            <w:r>
              <w:t>2024-05</w:t>
            </w:r>
          </w:p>
        </w:tc>
        <w:tc>
          <w:tcPr>
            <w:tcW w:w="1661" w:type="dxa"/>
            <w:tcMar/>
            <w:vAlign w:val="center"/>
          </w:tcPr>
          <w:p w14:paraId="0000005D">
            <w:r>
              <w:t>1,249</w:t>
            </w:r>
          </w:p>
        </w:tc>
        <w:tc>
          <w:tcPr>
            <w:tcW w:w="1661" w:type="dxa"/>
            <w:tcMar/>
            <w:vAlign w:val="center"/>
          </w:tcPr>
          <w:p w14:paraId="0000005E">
            <w:r>
              <w:t>3,080,528.74</w:t>
            </w:r>
          </w:p>
        </w:tc>
        <w:tc>
          <w:tcPr>
            <w:tcW w:w="1661" w:type="dxa"/>
            <w:tcMar/>
            <w:vAlign w:val="center"/>
          </w:tcPr>
          <w:p w14:paraId="0000005F">
            <w:r>
              <w:t>2,466.40</w:t>
            </w:r>
          </w:p>
        </w:tc>
        <w:tc>
          <w:tcPr>
            <w:tcW w:w="1661" w:type="dxa"/>
            <w:tcMar/>
            <w:vAlign w:val="center"/>
          </w:tcPr>
          <w:p w14:paraId="00000060">
            <w:r>
              <w:t>+1.81%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61">
            <w:r>
              <w:t>2024-06</w:t>
            </w:r>
          </w:p>
        </w:tc>
        <w:tc>
          <w:tcPr>
            <w:tcW w:w="1661" w:type="dxa"/>
            <w:tcMar/>
            <w:vAlign w:val="center"/>
          </w:tcPr>
          <w:p w14:paraId="00000062">
            <w:r>
              <w:t>1,110</w:t>
            </w:r>
          </w:p>
        </w:tc>
        <w:tc>
          <w:tcPr>
            <w:tcW w:w="1661" w:type="dxa"/>
            <w:tcMar/>
            <w:vAlign w:val="center"/>
          </w:tcPr>
          <w:p w14:paraId="00000063">
            <w:r>
              <w:t>2,829,996.31</w:t>
            </w:r>
          </w:p>
        </w:tc>
        <w:tc>
          <w:tcPr>
            <w:tcW w:w="1661" w:type="dxa"/>
            <w:tcMar/>
            <w:vAlign w:val="center"/>
          </w:tcPr>
          <w:p w14:paraId="00000064">
            <w:r>
              <w:t>2,549.55</w:t>
            </w:r>
          </w:p>
        </w:tc>
        <w:tc>
          <w:tcPr>
            <w:tcW w:w="1661" w:type="dxa"/>
            <w:tcMar/>
            <w:vAlign w:val="center"/>
          </w:tcPr>
          <w:p w14:paraId="00000065">
            <w:r>
              <w:t>-8.13%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66">
            <w:r>
              <w:t>2024-07</w:t>
            </w:r>
          </w:p>
        </w:tc>
        <w:tc>
          <w:tcPr>
            <w:tcW w:w="1661" w:type="dxa"/>
            <w:tcMar/>
            <w:vAlign w:val="center"/>
          </w:tcPr>
          <w:p w14:paraId="00000067">
            <w:r>
              <w:t>1,200</w:t>
            </w:r>
          </w:p>
        </w:tc>
        <w:tc>
          <w:tcPr>
            <w:tcW w:w="1661" w:type="dxa"/>
            <w:tcMar/>
            <w:vAlign w:val="center"/>
          </w:tcPr>
          <w:p w14:paraId="00000068">
            <w:r>
              <w:t>2,979,236.80</w:t>
            </w:r>
          </w:p>
        </w:tc>
        <w:tc>
          <w:tcPr>
            <w:tcW w:w="1661" w:type="dxa"/>
            <w:tcMar/>
            <w:vAlign w:val="center"/>
          </w:tcPr>
          <w:p w14:paraId="00000069">
            <w:r>
              <w:t>2,482.70</w:t>
            </w:r>
          </w:p>
        </w:tc>
        <w:tc>
          <w:tcPr>
            <w:tcW w:w="1661" w:type="dxa"/>
            <w:tcMar/>
            <w:vAlign w:val="center"/>
          </w:tcPr>
          <w:p w14:paraId="0000006A">
            <w:r>
              <w:t>+5.27%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6B">
            <w:r>
              <w:t>2024-08</w:t>
            </w:r>
          </w:p>
        </w:tc>
        <w:tc>
          <w:tcPr>
            <w:tcW w:w="1661" w:type="dxa"/>
            <w:tcMar/>
            <w:vAlign w:val="center"/>
          </w:tcPr>
          <w:p w14:paraId="0000006C">
            <w:r>
              <w:t>1,223</w:t>
            </w:r>
          </w:p>
        </w:tc>
        <w:tc>
          <w:tcPr>
            <w:tcW w:w="1661" w:type="dxa"/>
            <w:tcMar/>
            <w:vAlign w:val="center"/>
          </w:tcPr>
          <w:p w14:paraId="0000006D">
            <w:r>
              <w:t>3,039,882.76</w:t>
            </w:r>
          </w:p>
        </w:tc>
        <w:tc>
          <w:tcPr>
            <w:tcW w:w="1661" w:type="dxa"/>
            <w:tcMar/>
            <w:vAlign w:val="center"/>
          </w:tcPr>
          <w:p w14:paraId="0000006E">
            <w:r>
              <w:t>2,485.60</w:t>
            </w:r>
          </w:p>
        </w:tc>
        <w:tc>
          <w:tcPr>
            <w:tcW w:w="1661" w:type="dxa"/>
            <w:tcMar/>
            <w:vAlign w:val="center"/>
          </w:tcPr>
          <w:p w14:paraId="0000006F">
            <w:r>
              <w:t>+2.04%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0">
            <w:r>
              <w:t>2024-09</w:t>
            </w:r>
          </w:p>
        </w:tc>
        <w:tc>
          <w:tcPr>
            <w:tcW w:w="1661" w:type="dxa"/>
            <w:tcMar/>
            <w:vAlign w:val="center"/>
          </w:tcPr>
          <w:p w14:paraId="00000071">
            <w:r>
              <w:t>1,173</w:t>
            </w:r>
          </w:p>
        </w:tc>
        <w:tc>
          <w:tcPr>
            <w:tcW w:w="1661" w:type="dxa"/>
            <w:tcMar/>
            <w:vAlign w:val="center"/>
          </w:tcPr>
          <w:p w14:paraId="00000072">
            <w:r>
              <w:t>2,929,450.71</w:t>
            </w:r>
          </w:p>
        </w:tc>
        <w:tc>
          <w:tcPr>
            <w:tcW w:w="1661" w:type="dxa"/>
            <w:tcMar/>
            <w:vAlign w:val="center"/>
          </w:tcPr>
          <w:p w14:paraId="00000073">
            <w:r>
              <w:t>2,497.40</w:t>
            </w:r>
          </w:p>
        </w:tc>
        <w:tc>
          <w:tcPr>
            <w:tcW w:w="1661" w:type="dxa"/>
            <w:tcMar/>
            <w:vAlign w:val="center"/>
          </w:tcPr>
          <w:p w14:paraId="00000074">
            <w:r>
              <w:t>-3.63%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5">
            <w:r>
              <w:t>2024-10</w:t>
            </w:r>
          </w:p>
        </w:tc>
        <w:tc>
          <w:tcPr>
            <w:tcW w:w="1661" w:type="dxa"/>
            <w:tcMar/>
            <w:vAlign w:val="center"/>
          </w:tcPr>
          <w:p w14:paraId="00000076">
            <w:r>
              <w:t>1,243</w:t>
            </w:r>
          </w:p>
        </w:tc>
        <w:tc>
          <w:tcPr>
            <w:tcW w:w="1661" w:type="dxa"/>
            <w:tcMar/>
            <w:vAlign w:val="center"/>
          </w:tcPr>
          <w:p w14:paraId="00000077">
            <w:r>
              <w:t>2,963,200.54</w:t>
            </w:r>
          </w:p>
        </w:tc>
        <w:tc>
          <w:tcPr>
            <w:tcW w:w="1661" w:type="dxa"/>
            <w:tcMar/>
            <w:vAlign w:val="center"/>
          </w:tcPr>
          <w:p w14:paraId="00000078">
            <w:r>
              <w:t>2,383.91</w:t>
            </w:r>
          </w:p>
        </w:tc>
        <w:tc>
          <w:tcPr>
            <w:tcW w:w="1661" w:type="dxa"/>
            <w:tcMar/>
            <w:vAlign w:val="center"/>
          </w:tcPr>
          <w:p w14:paraId="00000079">
            <w:r>
              <w:t>+1.15%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A">
            <w:r>
              <w:t>2024-11</w:t>
            </w:r>
          </w:p>
        </w:tc>
        <w:tc>
          <w:tcPr>
            <w:tcW w:w="1661" w:type="dxa"/>
            <w:tcMar/>
            <w:vAlign w:val="center"/>
          </w:tcPr>
          <w:p w14:paraId="0000007B">
            <w:r>
              <w:t>1,183</w:t>
            </w:r>
          </w:p>
        </w:tc>
        <w:tc>
          <w:tcPr>
            <w:tcW w:w="1661" w:type="dxa"/>
            <w:tcMar/>
            <w:vAlign w:val="center"/>
          </w:tcPr>
          <w:p w14:paraId="0000007C">
            <w:r>
              <w:t>2,995,222.54</w:t>
            </w:r>
          </w:p>
        </w:tc>
        <w:tc>
          <w:tcPr>
            <w:tcW w:w="1661" w:type="dxa"/>
            <w:tcMar/>
            <w:vAlign w:val="center"/>
          </w:tcPr>
          <w:p w14:paraId="0000007D">
            <w:r>
              <w:t>2,531.89</w:t>
            </w:r>
          </w:p>
        </w:tc>
        <w:tc>
          <w:tcPr>
            <w:tcW w:w="1661" w:type="dxa"/>
            <w:tcMar/>
            <w:vAlign w:val="center"/>
          </w:tcPr>
          <w:p w14:paraId="0000007E">
            <w:r>
              <w:t>+1.08%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7F">
            <w:r>
              <w:t>2024-12</w:t>
            </w:r>
          </w:p>
        </w:tc>
        <w:tc>
          <w:tcPr>
            <w:tcW w:w="1661" w:type="dxa"/>
            <w:tcMar/>
            <w:vAlign w:val="center"/>
          </w:tcPr>
          <w:p w14:paraId="00000080">
            <w:r>
              <w:t>1,236</w:t>
            </w:r>
          </w:p>
        </w:tc>
        <w:tc>
          <w:tcPr>
            <w:tcW w:w="1661" w:type="dxa"/>
            <w:tcMar/>
            <w:vAlign w:val="center"/>
          </w:tcPr>
          <w:p w14:paraId="00000081">
            <w:r>
              <w:t>3,111,746.74</w:t>
            </w:r>
          </w:p>
        </w:tc>
        <w:tc>
          <w:tcPr>
            <w:tcW w:w="1661" w:type="dxa"/>
            <w:tcMar/>
            <w:vAlign w:val="center"/>
          </w:tcPr>
          <w:p w14:paraId="00000082">
            <w:r>
              <w:t>2,517.59</w:t>
            </w:r>
          </w:p>
        </w:tc>
        <w:tc>
          <w:tcPr>
            <w:tcW w:w="1661" w:type="dxa"/>
            <w:tcMar/>
            <w:vAlign w:val="center"/>
          </w:tcPr>
          <w:p w14:paraId="00000083">
            <w:r>
              <w:t>+3.89%</w:t>
            </w:r>
          </w:p>
        </w:tc>
      </w:tr>
    </w:tbl>
    <w:p w14:paraId="00000084">
      <w:r>
        <w:rPr>
          <w:rFonts w:hint="eastAsia"/>
          <w:b w:val="1"/>
        </w:rPr>
        <w:t>发现</w:t>
      </w:r>
      <w:r>
        <w:rPr>
          <w:rFonts w:hint="eastAsia"/>
        </w:rPr>
        <w:t>：</w:t>
      </w:r>
    </w:p>
    <w:p w14:paraId="00000085">
      <w:pPr>
        <w:numPr>
          <w:ilvl w:val="0"/>
          <w:numId w:val="2"/>
        </w:numPr>
      </w:pPr>
      <w:r>
        <w:rPr>
          <w:rFonts w:hint="eastAsia"/>
        </w:rPr>
        <w:t>GMV 与订单量高度同步，说明增长/下滑主要来自「单量」而非「客单价」；</w:t>
      </w:r>
    </w:p>
    <w:p w14:paraId="00000086">
      <w:pPr>
        <w:numPr>
          <w:ilvl w:val="0"/>
          <w:numId w:val="2"/>
        </w:numPr>
      </w:pPr>
      <w:r>
        <w:rPr>
          <w:rFonts w:hint="eastAsia"/>
        </w:rPr>
        <w:t>客单价全年稳定在 2,384 ~ 2,577 元，波动不足 8%，说明商品结构没有发生实质变化；</w:t>
      </w:r>
    </w:p>
    <w:p w14:paraId="00000087">
      <w:pPr>
        <w:numPr>
          <w:ilvl w:val="0"/>
          <w:numId w:val="2"/>
        </w:numPr>
      </w:pPr>
      <w:r>
        <w:rPr>
          <w:rFonts w:hint="eastAsia"/>
        </w:rPr>
        <w:t>6 月是全年低点（环比 -8.13%），1 月与 3 月是高点，符合零售「春节前后消费集中」的季节性。</w:t>
      </w:r>
    </w:p>
    <w:p w14:paraId="00000088">
      <w:r>
        <w:rPr>
          <w:rFonts w:hint="eastAsia"/>
          <w:b w:val="1"/>
        </w:rPr>
        <w:t>建议</w:t>
      </w:r>
      <w:r>
        <w:rPr>
          <w:rFonts w:hint="eastAsia"/>
        </w:rPr>
        <w:t>：既然客单价已成稳态，提升 GMV 只有两条路 —— 提高单量（拉新/复购）或提高客单价（连带销售/满减门槛）。数据表明当前更现实的是前者。</w:t>
      </w:r>
    </w:p>
    <w:p w14:paraId="00000089">
      <w:pPr>
        <w:pBdr>
          <w:bottom w:val="thick" w:color="040102" w:sz="8"/>
        </w:pBdr>
      </w:pPr>
    </w:p>
    <w:p w14:paraId="0000008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五、商品结构：类目分布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Mar/>
            <w:vAlign w:val="center"/>
          </w:tcPr>
          <w:p w14:paraId="000000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类目</w:t>
            </w:r>
          </w:p>
        </w:tc>
        <w:tc>
          <w:tcPr>
            <w:tcW w:w="1384" w:type="dxa"/>
            <w:tcMar/>
            <w:vAlign w:val="center"/>
          </w:tcPr>
          <w:p w14:paraId="000000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订单数</w:t>
            </w:r>
          </w:p>
        </w:tc>
        <w:tc>
          <w:tcPr>
            <w:tcW w:w="1384" w:type="dxa"/>
            <w:tcMar/>
            <w:vAlign w:val="center"/>
          </w:tcPr>
          <w:p w14:paraId="000000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销售件数</w:t>
            </w:r>
          </w:p>
        </w:tc>
        <w:tc>
          <w:tcPr>
            <w:tcW w:w="1384" w:type="dxa"/>
            <w:tcMar/>
            <w:vAlign w:val="center"/>
          </w:tcPr>
          <w:p w14:paraId="0000008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GMV（元）</w:t>
            </w:r>
          </w:p>
        </w:tc>
        <w:tc>
          <w:tcPr>
            <w:tcW w:w="1384" w:type="dxa"/>
            <w:tcMar/>
            <w:vAlign w:val="center"/>
          </w:tcPr>
          <w:p w14:paraId="000000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占比</w:t>
            </w:r>
          </w:p>
        </w:tc>
        <w:tc>
          <w:tcPr>
            <w:tcW w:w="1384" w:type="dxa"/>
            <w:tcMar/>
            <w:vAlign w:val="center"/>
          </w:tcPr>
          <w:p w14:paraId="000000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件单价（元）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91">
            <w:r>
              <w:rPr>
                <w:rFonts w:hint="eastAsia"/>
              </w:rPr>
              <w:t>运动户外</w:t>
            </w:r>
          </w:p>
        </w:tc>
        <w:tc>
          <w:tcPr>
            <w:tcW w:w="1384" w:type="dxa"/>
            <w:tcMar/>
            <w:vAlign w:val="center"/>
          </w:tcPr>
          <w:p w14:paraId="00000092">
            <w:r>
              <w:t>4,469</w:t>
            </w:r>
          </w:p>
        </w:tc>
        <w:tc>
          <w:tcPr>
            <w:tcW w:w="1384" w:type="dxa"/>
            <w:tcMar/>
            <w:vAlign w:val="center"/>
          </w:tcPr>
          <w:p w14:paraId="00000093">
            <w:r>
              <w:t>20,911</w:t>
            </w:r>
          </w:p>
        </w:tc>
        <w:tc>
          <w:tcPr>
            <w:tcW w:w="1384" w:type="dxa"/>
            <w:tcMar/>
            <w:vAlign w:val="center"/>
          </w:tcPr>
          <w:p w14:paraId="00000094">
            <w:r>
              <w:t>5,347,686.83</w:t>
            </w:r>
          </w:p>
        </w:tc>
        <w:tc>
          <w:tcPr>
            <w:tcW w:w="1384" w:type="dxa"/>
            <w:tcMar/>
            <w:vAlign w:val="center"/>
          </w:tcPr>
          <w:p w14:paraId="00000095">
            <w:r>
              <w:t>14.95%</w:t>
            </w:r>
          </w:p>
        </w:tc>
        <w:tc>
          <w:tcPr>
            <w:tcW w:w="1384" w:type="dxa"/>
            <w:tcMar/>
            <w:vAlign w:val="center"/>
          </w:tcPr>
          <w:p w14:paraId="00000096">
            <w:r>
              <w:t>255.74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97">
            <w:r>
              <w:rPr>
                <w:rFonts w:hint="eastAsia"/>
              </w:rPr>
              <w:t>数码家电</w:t>
            </w:r>
          </w:p>
        </w:tc>
        <w:tc>
          <w:tcPr>
            <w:tcW w:w="1384" w:type="dxa"/>
            <w:tcMar/>
            <w:vAlign w:val="center"/>
          </w:tcPr>
          <w:p w14:paraId="00000098">
            <w:r>
              <w:t>4,144</w:t>
            </w:r>
          </w:p>
        </w:tc>
        <w:tc>
          <w:tcPr>
            <w:tcW w:w="1384" w:type="dxa"/>
            <w:tcMar/>
            <w:vAlign w:val="center"/>
          </w:tcPr>
          <w:p w14:paraId="00000099">
            <w:r>
              <w:t>18,434</w:t>
            </w:r>
          </w:p>
        </w:tc>
        <w:tc>
          <w:tcPr>
            <w:tcW w:w="1384" w:type="dxa"/>
            <w:tcMar/>
            <w:vAlign w:val="center"/>
          </w:tcPr>
          <w:p w14:paraId="0000009A">
            <w:r>
              <w:t>4,881,250.07</w:t>
            </w:r>
          </w:p>
        </w:tc>
        <w:tc>
          <w:tcPr>
            <w:tcW w:w="1384" w:type="dxa"/>
            <w:tcMar/>
            <w:vAlign w:val="center"/>
          </w:tcPr>
          <w:p w14:paraId="0000009B">
            <w:r>
              <w:t>13.65%</w:t>
            </w:r>
          </w:p>
        </w:tc>
        <w:tc>
          <w:tcPr>
            <w:tcW w:w="1384" w:type="dxa"/>
            <w:tcMar/>
            <w:vAlign w:val="center"/>
          </w:tcPr>
          <w:p w14:paraId="0000009C">
            <w:r>
              <w:t>264.80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9D">
            <w:r>
              <w:rPr>
                <w:rFonts w:hint="eastAsia"/>
              </w:rPr>
              <w:t>服饰鞋包</w:t>
            </w:r>
          </w:p>
        </w:tc>
        <w:tc>
          <w:tcPr>
            <w:tcW w:w="1384" w:type="dxa"/>
            <w:tcMar/>
            <w:vAlign w:val="center"/>
          </w:tcPr>
          <w:p w14:paraId="0000009E">
            <w:r>
              <w:t>3,875</w:t>
            </w:r>
          </w:p>
        </w:tc>
        <w:tc>
          <w:tcPr>
            <w:tcW w:w="1384" w:type="dxa"/>
            <w:tcMar/>
            <w:vAlign w:val="center"/>
          </w:tcPr>
          <w:p w14:paraId="0000009F">
            <w:r>
              <w:t>17,501</w:t>
            </w:r>
          </w:p>
        </w:tc>
        <w:tc>
          <w:tcPr>
            <w:tcW w:w="1384" w:type="dxa"/>
            <w:tcMar/>
            <w:vAlign w:val="center"/>
          </w:tcPr>
          <w:p w14:paraId="000000A0">
            <w:r>
              <w:t>4,517,647.00</w:t>
            </w:r>
          </w:p>
        </w:tc>
        <w:tc>
          <w:tcPr>
            <w:tcW w:w="1384" w:type="dxa"/>
            <w:tcMar/>
            <w:vAlign w:val="center"/>
          </w:tcPr>
          <w:p w14:paraId="000000A1">
            <w:r>
              <w:t>12.63%</w:t>
            </w:r>
          </w:p>
        </w:tc>
        <w:tc>
          <w:tcPr>
            <w:tcW w:w="1384" w:type="dxa"/>
            <w:tcMar/>
            <w:vAlign w:val="center"/>
          </w:tcPr>
          <w:p w14:paraId="000000A2">
            <w:r>
              <w:t>258.14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A3">
            <w:r>
              <w:rPr>
                <w:rFonts w:hint="eastAsia"/>
              </w:rPr>
              <w:t>图书文娱</w:t>
            </w:r>
          </w:p>
        </w:tc>
        <w:tc>
          <w:tcPr>
            <w:tcW w:w="1384" w:type="dxa"/>
            <w:tcMar/>
            <w:vAlign w:val="center"/>
          </w:tcPr>
          <w:p w14:paraId="000000A4">
            <w:r>
              <w:t>3,837</w:t>
            </w:r>
          </w:p>
        </w:tc>
        <w:tc>
          <w:tcPr>
            <w:tcW w:w="1384" w:type="dxa"/>
            <w:tcMar/>
            <w:vAlign w:val="center"/>
          </w:tcPr>
          <w:p w14:paraId="000000A5">
            <w:r>
              <w:t>16,605</w:t>
            </w:r>
          </w:p>
        </w:tc>
        <w:tc>
          <w:tcPr>
            <w:tcW w:w="1384" w:type="dxa"/>
            <w:tcMar/>
            <w:vAlign w:val="center"/>
          </w:tcPr>
          <w:p w14:paraId="000000A6">
            <w:r>
              <w:t>4,488,221.06</w:t>
            </w:r>
          </w:p>
        </w:tc>
        <w:tc>
          <w:tcPr>
            <w:tcW w:w="1384" w:type="dxa"/>
            <w:tcMar/>
            <w:vAlign w:val="center"/>
          </w:tcPr>
          <w:p w14:paraId="000000A7">
            <w:r>
              <w:t>12.55%</w:t>
            </w:r>
          </w:p>
        </w:tc>
        <w:tc>
          <w:tcPr>
            <w:tcW w:w="1384" w:type="dxa"/>
            <w:tcMar/>
            <w:vAlign w:val="center"/>
          </w:tcPr>
          <w:p w14:paraId="000000A8">
            <w:r>
              <w:t>270.29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A9">
            <w:r>
              <w:rPr>
                <w:rFonts w:hint="eastAsia"/>
              </w:rPr>
              <w:t>食品生鲜</w:t>
            </w:r>
          </w:p>
        </w:tc>
        <w:tc>
          <w:tcPr>
            <w:tcW w:w="1384" w:type="dxa"/>
            <w:tcMar/>
            <w:vAlign w:val="center"/>
          </w:tcPr>
          <w:p w14:paraId="000000AA">
            <w:r>
              <w:t>3,817</w:t>
            </w:r>
          </w:p>
        </w:tc>
        <w:tc>
          <w:tcPr>
            <w:tcW w:w="1384" w:type="dxa"/>
            <w:tcMar/>
            <w:vAlign w:val="center"/>
          </w:tcPr>
          <w:p w14:paraId="000000AB">
            <w:r>
              <w:t>17,147</w:t>
            </w:r>
          </w:p>
        </w:tc>
        <w:tc>
          <w:tcPr>
            <w:tcW w:w="1384" w:type="dxa"/>
            <w:tcMar/>
            <w:vAlign w:val="center"/>
          </w:tcPr>
          <w:p w14:paraId="000000AC">
            <w:r>
              <w:t>4,404,684.77</w:t>
            </w:r>
          </w:p>
        </w:tc>
        <w:tc>
          <w:tcPr>
            <w:tcW w:w="1384" w:type="dxa"/>
            <w:tcMar/>
            <w:vAlign w:val="center"/>
          </w:tcPr>
          <w:p w14:paraId="000000AD">
            <w:r>
              <w:t>12.31%</w:t>
            </w:r>
          </w:p>
        </w:tc>
        <w:tc>
          <w:tcPr>
            <w:tcW w:w="1384" w:type="dxa"/>
            <w:tcMar/>
            <w:vAlign w:val="center"/>
          </w:tcPr>
          <w:p w14:paraId="000000AE">
            <w:r>
              <w:t>256.88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AF">
            <w:r>
              <w:rPr>
                <w:rFonts w:hint="eastAsia"/>
              </w:rPr>
              <w:t>家居生活</w:t>
            </w:r>
          </w:p>
        </w:tc>
        <w:tc>
          <w:tcPr>
            <w:tcW w:w="1384" w:type="dxa"/>
            <w:tcMar/>
            <w:vAlign w:val="center"/>
          </w:tcPr>
          <w:p w14:paraId="000000B0">
            <w:r>
              <w:t>3,499</w:t>
            </w:r>
          </w:p>
        </w:tc>
        <w:tc>
          <w:tcPr>
            <w:tcW w:w="1384" w:type="dxa"/>
            <w:tcMar/>
            <w:vAlign w:val="center"/>
          </w:tcPr>
          <w:p w14:paraId="000000B1">
            <w:r>
              <w:t>16,184</w:t>
            </w:r>
          </w:p>
        </w:tc>
        <w:tc>
          <w:tcPr>
            <w:tcW w:w="1384" w:type="dxa"/>
            <w:tcMar/>
            <w:vAlign w:val="center"/>
          </w:tcPr>
          <w:p w14:paraId="000000B2">
            <w:r>
              <w:t>4,155,265.84</w:t>
            </w:r>
          </w:p>
        </w:tc>
        <w:tc>
          <w:tcPr>
            <w:tcW w:w="1384" w:type="dxa"/>
            <w:tcMar/>
            <w:vAlign w:val="center"/>
          </w:tcPr>
          <w:p w14:paraId="000000B3">
            <w:r>
              <w:t>11.62%</w:t>
            </w:r>
          </w:p>
        </w:tc>
        <w:tc>
          <w:tcPr>
            <w:tcW w:w="1384" w:type="dxa"/>
            <w:tcMar/>
            <w:vAlign w:val="center"/>
          </w:tcPr>
          <w:p w14:paraId="000000B4">
            <w:r>
              <w:t>256.75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B5">
            <w:r>
              <w:rPr>
                <w:rFonts w:hint="eastAsia"/>
              </w:rPr>
              <w:t>美妆个护</w:t>
            </w:r>
          </w:p>
        </w:tc>
        <w:tc>
          <w:tcPr>
            <w:tcW w:w="1384" w:type="dxa"/>
            <w:tcMar/>
            <w:vAlign w:val="center"/>
          </w:tcPr>
          <w:p w14:paraId="000000B6">
            <w:r>
              <w:t>3,506</w:t>
            </w:r>
          </w:p>
        </w:tc>
        <w:tc>
          <w:tcPr>
            <w:tcW w:w="1384" w:type="dxa"/>
            <w:tcMar/>
            <w:vAlign w:val="center"/>
          </w:tcPr>
          <w:p w14:paraId="000000B7">
            <w:r>
              <w:t>15,334</w:t>
            </w:r>
          </w:p>
        </w:tc>
        <w:tc>
          <w:tcPr>
            <w:tcW w:w="1384" w:type="dxa"/>
            <w:tcMar/>
            <w:vAlign w:val="center"/>
          </w:tcPr>
          <w:p w14:paraId="000000B8">
            <w:r>
              <w:t>4,031,461.55</w:t>
            </w:r>
          </w:p>
        </w:tc>
        <w:tc>
          <w:tcPr>
            <w:tcW w:w="1384" w:type="dxa"/>
            <w:tcMar/>
            <w:vAlign w:val="center"/>
          </w:tcPr>
          <w:p w14:paraId="000000B9">
            <w:r>
              <w:t>11.27%</w:t>
            </w:r>
          </w:p>
        </w:tc>
        <w:tc>
          <w:tcPr>
            <w:tcW w:w="1384" w:type="dxa"/>
            <w:tcMar/>
            <w:vAlign w:val="center"/>
          </w:tcPr>
          <w:p w14:paraId="000000BA">
            <w:r>
              <w:t>262.91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BB">
            <w:r>
              <w:rPr>
                <w:rFonts w:hint="eastAsia"/>
              </w:rPr>
              <w:t>母婴玩具</w:t>
            </w:r>
          </w:p>
        </w:tc>
        <w:tc>
          <w:tcPr>
            <w:tcW w:w="1384" w:type="dxa"/>
            <w:tcMar/>
            <w:vAlign w:val="center"/>
          </w:tcPr>
          <w:p w14:paraId="000000BC">
            <w:r>
              <w:t>3,433</w:t>
            </w:r>
          </w:p>
        </w:tc>
        <w:tc>
          <w:tcPr>
            <w:tcW w:w="1384" w:type="dxa"/>
            <w:tcMar/>
            <w:vAlign w:val="center"/>
          </w:tcPr>
          <w:p w14:paraId="000000BD">
            <w:r>
              <w:t>14,736</w:t>
            </w:r>
          </w:p>
        </w:tc>
        <w:tc>
          <w:tcPr>
            <w:tcW w:w="1384" w:type="dxa"/>
            <w:tcMar/>
            <w:vAlign w:val="center"/>
          </w:tcPr>
          <w:p w14:paraId="000000BE">
            <w:r>
              <w:t>3,940,860.51</w:t>
            </w:r>
          </w:p>
        </w:tc>
        <w:tc>
          <w:tcPr>
            <w:tcW w:w="1384" w:type="dxa"/>
            <w:tcMar/>
            <w:vAlign w:val="center"/>
          </w:tcPr>
          <w:p w14:paraId="000000BF">
            <w:r>
              <w:t>11.02%</w:t>
            </w:r>
          </w:p>
        </w:tc>
        <w:tc>
          <w:tcPr>
            <w:tcW w:w="1384" w:type="dxa"/>
            <w:tcMar/>
            <w:vAlign w:val="center"/>
          </w:tcPr>
          <w:p w14:paraId="000000C0">
            <w:r>
              <w:t>267.43</w:t>
            </w:r>
          </w:p>
        </w:tc>
      </w:tr>
    </w:tbl>
    <w:p w14:paraId="000000C1">
      <w:r>
        <w:rPr>
          <w:rFonts w:hint="eastAsia"/>
          <w:b w:val="1"/>
        </w:rPr>
        <w:t>发现</w:t>
      </w:r>
      <w:r>
        <w:rPr>
          <w:rFonts w:hint="eastAsia"/>
        </w:rPr>
        <w:t>：</w:t>
      </w:r>
    </w:p>
    <w:p w14:paraId="000000C2">
      <w:pPr>
        <w:numPr>
          <w:ilvl w:val="0"/>
          <w:numId w:val="2"/>
        </w:numPr>
      </w:pPr>
      <w:r>
        <w:rPr>
          <w:rFonts w:hint="eastAsia"/>
        </w:rPr>
        <w:t>8 个类目 GMV 占比在 11.02% ~ 14.95% 之间，最大与最小仅差 3.9 个百分点，商品结构</w:t>
      </w:r>
      <w:r>
        <w:rPr>
          <w:rFonts w:hint="eastAsia"/>
          <w:b w:val="1"/>
        </w:rPr>
        <w:t>极度均衡</w:t>
      </w:r>
      <w:r>
        <w:rPr>
          <w:rFonts w:hint="eastAsia"/>
        </w:rPr>
        <w:t>；</w:t>
      </w:r>
    </w:p>
    <w:p w14:paraId="000000C3">
      <w:pPr>
        <w:numPr>
          <w:ilvl w:val="0"/>
          <w:numId w:val="2"/>
        </w:numPr>
      </w:pPr>
      <w:r>
        <w:rPr>
          <w:rFonts w:hint="eastAsia"/>
        </w:rPr>
        <w:t>件单价全部集中在 255 ~ 270 元区间，说明定价带高度统一（典型的「中端主流价格带」策略）。</w:t>
      </w:r>
    </w:p>
    <w:p w14:paraId="000000C4">
      <w:r>
        <w:rPr>
          <w:rFonts w:hint="eastAsia"/>
          <w:b w:val="1"/>
        </w:rPr>
        <w:t>说明（重要）</w:t>
      </w:r>
      <w:r>
        <w:rPr>
          <w:rFonts w:hint="eastAsia"/>
        </w:rPr>
        <w:t xml:space="preserve">：类目 GMV 采用「按订单金额分摊」口径 —— 明细表的 </w:t>
      </w:r>
      <w:r>
        <w:rPr>
          <w:rFonts w:ascii="Consolas" w:hAnsi="Consolas" w:eastAsia="Consolas" w:cs="Consolas"/>
        </w:rPr>
        <w:t>unit_price</w:t>
      </w:r>
      <w:r>
        <w:rPr>
          <w:rFonts w:hint="eastAsia"/>
        </w:rPr>
        <w:t xml:space="preserve"> 是吊牌价，直接 </w:t>
      </w:r>
      <w:r>
        <w:rPr>
          <w:rFonts w:hint="eastAsia" w:ascii="Consolas" w:hAnsi="Consolas" w:eastAsia="Consolas" w:cs="Consolas"/>
        </w:rPr>
        <w:t>数量 × 单价</w:t>
      </w:r>
      <w:r>
        <w:rPr>
          <w:rFonts w:hint="eastAsia"/>
        </w:rPr>
        <w:t xml:space="preserve"> 汇总会比订单实付金额高一个量级，无法与总账对齐。因此按每个订单内各明细的金额占比，把订单 </w:t>
      </w:r>
      <w:r>
        <w:rPr>
          <w:rFonts w:ascii="Consolas" w:hAnsi="Consolas" w:eastAsia="Consolas" w:cs="Consolas"/>
        </w:rPr>
        <w:t>pay_amount</w:t>
      </w:r>
      <w:r>
        <w:rPr>
          <w:rFonts w:hint="eastAsia"/>
        </w:rPr>
        <w:t xml:space="preserve"> 分摊到类目。分摊后 8 个类目合计 35,767,077.63 元，对应 14,259 笔有明细的订单（覆盖率 99.03%），剩余 139 笔无明细订单未参与分摊，详见《数据质量清洗报告》5.2 节。</w:t>
      </w:r>
    </w:p>
    <w:p w14:paraId="000000C5">
      <w:pPr>
        <w:pBdr>
          <w:bottom w:val="thick" w:color="040102" w:sz="8"/>
        </w:pBdr>
      </w:pPr>
    </w:p>
    <w:p w14:paraId="000000C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六、渠道分析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渠道</w:t>
            </w:r>
          </w:p>
        </w:tc>
        <w:tc>
          <w:tcPr>
            <w:tcW w:w="1661" w:type="dxa"/>
            <w:tcMar/>
            <w:vAlign w:val="center"/>
          </w:tcPr>
          <w:p w14:paraId="000000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订单数</w:t>
            </w:r>
          </w:p>
        </w:tc>
        <w:tc>
          <w:tcPr>
            <w:tcW w:w="1661" w:type="dxa"/>
            <w:tcMar/>
            <w:vAlign w:val="center"/>
          </w:tcPr>
          <w:p w14:paraId="000000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GMV（元）</w:t>
            </w:r>
          </w:p>
        </w:tc>
        <w:tc>
          <w:tcPr>
            <w:tcW w:w="1661" w:type="dxa"/>
            <w:tcMar/>
            <w:vAlign w:val="center"/>
          </w:tcPr>
          <w:p w14:paraId="000000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客单价（元）</w:t>
            </w:r>
          </w:p>
        </w:tc>
        <w:tc>
          <w:tcPr>
            <w:tcW w:w="1661" w:type="dxa"/>
            <w:tcMar/>
            <w:vAlign w:val="center"/>
          </w:tcPr>
          <w:p w14:paraId="000000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 占比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CC">
            <w:r>
              <w:t>APP</w:t>
            </w:r>
          </w:p>
        </w:tc>
        <w:tc>
          <w:tcPr>
            <w:tcW w:w="1661" w:type="dxa"/>
            <w:tcMar/>
            <w:vAlign w:val="center"/>
          </w:tcPr>
          <w:p w14:paraId="000000CD">
            <w:r>
              <w:t>3,704</w:t>
            </w:r>
          </w:p>
        </w:tc>
        <w:tc>
          <w:tcPr>
            <w:tcW w:w="1661" w:type="dxa"/>
            <w:tcMar/>
            <w:vAlign w:val="center"/>
          </w:tcPr>
          <w:p w14:paraId="000000CE">
            <w:r>
              <w:t>9,195,081.93</w:t>
            </w:r>
          </w:p>
        </w:tc>
        <w:tc>
          <w:tcPr>
            <w:tcW w:w="1661" w:type="dxa"/>
            <w:tcMar/>
            <w:vAlign w:val="center"/>
          </w:tcPr>
          <w:p w14:paraId="000000CF">
            <w:r>
              <w:t>2,482.47</w:t>
            </w:r>
          </w:p>
        </w:tc>
        <w:tc>
          <w:tcPr>
            <w:tcW w:w="1661" w:type="dxa"/>
            <w:tcMar/>
            <w:vAlign w:val="center"/>
          </w:tcPr>
          <w:p w14:paraId="000000D0">
            <w:r>
              <w:t>25.46%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D1">
            <w:r>
              <w:rPr>
                <w:rFonts w:hint="eastAsia"/>
              </w:rPr>
              <w:t>PC官网</w:t>
            </w:r>
          </w:p>
        </w:tc>
        <w:tc>
          <w:tcPr>
            <w:tcW w:w="1661" w:type="dxa"/>
            <w:tcMar/>
            <w:vAlign w:val="center"/>
          </w:tcPr>
          <w:p w14:paraId="000000D2">
            <w:r>
              <w:t>3,569</w:t>
            </w:r>
          </w:p>
        </w:tc>
        <w:tc>
          <w:tcPr>
            <w:tcW w:w="1661" w:type="dxa"/>
            <w:tcMar/>
            <w:vAlign w:val="center"/>
          </w:tcPr>
          <w:p w14:paraId="000000D3">
            <w:r>
              <w:t>9,024,568.52</w:t>
            </w:r>
          </w:p>
        </w:tc>
        <w:tc>
          <w:tcPr>
            <w:tcW w:w="1661" w:type="dxa"/>
            <w:tcMar/>
            <w:vAlign w:val="center"/>
          </w:tcPr>
          <w:p w14:paraId="000000D4">
            <w:r>
              <w:t>2,528.60</w:t>
            </w:r>
          </w:p>
        </w:tc>
        <w:tc>
          <w:tcPr>
            <w:tcW w:w="1661" w:type="dxa"/>
            <w:tcMar/>
            <w:vAlign w:val="center"/>
          </w:tcPr>
          <w:p w14:paraId="000000D5">
            <w:r>
              <w:t>24.99%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D6">
            <w:r>
              <w:rPr>
                <w:rFonts w:hint="eastAsia"/>
              </w:rPr>
              <w:t>门店</w:t>
            </w:r>
          </w:p>
        </w:tc>
        <w:tc>
          <w:tcPr>
            <w:tcW w:w="1661" w:type="dxa"/>
            <w:tcMar/>
            <w:vAlign w:val="center"/>
          </w:tcPr>
          <w:p w14:paraId="000000D7">
            <w:r>
              <w:t>3,573</w:t>
            </w:r>
          </w:p>
        </w:tc>
        <w:tc>
          <w:tcPr>
            <w:tcW w:w="1661" w:type="dxa"/>
            <w:tcMar/>
            <w:vAlign w:val="center"/>
          </w:tcPr>
          <w:p w14:paraId="000000D8">
            <w:r>
              <w:t>9,002,787.05</w:t>
            </w:r>
          </w:p>
        </w:tc>
        <w:tc>
          <w:tcPr>
            <w:tcW w:w="1661" w:type="dxa"/>
            <w:tcMar/>
            <w:vAlign w:val="center"/>
          </w:tcPr>
          <w:p w14:paraId="000000D9">
            <w:r>
              <w:t>2,519.67</w:t>
            </w:r>
          </w:p>
        </w:tc>
        <w:tc>
          <w:tcPr>
            <w:tcW w:w="1661" w:type="dxa"/>
            <w:tcMar/>
            <w:vAlign w:val="center"/>
          </w:tcPr>
          <w:p w14:paraId="000000DA">
            <w:r>
              <w:t>24.93%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DB">
            <w:r>
              <w:rPr>
                <w:rFonts w:hint="eastAsia"/>
              </w:rPr>
              <w:t>小程序</w:t>
            </w:r>
          </w:p>
        </w:tc>
        <w:tc>
          <w:tcPr>
            <w:tcW w:w="1661" w:type="dxa"/>
            <w:tcMar/>
            <w:vAlign w:val="center"/>
          </w:tcPr>
          <w:p w14:paraId="000000DC">
            <w:r>
              <w:t>3,552</w:t>
            </w:r>
          </w:p>
        </w:tc>
        <w:tc>
          <w:tcPr>
            <w:tcW w:w="1661" w:type="dxa"/>
            <w:tcMar/>
            <w:vAlign w:val="center"/>
          </w:tcPr>
          <w:p w14:paraId="000000DD">
            <w:r>
              <w:t>8,894,249.56</w:t>
            </w:r>
          </w:p>
        </w:tc>
        <w:tc>
          <w:tcPr>
            <w:tcW w:w="1661" w:type="dxa"/>
            <w:tcMar/>
            <w:vAlign w:val="center"/>
          </w:tcPr>
          <w:p w14:paraId="000000DE">
            <w:r>
              <w:t>2,504.01</w:t>
            </w:r>
          </w:p>
        </w:tc>
        <w:tc>
          <w:tcPr>
            <w:tcW w:w="1661" w:type="dxa"/>
            <w:tcMar/>
            <w:vAlign w:val="center"/>
          </w:tcPr>
          <w:p w14:paraId="000000DF">
            <w:r>
              <w:t>24.63%</w:t>
            </w:r>
          </w:p>
        </w:tc>
      </w:tr>
    </w:tbl>
    <w:p w14:paraId="000000E0">
      <w:r>
        <w:rPr>
          <w:rFonts w:hint="eastAsia"/>
          <w:b w:val="1"/>
        </w:rPr>
        <w:t>发现</w:t>
      </w:r>
      <w:r>
        <w:rPr>
          <w:rFonts w:hint="eastAsia"/>
        </w:rPr>
        <w:t>：四渠道订单量、GMV、客单价几乎完全均等（占比差仅 0.83 个百分点，客单价差 46 元）。</w:t>
      </w:r>
    </w:p>
    <w:p w14:paraId="000000E1">
      <w:r>
        <w:rPr>
          <w:rFonts w:hint="eastAsia"/>
          <w:b w:val="1"/>
        </w:rPr>
        <w:t>这条结论要谨慎使用</w:t>
      </w:r>
      <w:r>
        <w:rPr>
          <w:rFonts w:hint="eastAsia"/>
        </w:rPr>
        <w:t>：如此精确的均分在真实业务中几乎不可能出现，更可能是数据生成时按渠道均匀分配所致。</w:t>
      </w:r>
      <w:r>
        <w:rPr>
          <w:rFonts w:hint="eastAsia"/>
          <w:b w:val="1"/>
        </w:rPr>
        <w:t>分析方法本身是成立的</w:t>
      </w:r>
      <w:r>
        <w:rPr>
          <w:rFonts w:hint="eastAsia"/>
        </w:rPr>
        <w:t>（维度关联、占比计算都正确），但数据特征不代表真实业务规律。若要用这份结论指导决策，需要先与业务方确认真实渠道分布。</w:t>
      </w:r>
    </w:p>
    <w:p w14:paraId="000000E2">
      <w:pPr>
        <w:pBdr>
          <w:bottom w:val="thick" w:color="040102" w:sz="8"/>
        </w:pBdr>
      </w:pPr>
    </w:p>
    <w:p w14:paraId="000000E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七、区域与门店</w:t>
      </w:r>
    </w:p>
    <w:p w14:paraId="000000E4">
      <w:r>
        <w:rPr>
          <w:rFonts w:hint="eastAsia"/>
          <w:b w:val="1"/>
        </w:rPr>
        <w:t>省份 Top10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Mar/>
            <w:vAlign w:val="center"/>
          </w:tcPr>
          <w:p w14:paraId="000000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排名</w:t>
            </w:r>
          </w:p>
        </w:tc>
        <w:tc>
          <w:tcPr>
            <w:tcW w:w="1384" w:type="dxa"/>
            <w:tcMar/>
            <w:vAlign w:val="center"/>
          </w:tcPr>
          <w:p w14:paraId="000000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省份</w:t>
            </w:r>
          </w:p>
        </w:tc>
        <w:tc>
          <w:tcPr>
            <w:tcW w:w="1384" w:type="dxa"/>
            <w:tcMar/>
            <w:vAlign w:val="center"/>
          </w:tcPr>
          <w:p w14:paraId="000000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订单数</w:t>
            </w:r>
          </w:p>
        </w:tc>
        <w:tc>
          <w:tcPr>
            <w:tcW w:w="1384" w:type="dxa"/>
            <w:tcMar/>
            <w:vAlign w:val="center"/>
          </w:tcPr>
          <w:p w14:paraId="000000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用户数</w:t>
            </w:r>
          </w:p>
        </w:tc>
        <w:tc>
          <w:tcPr>
            <w:tcW w:w="1384" w:type="dxa"/>
            <w:tcMar/>
            <w:vAlign w:val="center"/>
          </w:tcPr>
          <w:p w14:paraId="000000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GMV（元）</w:t>
            </w:r>
          </w:p>
        </w:tc>
        <w:tc>
          <w:tcPr>
            <w:tcW w:w="1384" w:type="dxa"/>
            <w:tcMar/>
            <w:vAlign w:val="center"/>
          </w:tcPr>
          <w:p w14:paraId="000000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占比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EB">
            <w:r>
              <w:t>1</w:t>
            </w:r>
          </w:p>
        </w:tc>
        <w:tc>
          <w:tcPr>
            <w:tcW w:w="1384" w:type="dxa"/>
            <w:tcMar/>
            <w:vAlign w:val="center"/>
          </w:tcPr>
          <w:p w14:paraId="000000EC">
            <w:r>
              <w:rPr>
                <w:rFonts w:hint="eastAsia"/>
              </w:rPr>
              <w:t>陕西省</w:t>
            </w:r>
          </w:p>
        </w:tc>
        <w:tc>
          <w:tcPr>
            <w:tcW w:w="1384" w:type="dxa"/>
            <w:tcMar/>
            <w:vAlign w:val="center"/>
          </w:tcPr>
          <w:p w14:paraId="000000ED">
            <w:r>
              <w:t>1,133</w:t>
            </w:r>
          </w:p>
        </w:tc>
        <w:tc>
          <w:tcPr>
            <w:tcW w:w="1384" w:type="dxa"/>
            <w:tcMar/>
            <w:vAlign w:val="center"/>
          </w:tcPr>
          <w:p w14:paraId="000000EE">
            <w:r>
              <w:t>79</w:t>
            </w:r>
          </w:p>
        </w:tc>
        <w:tc>
          <w:tcPr>
            <w:tcW w:w="1384" w:type="dxa"/>
            <w:tcMar/>
            <w:vAlign w:val="center"/>
          </w:tcPr>
          <w:p w14:paraId="000000EF">
            <w:r>
              <w:t>2,851,136.58</w:t>
            </w:r>
          </w:p>
        </w:tc>
        <w:tc>
          <w:tcPr>
            <w:tcW w:w="1384" w:type="dxa"/>
            <w:tcMar/>
            <w:vAlign w:val="center"/>
          </w:tcPr>
          <w:p w14:paraId="000000F0">
            <w:r>
              <w:t>7.89%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F1">
            <w:r>
              <w:t>2</w:t>
            </w:r>
          </w:p>
        </w:tc>
        <w:tc>
          <w:tcPr>
            <w:tcW w:w="1384" w:type="dxa"/>
            <w:tcMar/>
            <w:vAlign w:val="center"/>
          </w:tcPr>
          <w:p w14:paraId="000000F2">
            <w:r>
              <w:rPr>
                <w:rFonts w:hint="eastAsia"/>
              </w:rPr>
              <w:t>重庆市</w:t>
            </w:r>
          </w:p>
        </w:tc>
        <w:tc>
          <w:tcPr>
            <w:tcW w:w="1384" w:type="dxa"/>
            <w:tcMar/>
            <w:vAlign w:val="center"/>
          </w:tcPr>
          <w:p w14:paraId="000000F3">
            <w:r>
              <w:t>1,069</w:t>
            </w:r>
          </w:p>
        </w:tc>
        <w:tc>
          <w:tcPr>
            <w:tcW w:w="1384" w:type="dxa"/>
            <w:tcMar/>
            <w:vAlign w:val="center"/>
          </w:tcPr>
          <w:p w14:paraId="000000F4">
            <w:r>
              <w:t>76</w:t>
            </w:r>
          </w:p>
        </w:tc>
        <w:tc>
          <w:tcPr>
            <w:tcW w:w="1384" w:type="dxa"/>
            <w:tcMar/>
            <w:vAlign w:val="center"/>
          </w:tcPr>
          <w:p w14:paraId="000000F5">
            <w:r>
              <w:t>2,713,752.62</w:t>
            </w:r>
          </w:p>
        </w:tc>
        <w:tc>
          <w:tcPr>
            <w:tcW w:w="1384" w:type="dxa"/>
            <w:tcMar/>
            <w:vAlign w:val="center"/>
          </w:tcPr>
          <w:p w14:paraId="000000F6">
            <w:r>
              <w:t>7.51%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F7">
            <w:r>
              <w:t>3</w:t>
            </w:r>
          </w:p>
        </w:tc>
        <w:tc>
          <w:tcPr>
            <w:tcW w:w="1384" w:type="dxa"/>
            <w:tcMar/>
            <w:vAlign w:val="center"/>
          </w:tcPr>
          <w:p w14:paraId="000000F8">
            <w:r>
              <w:rPr>
                <w:rFonts w:hint="eastAsia"/>
              </w:rPr>
              <w:t>辽宁省</w:t>
            </w:r>
          </w:p>
        </w:tc>
        <w:tc>
          <w:tcPr>
            <w:tcW w:w="1384" w:type="dxa"/>
            <w:tcMar/>
            <w:vAlign w:val="center"/>
          </w:tcPr>
          <w:p w14:paraId="000000F9">
            <w:r>
              <w:t>1,083</w:t>
            </w:r>
          </w:p>
        </w:tc>
        <w:tc>
          <w:tcPr>
            <w:tcW w:w="1384" w:type="dxa"/>
            <w:tcMar/>
            <w:vAlign w:val="center"/>
          </w:tcPr>
          <w:p w14:paraId="000000FA">
            <w:r>
              <w:t>75</w:t>
            </w:r>
          </w:p>
        </w:tc>
        <w:tc>
          <w:tcPr>
            <w:tcW w:w="1384" w:type="dxa"/>
            <w:tcMar/>
            <w:vAlign w:val="center"/>
          </w:tcPr>
          <w:p w14:paraId="000000FB">
            <w:r>
              <w:t>2,710,473.46</w:t>
            </w:r>
          </w:p>
        </w:tc>
        <w:tc>
          <w:tcPr>
            <w:tcW w:w="1384" w:type="dxa"/>
            <w:tcMar/>
            <w:vAlign w:val="center"/>
          </w:tcPr>
          <w:p w14:paraId="000000FC">
            <w:r>
              <w:t>7.50%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0FD">
            <w:r>
              <w:t>4</w:t>
            </w:r>
          </w:p>
        </w:tc>
        <w:tc>
          <w:tcPr>
            <w:tcW w:w="1384" w:type="dxa"/>
            <w:tcMar/>
            <w:vAlign w:val="center"/>
          </w:tcPr>
          <w:p w14:paraId="000000FE">
            <w:r>
              <w:rPr>
                <w:rFonts w:hint="eastAsia"/>
              </w:rPr>
              <w:t>河南省</w:t>
            </w:r>
          </w:p>
        </w:tc>
        <w:tc>
          <w:tcPr>
            <w:tcW w:w="1384" w:type="dxa"/>
            <w:tcMar/>
            <w:vAlign w:val="center"/>
          </w:tcPr>
          <w:p w14:paraId="000000FF">
            <w:r>
              <w:t>1,031</w:t>
            </w:r>
          </w:p>
        </w:tc>
        <w:tc>
          <w:tcPr>
            <w:tcW w:w="1384" w:type="dxa"/>
            <w:tcMar/>
            <w:vAlign w:val="center"/>
          </w:tcPr>
          <w:p w14:paraId="00000100">
            <w:r>
              <w:t>73</w:t>
            </w:r>
          </w:p>
        </w:tc>
        <w:tc>
          <w:tcPr>
            <w:tcW w:w="1384" w:type="dxa"/>
            <w:tcMar/>
            <w:vAlign w:val="center"/>
          </w:tcPr>
          <w:p w14:paraId="00000101">
            <w:r>
              <w:t>2,572,840.71</w:t>
            </w:r>
          </w:p>
        </w:tc>
        <w:tc>
          <w:tcPr>
            <w:tcW w:w="1384" w:type="dxa"/>
            <w:tcMar/>
            <w:vAlign w:val="center"/>
          </w:tcPr>
          <w:p w14:paraId="00000102">
            <w:r>
              <w:t>7.12%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03">
            <w:r>
              <w:t>5</w:t>
            </w:r>
          </w:p>
        </w:tc>
        <w:tc>
          <w:tcPr>
            <w:tcW w:w="1384" w:type="dxa"/>
            <w:tcMar/>
            <w:vAlign w:val="center"/>
          </w:tcPr>
          <w:p w14:paraId="00000104">
            <w:r>
              <w:rPr>
                <w:rFonts w:hint="eastAsia"/>
              </w:rPr>
              <w:t>福建省</w:t>
            </w:r>
          </w:p>
        </w:tc>
        <w:tc>
          <w:tcPr>
            <w:tcW w:w="1384" w:type="dxa"/>
            <w:tcMar/>
            <w:vAlign w:val="center"/>
          </w:tcPr>
          <w:p w14:paraId="00000105">
            <w:r>
              <w:t>999</w:t>
            </w:r>
          </w:p>
        </w:tc>
        <w:tc>
          <w:tcPr>
            <w:tcW w:w="1384" w:type="dxa"/>
            <w:tcMar/>
            <w:vAlign w:val="center"/>
          </w:tcPr>
          <w:p w14:paraId="00000106">
            <w:r>
              <w:t>69</w:t>
            </w:r>
          </w:p>
        </w:tc>
        <w:tc>
          <w:tcPr>
            <w:tcW w:w="1384" w:type="dxa"/>
            <w:tcMar/>
            <w:vAlign w:val="center"/>
          </w:tcPr>
          <w:p w14:paraId="00000107">
            <w:r>
              <w:t>2,545,833.72</w:t>
            </w:r>
          </w:p>
        </w:tc>
        <w:tc>
          <w:tcPr>
            <w:tcW w:w="1384" w:type="dxa"/>
            <w:tcMar/>
            <w:vAlign w:val="center"/>
          </w:tcPr>
          <w:p w14:paraId="00000108">
            <w:r>
              <w:t>7.05%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09">
            <w:r>
              <w:t>6</w:t>
            </w:r>
          </w:p>
        </w:tc>
        <w:tc>
          <w:tcPr>
            <w:tcW w:w="1384" w:type="dxa"/>
            <w:tcMar/>
            <w:vAlign w:val="center"/>
          </w:tcPr>
          <w:p w14:paraId="0000010A">
            <w:r>
              <w:rPr>
                <w:rFonts w:hint="eastAsia"/>
              </w:rPr>
              <w:t>安徽省</w:t>
            </w:r>
          </w:p>
        </w:tc>
        <w:tc>
          <w:tcPr>
            <w:tcW w:w="1384" w:type="dxa"/>
            <w:tcMar/>
            <w:vAlign w:val="center"/>
          </w:tcPr>
          <w:p w14:paraId="0000010B">
            <w:r>
              <w:t>1,033</w:t>
            </w:r>
          </w:p>
        </w:tc>
        <w:tc>
          <w:tcPr>
            <w:tcW w:w="1384" w:type="dxa"/>
            <w:tcMar/>
            <w:vAlign w:val="center"/>
          </w:tcPr>
          <w:p w14:paraId="0000010C">
            <w:r>
              <w:t>68</w:t>
            </w:r>
          </w:p>
        </w:tc>
        <w:tc>
          <w:tcPr>
            <w:tcW w:w="1384" w:type="dxa"/>
            <w:tcMar/>
            <w:vAlign w:val="center"/>
          </w:tcPr>
          <w:p w14:paraId="0000010D">
            <w:r>
              <w:t>2,523,570.16</w:t>
            </w:r>
          </w:p>
        </w:tc>
        <w:tc>
          <w:tcPr>
            <w:tcW w:w="1384" w:type="dxa"/>
            <w:tcMar/>
            <w:vAlign w:val="center"/>
          </w:tcPr>
          <w:p w14:paraId="0000010E">
            <w:r>
              <w:t>6.99%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0F">
            <w:r>
              <w:t>7</w:t>
            </w:r>
          </w:p>
        </w:tc>
        <w:tc>
          <w:tcPr>
            <w:tcW w:w="1384" w:type="dxa"/>
            <w:tcMar/>
            <w:vAlign w:val="center"/>
          </w:tcPr>
          <w:p w14:paraId="00000110">
            <w:r>
              <w:rPr>
                <w:rFonts w:hint="eastAsia"/>
              </w:rPr>
              <w:t>北京市</w:t>
            </w:r>
          </w:p>
        </w:tc>
        <w:tc>
          <w:tcPr>
            <w:tcW w:w="1384" w:type="dxa"/>
            <w:tcMar/>
            <w:vAlign w:val="center"/>
          </w:tcPr>
          <w:p w14:paraId="00000111">
            <w:r>
              <w:t>1,024</w:t>
            </w:r>
          </w:p>
        </w:tc>
        <w:tc>
          <w:tcPr>
            <w:tcW w:w="1384" w:type="dxa"/>
            <w:tcMar/>
            <w:vAlign w:val="center"/>
          </w:tcPr>
          <w:p w14:paraId="00000112">
            <w:r>
              <w:t>70</w:t>
            </w:r>
          </w:p>
        </w:tc>
        <w:tc>
          <w:tcPr>
            <w:tcW w:w="1384" w:type="dxa"/>
            <w:tcMar/>
            <w:vAlign w:val="center"/>
          </w:tcPr>
          <w:p w14:paraId="00000113">
            <w:r>
              <w:t>2,495,041.53</w:t>
            </w:r>
          </w:p>
        </w:tc>
        <w:tc>
          <w:tcPr>
            <w:tcW w:w="1384" w:type="dxa"/>
            <w:tcMar/>
            <w:vAlign w:val="center"/>
          </w:tcPr>
          <w:p w14:paraId="00000114">
            <w:r>
              <w:t>6.91%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15">
            <w:r>
              <w:t>8</w:t>
            </w:r>
          </w:p>
        </w:tc>
        <w:tc>
          <w:tcPr>
            <w:tcW w:w="1384" w:type="dxa"/>
            <w:tcMar/>
            <w:vAlign w:val="center"/>
          </w:tcPr>
          <w:p w14:paraId="00000116">
            <w:r>
              <w:rPr>
                <w:rFonts w:hint="eastAsia"/>
              </w:rPr>
              <w:t>浙江省</w:t>
            </w:r>
          </w:p>
        </w:tc>
        <w:tc>
          <w:tcPr>
            <w:tcW w:w="1384" w:type="dxa"/>
            <w:tcMar/>
            <w:vAlign w:val="center"/>
          </w:tcPr>
          <w:p w14:paraId="00000117">
            <w:r>
              <w:t>993</w:t>
            </w:r>
          </w:p>
        </w:tc>
        <w:tc>
          <w:tcPr>
            <w:tcW w:w="1384" w:type="dxa"/>
            <w:tcMar/>
            <w:vAlign w:val="center"/>
          </w:tcPr>
          <w:p w14:paraId="00000118">
            <w:r>
              <w:t>67</w:t>
            </w:r>
          </w:p>
        </w:tc>
        <w:tc>
          <w:tcPr>
            <w:tcW w:w="1384" w:type="dxa"/>
            <w:tcMar/>
            <w:vAlign w:val="center"/>
          </w:tcPr>
          <w:p w14:paraId="00000119">
            <w:r>
              <w:t>2,491,098.70</w:t>
            </w:r>
          </w:p>
        </w:tc>
        <w:tc>
          <w:tcPr>
            <w:tcW w:w="1384" w:type="dxa"/>
            <w:tcMar/>
            <w:vAlign w:val="center"/>
          </w:tcPr>
          <w:p w14:paraId="0000011A">
            <w:r>
              <w:t>6.90%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1B">
            <w:r>
              <w:t>9</w:t>
            </w:r>
          </w:p>
        </w:tc>
        <w:tc>
          <w:tcPr>
            <w:tcW w:w="1384" w:type="dxa"/>
            <w:tcMar/>
            <w:vAlign w:val="center"/>
          </w:tcPr>
          <w:p w14:paraId="0000011C">
            <w:r>
              <w:rPr>
                <w:rFonts w:hint="eastAsia"/>
              </w:rPr>
              <w:t>上海市</w:t>
            </w:r>
          </w:p>
        </w:tc>
        <w:tc>
          <w:tcPr>
            <w:tcW w:w="1384" w:type="dxa"/>
            <w:tcMar/>
            <w:vAlign w:val="center"/>
          </w:tcPr>
          <w:p w14:paraId="0000011D">
            <w:r>
              <w:t>978</w:t>
            </w:r>
          </w:p>
        </w:tc>
        <w:tc>
          <w:tcPr>
            <w:tcW w:w="1384" w:type="dxa"/>
            <w:tcMar/>
            <w:vAlign w:val="center"/>
          </w:tcPr>
          <w:p w14:paraId="0000011E">
            <w:r>
              <w:t>70</w:t>
            </w:r>
          </w:p>
        </w:tc>
        <w:tc>
          <w:tcPr>
            <w:tcW w:w="1384" w:type="dxa"/>
            <w:tcMar/>
            <w:vAlign w:val="center"/>
          </w:tcPr>
          <w:p w14:paraId="0000011F">
            <w:r>
              <w:t>2,488,406.72</w:t>
            </w:r>
          </w:p>
        </w:tc>
        <w:tc>
          <w:tcPr>
            <w:tcW w:w="1384" w:type="dxa"/>
            <w:tcMar/>
            <w:vAlign w:val="center"/>
          </w:tcPr>
          <w:p w14:paraId="00000120">
            <w:r>
              <w:t>6.89%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21">
            <w:r>
              <w:t>10</w:t>
            </w:r>
          </w:p>
        </w:tc>
        <w:tc>
          <w:tcPr>
            <w:tcW w:w="1384" w:type="dxa"/>
            <w:tcMar/>
            <w:vAlign w:val="center"/>
          </w:tcPr>
          <w:p w14:paraId="00000122">
            <w:r>
              <w:rPr>
                <w:rFonts w:hint="eastAsia"/>
              </w:rPr>
              <w:t>山东省</w:t>
            </w:r>
          </w:p>
        </w:tc>
        <w:tc>
          <w:tcPr>
            <w:tcW w:w="1384" w:type="dxa"/>
            <w:tcMar/>
            <w:vAlign w:val="center"/>
          </w:tcPr>
          <w:p w14:paraId="00000123">
            <w:r>
              <w:t>923</w:t>
            </w:r>
          </w:p>
        </w:tc>
        <w:tc>
          <w:tcPr>
            <w:tcW w:w="1384" w:type="dxa"/>
            <w:tcMar/>
            <w:vAlign w:val="center"/>
          </w:tcPr>
          <w:p w14:paraId="00000124">
            <w:r>
              <w:t>63</w:t>
            </w:r>
          </w:p>
        </w:tc>
        <w:tc>
          <w:tcPr>
            <w:tcW w:w="1384" w:type="dxa"/>
            <w:tcMar/>
            <w:vAlign w:val="center"/>
          </w:tcPr>
          <w:p w14:paraId="00000125">
            <w:r>
              <w:t>2,371,455.29</w:t>
            </w:r>
          </w:p>
        </w:tc>
        <w:tc>
          <w:tcPr>
            <w:tcW w:w="1384" w:type="dxa"/>
            <w:tcMar/>
            <w:vAlign w:val="center"/>
          </w:tcPr>
          <w:p w14:paraId="00000126">
            <w:r>
              <w:t>6.57%</w:t>
            </w:r>
          </w:p>
        </w:tc>
      </w:tr>
    </w:tbl>
    <w:p w14:paraId="00000127">
      <w:r>
        <w:rPr>
          <w:rFonts w:hint="eastAsia"/>
          <w:b w:val="1"/>
        </w:rPr>
        <w:t>门店 Top5</w:t>
      </w:r>
      <w:r>
        <w:rPr>
          <w:rFonts w:hint="eastAsia"/>
        </w:rPr>
        <w:t>（共 60 家，均值 601,944.78 元）：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Mar/>
            <w:vAlign w:val="center"/>
          </w:tcPr>
          <w:p w14:paraId="000001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排名</w:t>
            </w:r>
          </w:p>
        </w:tc>
        <w:tc>
          <w:tcPr>
            <w:tcW w:w="1384" w:type="dxa"/>
            <w:tcMar/>
            <w:vAlign w:val="center"/>
          </w:tcPr>
          <w:p w14:paraId="000001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门店</w:t>
            </w:r>
          </w:p>
        </w:tc>
        <w:tc>
          <w:tcPr>
            <w:tcW w:w="1384" w:type="dxa"/>
            <w:tcMar/>
            <w:vAlign w:val="center"/>
          </w:tcPr>
          <w:p w14:paraId="000001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省份</w:t>
            </w:r>
          </w:p>
        </w:tc>
        <w:tc>
          <w:tcPr>
            <w:tcW w:w="1384" w:type="dxa"/>
            <w:tcMar/>
            <w:vAlign w:val="center"/>
          </w:tcPr>
          <w:p w14:paraId="000001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GMV（元）</w:t>
            </w:r>
          </w:p>
        </w:tc>
        <w:tc>
          <w:tcPr>
            <w:tcW w:w="1384" w:type="dxa"/>
            <w:tcMar/>
            <w:vAlign w:val="center"/>
          </w:tcPr>
          <w:p w14:paraId="000001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订单数</w:t>
            </w:r>
          </w:p>
        </w:tc>
        <w:tc>
          <w:tcPr>
            <w:tcW w:w="1384" w:type="dxa"/>
            <w:tcMar/>
            <w:vAlign w:val="center"/>
          </w:tcPr>
          <w:p w14:paraId="000001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客单价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2E">
            <w:r>
              <w:t>1</w:t>
            </w:r>
          </w:p>
        </w:tc>
        <w:tc>
          <w:tcPr>
            <w:tcW w:w="1384" w:type="dxa"/>
            <w:tcMar/>
            <w:vAlign w:val="center"/>
          </w:tcPr>
          <w:p w14:paraId="0000012F">
            <w:r>
              <w:rPr>
                <w:rFonts w:hint="eastAsia"/>
              </w:rPr>
              <w:t>云购生活·北京二店</w:t>
            </w:r>
          </w:p>
        </w:tc>
        <w:tc>
          <w:tcPr>
            <w:tcW w:w="1384" w:type="dxa"/>
            <w:tcMar/>
            <w:vAlign w:val="center"/>
          </w:tcPr>
          <w:p w14:paraId="00000130">
            <w:r>
              <w:rPr>
                <w:rFonts w:hint="eastAsia"/>
              </w:rPr>
              <w:t>北京市</w:t>
            </w:r>
          </w:p>
        </w:tc>
        <w:tc>
          <w:tcPr>
            <w:tcW w:w="1384" w:type="dxa"/>
            <w:tcMar/>
            <w:vAlign w:val="center"/>
          </w:tcPr>
          <w:p w14:paraId="00000131">
            <w:r>
              <w:t>708,051.42</w:t>
            </w:r>
          </w:p>
        </w:tc>
        <w:tc>
          <w:tcPr>
            <w:tcW w:w="1384" w:type="dxa"/>
            <w:tcMar/>
            <w:vAlign w:val="center"/>
          </w:tcPr>
          <w:p w14:paraId="00000132">
            <w:r>
              <w:t>285</w:t>
            </w:r>
          </w:p>
        </w:tc>
        <w:tc>
          <w:tcPr>
            <w:tcW w:w="1384" w:type="dxa"/>
            <w:tcMar/>
            <w:vAlign w:val="center"/>
          </w:tcPr>
          <w:p w14:paraId="00000133">
            <w:r>
              <w:t>2,484.39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34">
            <w:r>
              <w:t>2</w:t>
            </w:r>
          </w:p>
        </w:tc>
        <w:tc>
          <w:tcPr>
            <w:tcW w:w="1384" w:type="dxa"/>
            <w:tcMar/>
            <w:vAlign w:val="center"/>
          </w:tcPr>
          <w:p w14:paraId="00000135">
            <w:r>
              <w:rPr>
                <w:rFonts w:hint="eastAsia"/>
              </w:rPr>
              <w:t>云购生活·绍兴旗舰店</w:t>
            </w:r>
          </w:p>
        </w:tc>
        <w:tc>
          <w:tcPr>
            <w:tcW w:w="1384" w:type="dxa"/>
            <w:tcMar/>
            <w:vAlign w:val="center"/>
          </w:tcPr>
          <w:p w14:paraId="00000136">
            <w:r>
              <w:rPr>
                <w:rFonts w:hint="eastAsia"/>
              </w:rPr>
              <w:t>浙江省</w:t>
            </w:r>
          </w:p>
        </w:tc>
        <w:tc>
          <w:tcPr>
            <w:tcW w:w="1384" w:type="dxa"/>
            <w:tcMar/>
            <w:vAlign w:val="center"/>
          </w:tcPr>
          <w:p w14:paraId="00000137">
            <w:r>
              <w:t>701,667.58</w:t>
            </w:r>
          </w:p>
        </w:tc>
        <w:tc>
          <w:tcPr>
            <w:tcW w:w="1384" w:type="dxa"/>
            <w:tcMar/>
            <w:vAlign w:val="center"/>
          </w:tcPr>
          <w:p w14:paraId="00000138">
            <w:r>
              <w:t>257</w:t>
            </w:r>
          </w:p>
        </w:tc>
        <w:tc>
          <w:tcPr>
            <w:tcW w:w="1384" w:type="dxa"/>
            <w:tcMar/>
            <w:vAlign w:val="center"/>
          </w:tcPr>
          <w:p w14:paraId="00000139">
            <w:r>
              <w:t>2,730.22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3A">
            <w:r>
              <w:t>3</w:t>
            </w:r>
          </w:p>
        </w:tc>
        <w:tc>
          <w:tcPr>
            <w:tcW w:w="1384" w:type="dxa"/>
            <w:tcMar/>
            <w:vAlign w:val="center"/>
          </w:tcPr>
          <w:p w14:paraId="0000013B">
            <w:r>
              <w:rPr>
                <w:rFonts w:hint="eastAsia"/>
              </w:rPr>
              <w:t>云购生活·莆田旗舰店</w:t>
            </w:r>
          </w:p>
        </w:tc>
        <w:tc>
          <w:tcPr>
            <w:tcW w:w="1384" w:type="dxa"/>
            <w:tcMar/>
            <w:vAlign w:val="center"/>
          </w:tcPr>
          <w:p w14:paraId="0000013C">
            <w:r>
              <w:rPr>
                <w:rFonts w:hint="eastAsia"/>
              </w:rPr>
              <w:t>福建省</w:t>
            </w:r>
          </w:p>
        </w:tc>
        <w:tc>
          <w:tcPr>
            <w:tcW w:w="1384" w:type="dxa"/>
            <w:tcMar/>
            <w:vAlign w:val="center"/>
          </w:tcPr>
          <w:p w14:paraId="0000013D">
            <w:r>
              <w:t>689,778.99</w:t>
            </w:r>
          </w:p>
        </w:tc>
        <w:tc>
          <w:tcPr>
            <w:tcW w:w="1384" w:type="dxa"/>
            <w:tcMar/>
            <w:vAlign w:val="center"/>
          </w:tcPr>
          <w:p w14:paraId="0000013E">
            <w:r>
              <w:t>262</w:t>
            </w:r>
          </w:p>
        </w:tc>
        <w:tc>
          <w:tcPr>
            <w:tcW w:w="1384" w:type="dxa"/>
            <w:tcMar/>
            <w:vAlign w:val="center"/>
          </w:tcPr>
          <w:p w14:paraId="0000013F">
            <w:r>
              <w:t>2,632.74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40">
            <w:r>
              <w:t>4</w:t>
            </w:r>
          </w:p>
        </w:tc>
        <w:tc>
          <w:tcPr>
            <w:tcW w:w="1384" w:type="dxa"/>
            <w:tcMar/>
            <w:vAlign w:val="center"/>
          </w:tcPr>
          <w:p w14:paraId="00000141">
            <w:r>
              <w:rPr>
                <w:rFonts w:hint="eastAsia"/>
              </w:rPr>
              <w:t>云购生活·合肥购物中心店</w:t>
            </w:r>
          </w:p>
        </w:tc>
        <w:tc>
          <w:tcPr>
            <w:tcW w:w="1384" w:type="dxa"/>
            <w:tcMar/>
            <w:vAlign w:val="center"/>
          </w:tcPr>
          <w:p w14:paraId="00000142">
            <w:r>
              <w:rPr>
                <w:rFonts w:hint="eastAsia"/>
              </w:rPr>
              <w:t>安徽省</w:t>
            </w:r>
          </w:p>
        </w:tc>
        <w:tc>
          <w:tcPr>
            <w:tcW w:w="1384" w:type="dxa"/>
            <w:tcMar/>
            <w:vAlign w:val="center"/>
          </w:tcPr>
          <w:p w14:paraId="00000143">
            <w:r>
              <w:t>687,358.86</w:t>
            </w:r>
          </w:p>
        </w:tc>
        <w:tc>
          <w:tcPr>
            <w:tcW w:w="1384" w:type="dxa"/>
            <w:tcMar/>
            <w:vAlign w:val="center"/>
          </w:tcPr>
          <w:p w14:paraId="00000144">
            <w:r>
              <w:t>262</w:t>
            </w:r>
          </w:p>
        </w:tc>
        <w:tc>
          <w:tcPr>
            <w:tcW w:w="1384" w:type="dxa"/>
            <w:tcMar/>
            <w:vAlign w:val="center"/>
          </w:tcPr>
          <w:p w14:paraId="00000145">
            <w:r>
              <w:t>2,623.51</w:t>
            </w:r>
          </w:p>
        </w:tc>
      </w:tr>
      <w:tr>
        <w:trPr/>
        <w:tc>
          <w:tcPr>
            <w:tcW w:w="1384" w:type="dxa"/>
            <w:tcMar/>
            <w:vAlign w:val="center"/>
          </w:tcPr>
          <w:p w14:paraId="00000146">
            <w:r>
              <w:t>5</w:t>
            </w:r>
          </w:p>
        </w:tc>
        <w:tc>
          <w:tcPr>
            <w:tcW w:w="1384" w:type="dxa"/>
            <w:tcMar/>
            <w:vAlign w:val="center"/>
          </w:tcPr>
          <w:p w14:paraId="00000147">
            <w:r>
              <w:rPr>
                <w:rFonts w:hint="eastAsia"/>
              </w:rPr>
              <w:t>云购生活·株洲一店</w:t>
            </w:r>
          </w:p>
        </w:tc>
        <w:tc>
          <w:tcPr>
            <w:tcW w:w="1384" w:type="dxa"/>
            <w:tcMar/>
            <w:vAlign w:val="center"/>
          </w:tcPr>
          <w:p w14:paraId="00000148">
            <w:r>
              <w:rPr>
                <w:rFonts w:hint="eastAsia"/>
              </w:rPr>
              <w:t>湖南省</w:t>
            </w:r>
          </w:p>
        </w:tc>
        <w:tc>
          <w:tcPr>
            <w:tcW w:w="1384" w:type="dxa"/>
            <w:tcMar/>
            <w:vAlign w:val="center"/>
          </w:tcPr>
          <w:p w14:paraId="00000149">
            <w:r>
              <w:t>684,683.23</w:t>
            </w:r>
          </w:p>
        </w:tc>
        <w:tc>
          <w:tcPr>
            <w:tcW w:w="1384" w:type="dxa"/>
            <w:tcMar/>
            <w:vAlign w:val="center"/>
          </w:tcPr>
          <w:p w14:paraId="0000014A">
            <w:r>
              <w:t>261</w:t>
            </w:r>
          </w:p>
        </w:tc>
        <w:tc>
          <w:tcPr>
            <w:tcW w:w="1384" w:type="dxa"/>
            <w:tcMar/>
            <w:vAlign w:val="center"/>
          </w:tcPr>
          <w:p w14:paraId="0000014B">
            <w:r>
              <w:t>2,623.31</w:t>
            </w:r>
          </w:p>
        </w:tc>
      </w:tr>
    </w:tbl>
    <w:p w14:paraId="0000014C">
      <w:r>
        <w:rPr>
          <w:rFonts w:hint="eastAsia"/>
          <w:b w:val="1"/>
        </w:rPr>
        <w:t>发现</w:t>
      </w:r>
      <w:r>
        <w:rPr>
          <w:rFonts w:hint="eastAsia"/>
        </w:rPr>
        <w:t>：60 家门店 GMV 最高 708,051 元、最低 509,141 元，极差仅 39%，且 Top5 与均值差距在 17% 以内。</w:t>
      </w:r>
      <w:r>
        <w:rPr>
          <w:rFonts w:hint="eastAsia"/>
          <w:b w:val="1"/>
        </w:rPr>
        <w:t>没有明显的「差店」需要整改，也没有「明星店」可复制</w:t>
      </w:r>
      <w:r>
        <w:rPr>
          <w:rFonts w:hint="eastAsia"/>
        </w:rPr>
        <w:t>。</w:t>
      </w:r>
    </w:p>
    <w:p w14:paraId="0000014D">
      <w:pPr>
        <w:pBdr>
          <w:bottom w:val="thick" w:color="040102" w:sz="8"/>
        </w:pBdr>
      </w:pPr>
    </w:p>
    <w:p w14:paraId="0000014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八、用户价值分层（RFM）</w:t>
      </w:r>
    </w:p>
    <w:p w14:paraId="0000014F">
      <w:r>
        <w:rPr>
          <w:rFonts w:hint="eastAsia"/>
        </w:rPr>
        <w:t>分层方法：按订单次数（F）与累计金额（M）各取 33%/67% 分位，打 A/B/C 三档后组合。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1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分层</w:t>
            </w:r>
          </w:p>
        </w:tc>
        <w:tc>
          <w:tcPr>
            <w:tcW w:w="1661" w:type="dxa"/>
            <w:tcMar/>
            <w:vAlign w:val="center"/>
          </w:tcPr>
          <w:p w14:paraId="0000015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用户数</w:t>
            </w:r>
          </w:p>
        </w:tc>
        <w:tc>
          <w:tcPr>
            <w:tcW w:w="1661" w:type="dxa"/>
            <w:tcMar/>
            <w:vAlign w:val="center"/>
          </w:tcPr>
          <w:p w14:paraId="000001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GMV（元）</w:t>
            </w:r>
          </w:p>
        </w:tc>
        <w:tc>
          <w:tcPr>
            <w:tcW w:w="1661" w:type="dxa"/>
            <w:tcMar/>
            <w:vAlign w:val="center"/>
          </w:tcPr>
          <w:p w14:paraId="000001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GMV 占比</w:t>
            </w:r>
          </w:p>
        </w:tc>
        <w:tc>
          <w:tcPr>
            <w:tcW w:w="1661" w:type="dxa"/>
            <w:tcMar/>
            <w:vAlign w:val="center"/>
          </w:tcPr>
          <w:p w14:paraId="000001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人均 GMV（元）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155">
            <w:r>
              <w:rPr>
                <w:rFonts w:hint="eastAsia"/>
              </w:rPr>
              <w:t>重要价值用户（F=A 且 M=A）</w:t>
            </w:r>
          </w:p>
        </w:tc>
        <w:tc>
          <w:tcPr>
            <w:tcW w:w="1661" w:type="dxa"/>
            <w:tcMar/>
            <w:vAlign w:val="center"/>
          </w:tcPr>
          <w:p w14:paraId="00000156">
            <w:r>
              <w:t>235</w:t>
            </w:r>
          </w:p>
        </w:tc>
        <w:tc>
          <w:tcPr>
            <w:tcW w:w="1661" w:type="dxa"/>
            <w:tcMar/>
            <w:vAlign w:val="center"/>
          </w:tcPr>
          <w:p w14:paraId="00000157">
            <w:r>
              <w:t>11,838,200.51</w:t>
            </w:r>
          </w:p>
        </w:tc>
        <w:tc>
          <w:tcPr>
            <w:tcW w:w="1661" w:type="dxa"/>
            <w:tcMar/>
            <w:vAlign w:val="center"/>
          </w:tcPr>
          <w:p w14:paraId="00000158">
            <w:r>
              <w:t>32.78%</w:t>
            </w:r>
          </w:p>
        </w:tc>
        <w:tc>
          <w:tcPr>
            <w:tcW w:w="1661" w:type="dxa"/>
            <w:tcMar/>
            <w:vAlign w:val="center"/>
          </w:tcPr>
          <w:p w14:paraId="00000159">
            <w:r>
              <w:t>50,375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15A">
            <w:r>
              <w:rPr>
                <w:rFonts w:hint="eastAsia"/>
              </w:rPr>
              <w:t>一般价值用户</w:t>
            </w:r>
          </w:p>
        </w:tc>
        <w:tc>
          <w:tcPr>
            <w:tcW w:w="1661" w:type="dxa"/>
            <w:tcMar/>
            <w:vAlign w:val="center"/>
          </w:tcPr>
          <w:p w14:paraId="0000015B">
            <w:r>
              <w:t>324</w:t>
            </w:r>
          </w:p>
        </w:tc>
        <w:tc>
          <w:tcPr>
            <w:tcW w:w="1661" w:type="dxa"/>
            <w:tcMar/>
            <w:vAlign w:val="center"/>
          </w:tcPr>
          <w:p w14:paraId="0000015C">
            <w:r>
              <w:t>11,210,839.41</w:t>
            </w:r>
          </w:p>
        </w:tc>
        <w:tc>
          <w:tcPr>
            <w:tcW w:w="1661" w:type="dxa"/>
            <w:tcMar/>
            <w:vAlign w:val="center"/>
          </w:tcPr>
          <w:p w14:paraId="0000015D">
            <w:r>
              <w:t>31.04%</w:t>
            </w:r>
          </w:p>
        </w:tc>
        <w:tc>
          <w:tcPr>
            <w:tcW w:w="1661" w:type="dxa"/>
            <w:tcMar/>
            <w:vAlign w:val="center"/>
          </w:tcPr>
          <w:p w14:paraId="0000015E">
            <w:r>
              <w:t>34,601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15F">
            <w:r>
              <w:rPr>
                <w:rFonts w:hint="eastAsia"/>
              </w:rPr>
              <w:t>低价值用户（F=C 且 M=C）</w:t>
            </w:r>
          </w:p>
        </w:tc>
        <w:tc>
          <w:tcPr>
            <w:tcW w:w="1661" w:type="dxa"/>
            <w:tcMar/>
            <w:vAlign w:val="center"/>
          </w:tcPr>
          <w:p w14:paraId="00000160">
            <w:r>
              <w:t>294</w:t>
            </w:r>
          </w:p>
        </w:tc>
        <w:tc>
          <w:tcPr>
            <w:tcW w:w="1661" w:type="dxa"/>
            <w:tcMar/>
            <w:vAlign w:val="center"/>
          </w:tcPr>
          <w:p w14:paraId="00000161">
            <w:r>
              <w:t>6,980,054.40</w:t>
            </w:r>
          </w:p>
        </w:tc>
        <w:tc>
          <w:tcPr>
            <w:tcW w:w="1661" w:type="dxa"/>
            <w:tcMar/>
            <w:vAlign w:val="center"/>
          </w:tcPr>
          <w:p w14:paraId="00000162">
            <w:r>
              <w:t>19.33%</w:t>
            </w:r>
          </w:p>
        </w:tc>
        <w:tc>
          <w:tcPr>
            <w:tcW w:w="1661" w:type="dxa"/>
            <w:tcMar/>
            <w:vAlign w:val="center"/>
          </w:tcPr>
          <w:p w14:paraId="00000163">
            <w:r>
              <w:t>23,742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164">
            <w:r>
              <w:rPr>
                <w:rFonts w:hint="eastAsia"/>
              </w:rPr>
              <w:t>高价值低频用户</w:t>
            </w:r>
          </w:p>
        </w:tc>
        <w:tc>
          <w:tcPr>
            <w:tcW w:w="1661" w:type="dxa"/>
            <w:tcMar/>
            <w:vAlign w:val="center"/>
          </w:tcPr>
          <w:p w14:paraId="00000165">
            <w:r>
              <w:t>98</w:t>
            </w:r>
          </w:p>
        </w:tc>
        <w:tc>
          <w:tcPr>
            <w:tcW w:w="1661" w:type="dxa"/>
            <w:tcMar/>
            <w:vAlign w:val="center"/>
          </w:tcPr>
          <w:p w14:paraId="00000166">
            <w:r>
              <w:t>4,303,665.23</w:t>
            </w:r>
          </w:p>
        </w:tc>
        <w:tc>
          <w:tcPr>
            <w:tcW w:w="1661" w:type="dxa"/>
            <w:tcMar/>
            <w:vAlign w:val="center"/>
          </w:tcPr>
          <w:p w14:paraId="00000167">
            <w:r>
              <w:t>11.92%</w:t>
            </w:r>
          </w:p>
        </w:tc>
        <w:tc>
          <w:tcPr>
            <w:tcW w:w="1661" w:type="dxa"/>
            <w:tcMar/>
            <w:vAlign w:val="center"/>
          </w:tcPr>
          <w:p w14:paraId="00000168">
            <w:r>
              <w:t>43,915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169">
            <w:r>
              <w:rPr>
                <w:rFonts w:hint="eastAsia"/>
              </w:rPr>
              <w:t>高频潜力用户</w:t>
            </w:r>
          </w:p>
        </w:tc>
        <w:tc>
          <w:tcPr>
            <w:tcW w:w="1661" w:type="dxa"/>
            <w:tcMar/>
            <w:vAlign w:val="center"/>
          </w:tcPr>
          <w:p w14:paraId="0000016A">
            <w:r>
              <w:t>49</w:t>
            </w:r>
          </w:p>
        </w:tc>
        <w:tc>
          <w:tcPr>
            <w:tcW w:w="1661" w:type="dxa"/>
            <w:tcMar/>
            <w:vAlign w:val="center"/>
          </w:tcPr>
          <w:p w14:paraId="0000016B">
            <w:r>
              <w:t>1,783,927.51</w:t>
            </w:r>
          </w:p>
        </w:tc>
        <w:tc>
          <w:tcPr>
            <w:tcW w:w="1661" w:type="dxa"/>
            <w:tcMar/>
            <w:vAlign w:val="center"/>
          </w:tcPr>
          <w:p w14:paraId="0000016C">
            <w:r>
              <w:t>4.94%</w:t>
            </w:r>
          </w:p>
        </w:tc>
        <w:tc>
          <w:tcPr>
            <w:tcW w:w="1661" w:type="dxa"/>
            <w:tcMar/>
            <w:vAlign w:val="center"/>
          </w:tcPr>
          <w:p w14:paraId="0000016D">
            <w:r>
              <w:t>36,407</w:t>
            </w:r>
          </w:p>
        </w:tc>
      </w:tr>
    </w:tbl>
    <w:p w14:paraId="0000016E">
      <w:r>
        <w:rPr>
          <w:rFonts w:hint="eastAsia"/>
          <w:b w:val="1"/>
        </w:rPr>
        <w:t>发现</w:t>
      </w:r>
      <w:r>
        <w:rPr>
          <w:rFonts w:hint="eastAsia"/>
        </w:rPr>
        <w:t>：</w:t>
      </w:r>
    </w:p>
    <w:p w14:paraId="0000016F">
      <w:pPr>
        <w:numPr>
          <w:ilvl w:val="0"/>
          <w:numId w:val="2"/>
        </w:numPr>
      </w:pPr>
      <w:r>
        <w:rPr>
          <w:rFonts w:hint="eastAsia"/>
        </w:rPr>
        <w:t>23.5% 的用户（235 人）贡献 32.78% 的 GMV，人均 5.04 万元，是低价值用户的 2.1 倍；</w:t>
      </w:r>
    </w:p>
    <w:p w14:paraId="00000170">
      <w:pPr>
        <w:numPr>
          <w:ilvl w:val="0"/>
          <w:numId w:val="2"/>
        </w:numPr>
      </w:pPr>
      <w:r>
        <w:rPr>
          <w:rFonts w:hint="eastAsia"/>
        </w:rPr>
        <w:t>「高价值低频用户」只有 98 人，人均 GMV 4.39 万元却只贡献 11.92% —— 这批人客单高但下单少，是</w:t>
      </w:r>
      <w:r>
        <w:rPr>
          <w:rFonts w:hint="eastAsia"/>
          <w:b w:val="1"/>
        </w:rPr>
        <w:t>最值得做复购唤醒</w:t>
      </w:r>
      <w:r>
        <w:rPr>
          <w:rFonts w:hint="eastAsia"/>
        </w:rPr>
        <w:t>的一群；</w:t>
      </w:r>
    </w:p>
    <w:p w14:paraId="00000171">
      <w:pPr>
        <w:numPr>
          <w:ilvl w:val="0"/>
          <w:numId w:val="2"/>
        </w:numPr>
      </w:pPr>
      <w:r>
        <w:rPr>
          <w:rFonts w:hint="eastAsia"/>
        </w:rPr>
        <w:t>「高频潜力用户」仅 49 人，人均 3.64 万元，属于 F 高但 M 低，说明买得多但都是低价商品，适合做</w:t>
      </w:r>
      <w:r>
        <w:rPr>
          <w:rFonts w:hint="eastAsia"/>
          <w:b w:val="1"/>
        </w:rPr>
        <w:t>客单价提升</w:t>
      </w:r>
      <w:r>
        <w:rPr>
          <w:rFonts w:hint="eastAsia"/>
        </w:rPr>
        <w:t>（连带销售、满减凑单）。</w:t>
      </w:r>
    </w:p>
    <w:p w14:paraId="00000172">
      <w:r>
        <w:rPr>
          <w:rFonts w:hint="eastAsia"/>
          <w:b w:val="1"/>
        </w:rPr>
        <w:t>运营建议</w:t>
      </w:r>
      <w:r>
        <w:rPr>
          <w:rFonts w:hint="eastAsia"/>
        </w:rPr>
        <w:t>：</w:t>
      </w:r>
    </w:p>
    <w:p w14:paraId="00000173">
      <w:pPr>
        <w:numPr>
          <w:ilvl w:val="0"/>
          <w:numId w:val="3"/>
        </w:numPr>
      </w:pPr>
      <w:r>
        <w:rPr>
          <w:rFonts w:hint="eastAsia"/>
        </w:rPr>
        <w:t>重要价值用户（235 人）：做会员权益与专属服务，目标是留存而非刺激；</w:t>
      </w:r>
    </w:p>
    <w:p w14:paraId="00000174">
      <w:pPr>
        <w:numPr>
          <w:ilvl w:val="0"/>
          <w:numId w:val="3"/>
        </w:numPr>
      </w:pPr>
      <w:r>
        <w:rPr>
          <w:rFonts w:hint="eastAsia"/>
        </w:rPr>
        <w:t>高价值低频用户（98 人）：定向复购券 + 新品优先购，把「低频」拉起来；</w:t>
      </w:r>
    </w:p>
    <w:p w14:paraId="00000175">
      <w:pPr>
        <w:numPr>
          <w:ilvl w:val="0"/>
          <w:numId w:val="3"/>
        </w:numPr>
      </w:pPr>
      <w:r>
        <w:rPr>
          <w:rFonts w:hint="eastAsia"/>
        </w:rPr>
        <w:t>高频潜力用户（49 人）：满减门槛设计、关联推荐，把客单价往上推；</w:t>
      </w:r>
    </w:p>
    <w:p w14:paraId="00000176">
      <w:pPr>
        <w:numPr>
          <w:ilvl w:val="0"/>
          <w:numId w:val="3"/>
        </w:numPr>
      </w:pPr>
      <w:r>
        <w:rPr>
          <w:rFonts w:hint="eastAsia"/>
        </w:rPr>
        <w:t>低价值用户（294 人）：控制营销成本，用自动化触达即可。</w:t>
      </w:r>
    </w:p>
    <w:p w14:paraId="00000177">
      <w:pPr>
        <w:pBdr>
          <w:bottom w:val="thick" w:color="040102" w:sz="8"/>
        </w:pBdr>
      </w:pPr>
    </w:p>
    <w:p w14:paraId="0000017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九、行为分析：时段分布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768" w:type="dxa"/>
            <w:tcMar/>
            <w:vAlign w:val="center"/>
          </w:tcPr>
          <w:p w14:paraId="000001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行为数</w:t>
            </w:r>
          </w:p>
        </w:tc>
        <w:tc>
          <w:tcPr>
            <w:tcW w:w="2768" w:type="dxa"/>
            <w:tcMar/>
            <w:vAlign w:val="center"/>
          </w:tcPr>
          <w:p w14:paraId="000001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占比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7C">
            <w:r>
              <w:rPr>
                <w:rFonts w:hint="eastAsia"/>
              </w:rPr>
              <w:t>凌晨 00-05</w:t>
            </w:r>
          </w:p>
        </w:tc>
        <w:tc>
          <w:tcPr>
            <w:tcW w:w="2768" w:type="dxa"/>
            <w:tcMar/>
            <w:vAlign w:val="center"/>
          </w:tcPr>
          <w:p w14:paraId="0000017D">
            <w:r>
              <w:t>14,936</w:t>
            </w:r>
          </w:p>
        </w:tc>
        <w:tc>
          <w:tcPr>
            <w:tcW w:w="2768" w:type="dxa"/>
            <w:tcMar/>
            <w:vAlign w:val="center"/>
          </w:tcPr>
          <w:p w14:paraId="0000017E">
            <w:r>
              <w:t>24.89%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7F">
            <w:r>
              <w:rPr>
                <w:rFonts w:hint="eastAsia"/>
              </w:rPr>
              <w:t>下午 14-17</w:t>
            </w:r>
          </w:p>
        </w:tc>
        <w:tc>
          <w:tcPr>
            <w:tcW w:w="2768" w:type="dxa"/>
            <w:tcMar/>
            <w:vAlign w:val="center"/>
          </w:tcPr>
          <w:p w14:paraId="00000180">
            <w:r>
              <w:t>10,107</w:t>
            </w:r>
          </w:p>
        </w:tc>
        <w:tc>
          <w:tcPr>
            <w:tcW w:w="2768" w:type="dxa"/>
            <w:tcMar/>
            <w:vAlign w:val="center"/>
          </w:tcPr>
          <w:p w14:paraId="00000181">
            <w:r>
              <w:t>16.85%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2">
            <w:r>
              <w:rPr>
                <w:rFonts w:hint="eastAsia"/>
              </w:rPr>
              <w:t>晚间 18-21</w:t>
            </w:r>
          </w:p>
        </w:tc>
        <w:tc>
          <w:tcPr>
            <w:tcW w:w="2768" w:type="dxa"/>
            <w:tcMar/>
            <w:vAlign w:val="center"/>
          </w:tcPr>
          <w:p w14:paraId="00000183">
            <w:r>
              <w:t>9,975</w:t>
            </w:r>
          </w:p>
        </w:tc>
        <w:tc>
          <w:tcPr>
            <w:tcW w:w="2768" w:type="dxa"/>
            <w:tcMar/>
            <w:vAlign w:val="center"/>
          </w:tcPr>
          <w:p w14:paraId="00000184">
            <w:r>
              <w:t>16.63%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5">
            <w:r>
              <w:rPr>
                <w:rFonts w:hint="eastAsia"/>
              </w:rPr>
              <w:t>上午 09-11</w:t>
            </w:r>
          </w:p>
        </w:tc>
        <w:tc>
          <w:tcPr>
            <w:tcW w:w="2768" w:type="dxa"/>
            <w:tcMar/>
            <w:vAlign w:val="center"/>
          </w:tcPr>
          <w:p w14:paraId="00000186">
            <w:r>
              <w:t>7,513</w:t>
            </w:r>
          </w:p>
        </w:tc>
        <w:tc>
          <w:tcPr>
            <w:tcW w:w="2768" w:type="dxa"/>
            <w:tcMar/>
            <w:vAlign w:val="center"/>
          </w:tcPr>
          <w:p w14:paraId="00000187">
            <w:r>
              <w:t>12.52%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8">
            <w:r>
              <w:rPr>
                <w:rFonts w:hint="eastAsia"/>
              </w:rPr>
              <w:t>早间 06-08</w:t>
            </w:r>
          </w:p>
        </w:tc>
        <w:tc>
          <w:tcPr>
            <w:tcW w:w="2768" w:type="dxa"/>
            <w:tcMar/>
            <w:vAlign w:val="center"/>
          </w:tcPr>
          <w:p w14:paraId="00000189">
            <w:r>
              <w:t>7,450</w:t>
            </w:r>
          </w:p>
        </w:tc>
        <w:tc>
          <w:tcPr>
            <w:tcW w:w="2768" w:type="dxa"/>
            <w:tcMar/>
            <w:vAlign w:val="center"/>
          </w:tcPr>
          <w:p w14:paraId="0000018A">
            <w:r>
              <w:t>12.42%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B">
            <w:r>
              <w:rPr>
                <w:rFonts w:hint="eastAsia"/>
              </w:rPr>
              <w:t>深夜 22-23</w:t>
            </w:r>
          </w:p>
        </w:tc>
        <w:tc>
          <w:tcPr>
            <w:tcW w:w="2768" w:type="dxa"/>
            <w:tcMar/>
            <w:vAlign w:val="center"/>
          </w:tcPr>
          <w:p w14:paraId="0000018C">
            <w:r>
              <w:t>5,101</w:t>
            </w:r>
          </w:p>
        </w:tc>
        <w:tc>
          <w:tcPr>
            <w:tcW w:w="2768" w:type="dxa"/>
            <w:tcMar/>
            <w:vAlign w:val="center"/>
          </w:tcPr>
          <w:p w14:paraId="0000018D">
            <w:r>
              <w:t>8.50%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E">
            <w:r>
              <w:rPr>
                <w:rFonts w:hint="eastAsia"/>
              </w:rPr>
              <w:t>午间 12-13</w:t>
            </w:r>
          </w:p>
        </w:tc>
        <w:tc>
          <w:tcPr>
            <w:tcW w:w="2768" w:type="dxa"/>
            <w:tcMar/>
            <w:vAlign w:val="center"/>
          </w:tcPr>
          <w:p w14:paraId="0000018F">
            <w:r>
              <w:t>4,918</w:t>
            </w:r>
          </w:p>
        </w:tc>
        <w:tc>
          <w:tcPr>
            <w:tcW w:w="2768" w:type="dxa"/>
            <w:tcMar/>
            <w:vAlign w:val="center"/>
          </w:tcPr>
          <w:p w14:paraId="00000190">
            <w:r>
              <w:t>8.20%</w:t>
            </w:r>
          </w:p>
        </w:tc>
      </w:tr>
    </w:tbl>
    <w:p w14:paraId="00000191">
      <w:r>
        <w:rPr>
          <w:rFonts w:hint="eastAsia"/>
          <w:b w:val="1"/>
        </w:rPr>
        <w:t>发现</w:t>
      </w:r>
      <w:r>
        <w:rPr>
          <w:rFonts w:hint="eastAsia"/>
        </w:rPr>
        <w:t>：凌晨 00-05 点是行为高峰，占近四分之一，这与零售行业「晚间 18-21 点为高峰」的常规规律相反。</w:t>
      </w:r>
    </w:p>
    <w:p w14:paraId="00000192">
      <w:r>
        <w:rPr>
          <w:rFonts w:hint="eastAsia"/>
          <w:b w:val="1"/>
        </w:rPr>
        <w:t>这条结论存疑，不建议直接用于排期决策</w:t>
      </w:r>
      <w:r>
        <w:rPr>
          <w:rFonts w:hint="eastAsia"/>
        </w:rPr>
        <w:t xml:space="preserve">：更可能的原因是数据生成脚本未按真实作息分布采样，或 </w:t>
      </w:r>
      <w:r>
        <w:rPr>
          <w:rFonts w:ascii="Consolas" w:hAnsi="Consolas" w:eastAsia="Consolas" w:cs="Consolas"/>
        </w:rPr>
        <w:t>behavior_time</w:t>
      </w:r>
      <w:r>
        <w:rPr>
          <w:rFonts w:hint="eastAsia"/>
        </w:rPr>
        <w:t xml:space="preserve"> 存在时区偏移。建议先取 100 条凌晨行为与对应订单时间做交叉验证，确认后再用。</w:t>
      </w:r>
      <w:r>
        <w:rPr>
          <w:rFonts w:hint="eastAsia"/>
          <w:b w:val="1"/>
        </w:rPr>
        <w:t>分析方法正确，但结论需要业务侧核实</w:t>
      </w:r>
      <w:r>
        <w:rPr>
          <w:rFonts w:hint="eastAsia"/>
        </w:rPr>
        <w:t>——这也是探索性分析的价值之一：把「看起来不对」的地方找出来。</w:t>
      </w:r>
    </w:p>
    <w:p w14:paraId="00000193">
      <w:pPr>
        <w:pBdr>
          <w:bottom w:val="thick" w:color="040102" w:sz="8"/>
        </w:pBdr>
      </w:pPr>
    </w:p>
    <w:p w14:paraId="0000019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十、方法说明</w:t>
      </w:r>
    </w:p>
    <w:p w14:paraId="00000195">
      <w:pPr>
        <w:pStyle w:val="00000c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用到的 SQL 能力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  <w:tc>
          <w:tcPr>
            <w:tcW w:w="2768" w:type="dxa"/>
            <w:tcMar/>
            <w:vAlign w:val="center"/>
          </w:tcPr>
          <w:p w14:paraId="000001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用在哪</w:t>
            </w:r>
          </w:p>
        </w:tc>
        <w:tc>
          <w:tcPr>
            <w:tcW w:w="2768" w:type="dxa"/>
            <w:tcMar/>
            <w:vAlign w:val="center"/>
          </w:tcPr>
          <w:p w14:paraId="000001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9">
            <w:r>
              <w:rPr>
                <w:rFonts w:hint="eastAsia"/>
              </w:rPr>
              <w:t>多表 JOIN</w:t>
            </w:r>
          </w:p>
        </w:tc>
        <w:tc>
          <w:tcPr>
            <w:tcW w:w="2768" w:type="dxa"/>
            <w:tcMar/>
            <w:vAlign w:val="center"/>
          </w:tcPr>
          <w:p w14:paraId="0000019A">
            <w:r>
              <w:rPr>
                <w:rFonts w:hint="eastAsia"/>
              </w:rPr>
              <w:t>事实表关联维度取省份/渠道/类目名</w:t>
            </w:r>
          </w:p>
        </w:tc>
        <w:tc>
          <w:tcPr>
            <w:tcW w:w="2768" w:type="dxa"/>
            <w:tcMar/>
            <w:vAlign w:val="center"/>
          </w:tcPr>
          <w:p w14:paraId="0000019B">
            <w:r>
              <w:rPr>
                <w:rFonts w:ascii="Consolas" w:hAnsi="Consolas" w:eastAsia="Consolas" w:cs="Consolas"/>
              </w:rPr>
              <w:t>dwd_order f LEFT JOIN dim_user u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C">
            <w:r>
              <w:rPr>
                <w:rFonts w:ascii="Consolas" w:hAnsi="Consolas" w:eastAsia="Consolas" w:cs="Consolas"/>
              </w:rPr>
              <w:t>GROUP BY</w:t>
            </w:r>
            <w:r>
              <w:rPr>
                <w:rFonts w:hint="eastAsia"/>
              </w:rPr>
              <w:t xml:space="preserve"> 聚合</w:t>
            </w:r>
          </w:p>
        </w:tc>
        <w:tc>
          <w:tcPr>
            <w:tcW w:w="2768" w:type="dxa"/>
            <w:tcMar/>
            <w:vAlign w:val="center"/>
          </w:tcPr>
          <w:p w14:paraId="0000019D">
            <w:r>
              <w:rPr>
                <w:rFonts w:hint="eastAsia"/>
              </w:rPr>
              <w:t>类目/渠道/省份/时段分布</w:t>
            </w:r>
          </w:p>
        </w:tc>
        <w:tc>
          <w:tcPr>
            <w:tcW w:w="2768" w:type="dxa"/>
            <w:tcMar/>
            <w:vAlign w:val="center"/>
          </w:tcPr>
          <w:p w14:paraId="0000019E">
            <w:r>
              <w:rPr>
                <w:rFonts w:ascii="Consolas" w:hAnsi="Consolas" w:eastAsia="Consolas" w:cs="Consolas"/>
              </w:rPr>
              <w:t>GROUP BY province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F">
            <w:r>
              <w:rPr>
                <w:rFonts w:hint="eastAsia"/>
              </w:rPr>
              <w:t xml:space="preserve">窗口函数 </w:t>
            </w:r>
            <w:r>
              <w:rPr>
                <w:rFonts w:ascii="Consolas" w:hAnsi="Consolas" w:eastAsia="Consolas" w:cs="Consolas"/>
              </w:rPr>
              <w:t>SUM() OVER()</w:t>
            </w:r>
          </w:p>
        </w:tc>
        <w:tc>
          <w:tcPr>
            <w:tcW w:w="2768" w:type="dxa"/>
            <w:tcMar/>
            <w:vAlign w:val="center"/>
          </w:tcPr>
          <w:p w14:paraId="000001A0">
            <w:r>
              <w:rPr>
                <w:rFonts w:hint="eastAsia"/>
              </w:rPr>
              <w:t>用户累计消费、占比分母</w:t>
            </w:r>
          </w:p>
        </w:tc>
        <w:tc>
          <w:tcPr>
            <w:tcW w:w="2768" w:type="dxa"/>
            <w:tcMar/>
            <w:vAlign w:val="center"/>
          </w:tcPr>
          <w:p w14:paraId="000001A1">
            <w:r>
              <w:rPr>
                <w:rFonts w:ascii="Consolas" w:hAnsi="Consolas" w:eastAsia="Consolas" w:cs="Consolas"/>
              </w:rPr>
              <w:t>SUM(pay_amount) OVER (PARTITION BY user_id ORDER BY order_date)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2">
            <w:r>
              <w:rPr>
                <w:rFonts w:hint="eastAsia"/>
              </w:rPr>
              <w:t xml:space="preserve">窗口函数 </w:t>
            </w:r>
            <w:r>
              <w:rPr>
                <w:rFonts w:ascii="Consolas" w:hAnsi="Consolas" w:eastAsia="Consolas" w:cs="Consolas"/>
              </w:rPr>
              <w:t>ROW_NUMBER()</w:t>
            </w:r>
          </w:p>
        </w:tc>
        <w:tc>
          <w:tcPr>
            <w:tcW w:w="2768" w:type="dxa"/>
            <w:tcMar/>
            <w:vAlign w:val="center"/>
          </w:tcPr>
          <w:p w14:paraId="000001A3">
            <w:r>
              <w:rPr>
                <w:rFonts w:hint="eastAsia"/>
              </w:rPr>
              <w:t>用户内订单金额排名</w:t>
            </w:r>
          </w:p>
        </w:tc>
        <w:tc>
          <w:tcPr>
            <w:tcW w:w="2768" w:type="dxa"/>
            <w:tcMar/>
            <w:vAlign w:val="center"/>
          </w:tcPr>
          <w:p w14:paraId="000001A4">
            <w:r>
              <w:rPr>
                <w:rFonts w:ascii="Consolas" w:hAnsi="Consolas" w:eastAsia="Consolas" w:cs="Consolas"/>
              </w:rPr>
              <w:t>ROW_NUMBER() OVER (PARTITION BY user_id ORDER BY pay_amount DESC)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5">
            <w:r>
              <w:rPr>
                <w:rFonts w:hint="eastAsia"/>
              </w:rPr>
              <w:t xml:space="preserve">窗口函数 </w:t>
            </w:r>
            <w:r>
              <w:rPr>
                <w:rFonts w:ascii="Consolas" w:hAnsi="Consolas" w:eastAsia="Consolas" w:cs="Consolas"/>
              </w:rPr>
              <w:t>RANK()</w:t>
            </w:r>
          </w:p>
        </w:tc>
        <w:tc>
          <w:tcPr>
            <w:tcW w:w="2768" w:type="dxa"/>
            <w:tcMar/>
            <w:vAlign w:val="center"/>
          </w:tcPr>
          <w:p w14:paraId="000001A6">
            <w:r>
              <w:rPr>
                <w:rFonts w:hint="eastAsia"/>
              </w:rPr>
              <w:t>门店 GMV 排名</w:t>
            </w:r>
          </w:p>
        </w:tc>
        <w:tc>
          <w:tcPr>
            <w:tcW w:w="2768" w:type="dxa"/>
            <w:tcMar/>
            <w:vAlign w:val="center"/>
          </w:tcPr>
          <w:p w14:paraId="000001A7">
            <w:r>
              <w:rPr>
                <w:rFonts w:ascii="Consolas" w:hAnsi="Consolas" w:eastAsia="Consolas" w:cs="Consolas"/>
              </w:rPr>
              <w:t>RANK() OVER (ORDER BY gmv DESC)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8">
            <w:r>
              <w:rPr>
                <w:rFonts w:hint="eastAsia"/>
              </w:rPr>
              <w:t xml:space="preserve">窗口函数 </w:t>
            </w:r>
            <w:r>
              <w:rPr>
                <w:rFonts w:ascii="Consolas" w:hAnsi="Consolas" w:eastAsia="Consolas" w:cs="Consolas"/>
              </w:rPr>
              <w:t>PERCENT_RANK()</w:t>
            </w:r>
          </w:p>
        </w:tc>
        <w:tc>
          <w:tcPr>
            <w:tcW w:w="2768" w:type="dxa"/>
            <w:tcMar/>
            <w:vAlign w:val="center"/>
          </w:tcPr>
          <w:p w14:paraId="000001A9">
            <w:r>
              <w:rPr>
                <w:rFonts w:hint="eastAsia"/>
              </w:rPr>
              <w:t>RFM 分档</w:t>
            </w:r>
          </w:p>
        </w:tc>
        <w:tc>
          <w:tcPr>
            <w:tcW w:w="2768" w:type="dxa"/>
            <w:tcMar/>
            <w:vAlign w:val="center"/>
          </w:tcPr>
          <w:p w14:paraId="000001AA">
            <w:r>
              <w:rPr>
                <w:rFonts w:ascii="Consolas" w:hAnsi="Consolas" w:eastAsia="Consolas" w:cs="Consolas"/>
              </w:rPr>
              <w:t>PERCENT_RANK() OVER (ORDER BY total_gmv)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B">
            <w:r>
              <w:rPr>
                <w:rFonts w:hint="eastAsia"/>
              </w:rPr>
              <w:t xml:space="preserve">窗口函数 </w:t>
            </w:r>
            <w:r>
              <w:rPr>
                <w:rFonts w:ascii="Consolas" w:hAnsi="Consolas" w:eastAsia="Consolas" w:cs="Consolas"/>
              </w:rPr>
              <w:t>LAG()</w:t>
            </w:r>
          </w:p>
        </w:tc>
        <w:tc>
          <w:tcPr>
            <w:tcW w:w="2768" w:type="dxa"/>
            <w:tcMar/>
            <w:vAlign w:val="center"/>
          </w:tcPr>
          <w:p w14:paraId="000001AC">
            <w:r>
              <w:rPr>
                <w:rFonts w:hint="eastAsia"/>
              </w:rPr>
              <w:t>月度 GMV 环比</w:t>
            </w:r>
          </w:p>
        </w:tc>
        <w:tc>
          <w:tcPr>
            <w:tcW w:w="2768" w:type="dxa"/>
            <w:tcMar/>
            <w:vAlign w:val="center"/>
          </w:tcPr>
          <w:p w14:paraId="000001AD">
            <w:r>
              <w:rPr>
                <w:rFonts w:ascii="Consolas" w:hAnsi="Consolas" w:eastAsia="Consolas" w:cs="Consolas"/>
              </w:rPr>
              <w:t>LAG(SUM(pay_amount)) OVER (ORDER BY month)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AE">
            <w:r>
              <w:rPr>
                <w:rFonts w:hint="eastAsia"/>
              </w:rPr>
              <w:t>金额分摊</w:t>
            </w:r>
          </w:p>
        </w:tc>
        <w:tc>
          <w:tcPr>
            <w:tcW w:w="2768" w:type="dxa"/>
            <w:tcMar/>
            <w:vAlign w:val="center"/>
          </w:tcPr>
          <w:p w14:paraId="000001AF">
            <w:r>
              <w:rPr>
                <w:rFonts w:hint="eastAsia"/>
              </w:rPr>
              <w:t>类目 GMV 对账</w:t>
            </w:r>
          </w:p>
        </w:tc>
        <w:tc>
          <w:tcPr>
            <w:tcW w:w="2768" w:type="dxa"/>
            <w:tcMar/>
            <w:vAlign w:val="center"/>
          </w:tcPr>
          <w:p w14:paraId="000001B0">
            <w:r>
              <w:rPr>
                <w:rFonts w:ascii="Consolas" w:hAnsi="Consolas" w:eastAsia="Consolas" w:cs="Consolas"/>
              </w:rPr>
              <w:t>pay_amount * item_amt / order_item_amt</w:t>
            </w:r>
          </w:p>
        </w:tc>
      </w:tr>
    </w:tbl>
    <w:p w14:paraId="000001B1">
      <w:pPr>
        <w:pStyle w:val="00000c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口径约定</w:t>
      </w:r>
    </w:p>
    <w:p w14:paraId="000001B2">
      <w:pPr>
        <w:numPr>
          <w:ilvl w:val="0"/>
          <w:numId w:val="2"/>
        </w:numPr>
      </w:pPr>
      <w:r>
        <w:rPr>
          <w:b w:val="1"/>
        </w:rPr>
        <w:t>GMV</w:t>
      </w:r>
      <w:r>
        <w:t xml:space="preserve"> = </w:t>
      </w:r>
      <w:r>
        <w:rPr>
          <w:rFonts w:ascii="Consolas" w:hAnsi="Consolas" w:eastAsia="Consolas" w:cs="Consolas"/>
        </w:rPr>
        <w:t>SUM(pay_amount)</w:t>
      </w:r>
      <w:r>
        <w:rPr>
          <w:rFonts w:hint="eastAsia"/>
        </w:rPr>
        <w:t>，已剔除负金额与离群值订单，未扣除退款（退款中订单仍在事实表内）；</w:t>
      </w:r>
    </w:p>
    <w:p w14:paraId="000001B3">
      <w:pPr>
        <w:numPr>
          <w:ilvl w:val="0"/>
          <w:numId w:val="2"/>
        </w:numPr>
      </w:pPr>
      <w:r>
        <w:rPr>
          <w:rFonts w:hint="eastAsia"/>
          <w:b w:val="1"/>
        </w:rPr>
        <w:t>订单量</w:t>
      </w:r>
      <w:r>
        <w:t xml:space="preserve"> = </w:t>
      </w:r>
      <w:r>
        <w:rPr>
          <w:rFonts w:ascii="Consolas" w:hAnsi="Consolas" w:eastAsia="Consolas" w:cs="Consolas"/>
        </w:rPr>
        <w:t>COUNT(DISTINCT order_id)</w:t>
      </w:r>
      <w:r>
        <w:rPr>
          <w:rFonts w:hint="eastAsia"/>
        </w:rPr>
        <w:t>，已去重；</w:t>
      </w:r>
    </w:p>
    <w:p w14:paraId="000001B4">
      <w:pPr>
        <w:numPr>
          <w:ilvl w:val="0"/>
          <w:numId w:val="2"/>
        </w:numPr>
      </w:pPr>
      <w:r>
        <w:rPr>
          <w:rFonts w:hint="eastAsia"/>
          <w:b w:val="1"/>
        </w:rPr>
        <w:t>客单价</w:t>
      </w:r>
      <w:r>
        <w:rPr>
          <w:rFonts w:hint="eastAsia"/>
        </w:rPr>
        <w:t xml:space="preserve"> = GMV / 订单量，非「GMV / 用户数」；</w:t>
      </w:r>
    </w:p>
    <w:p w14:paraId="000001B5">
      <w:pPr>
        <w:numPr>
          <w:ilvl w:val="0"/>
          <w:numId w:val="2"/>
        </w:numPr>
      </w:pPr>
      <w:r>
        <w:rPr>
          <w:rFonts w:hint="eastAsia"/>
          <w:b w:val="1"/>
        </w:rPr>
        <w:t>用户数</w:t>
      </w:r>
      <w:r>
        <w:rPr>
          <w:rFonts w:hint="eastAsia"/>
        </w:rPr>
        <w:t xml:space="preserve"> = 事实表中出现过的 </w:t>
      </w:r>
      <w:r>
        <w:rPr>
          <w:rFonts w:ascii="Consolas" w:hAnsi="Consolas" w:eastAsia="Consolas" w:cs="Consolas"/>
        </w:rPr>
        <w:t>user_id</w:t>
      </w:r>
      <w:r>
        <w:rPr>
          <w:rFonts w:hint="eastAsia"/>
        </w:rPr>
        <w:t xml:space="preserve"> 去重数，非注册用户总数；</w:t>
      </w:r>
    </w:p>
    <w:p w14:paraId="000001B6">
      <w:pPr>
        <w:numPr>
          <w:ilvl w:val="0"/>
          <w:numId w:val="2"/>
        </w:numPr>
      </w:pPr>
      <w:r>
        <w:rPr>
          <w:rFonts w:hint="eastAsia"/>
          <w:b w:val="1"/>
        </w:rPr>
        <w:t>类目 GMV</w:t>
      </w:r>
      <w:r>
        <w:rPr>
          <w:rFonts w:hint="eastAsia"/>
        </w:rPr>
        <w:t xml:space="preserve"> = 按订单内明细金额占比分摊后的订单实付金额，合计不等于总 GMV（缺 139 笔无明细订单）。</w:t>
      </w:r>
    </w:p>
    <w:p w14:paraId="000001B7">
      <w:pPr>
        <w:pStyle w:val="00000c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10.3 数据可信度提示</w:t>
      </w:r>
    </w:p>
    <w:p w14:paraId="000001B8">
      <w:r>
        <w:rPr>
          <w:rFonts w:hint="eastAsia"/>
        </w:rPr>
        <w:t>本简报基于课程模拟数据集。以下三项结论呈现「过于规整」的特征，更可能是数据生成方式导致，而非真实业务规律，使用时需谨慎：</w:t>
      </w:r>
    </w:p>
    <w:p w14:paraId="000001B9">
      <w:pPr>
        <w:numPr>
          <w:ilvl w:val="0"/>
          <w:numId w:val="4"/>
        </w:numPr>
      </w:pPr>
      <w:r>
        <w:rPr>
          <w:rFonts w:hint="eastAsia"/>
        </w:rPr>
        <w:t>四渠道 GMV 占比均等（25.46% / 24.99% / 24.93% / 24.63%）；</w:t>
      </w:r>
    </w:p>
    <w:p w14:paraId="000001BA">
      <w:pPr>
        <w:numPr>
          <w:ilvl w:val="0"/>
          <w:numId w:val="4"/>
        </w:numPr>
      </w:pPr>
      <w:r>
        <w:rPr>
          <w:rFonts w:hint="eastAsia"/>
        </w:rPr>
        <w:t>8 个类目 GMV 占比集中在 11% ~ 15%；</w:t>
      </w:r>
    </w:p>
    <w:p w14:paraId="000001BB">
      <w:pPr>
        <w:numPr>
          <w:ilvl w:val="0"/>
          <w:numId w:val="4"/>
        </w:numPr>
      </w:pPr>
      <w:r>
        <w:rPr>
          <w:rFonts w:hint="eastAsia"/>
        </w:rPr>
        <w:t>60 家门店 GMV 极差仅 39%。</w:t>
      </w:r>
    </w:p>
    <w:p w14:paraId="000001BC">
      <w:r>
        <w:rPr>
          <w:rFonts w:hint="eastAsia"/>
        </w:rPr>
        <w:t>分析</w:t>
      </w:r>
      <w:r>
        <w:rPr>
          <w:rFonts w:hint="eastAsia"/>
          <w:b w:val="1"/>
        </w:rPr>
        <w:t>方法</w:t>
      </w:r>
      <w:r>
        <w:rPr>
          <w:rFonts w:hint="eastAsia"/>
        </w:rPr>
        <w:t>（分层、聚合、窗口函数、分摊对账）可直接迁移到真实数据上。</w:t>
      </w:r>
    </w:p>
    <w:p w14:paraId="000001BD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2"/>
  </w:num>
  <w:num w:numId="3">
    <w:abstractNumId w:val="3"/>
  </w:num>
  <w:num w:numId="4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3" w:semiHidden="1" w:unhideWhenUsed="1"/>
    <w:lsdException w:name="index 6" w:semiHidden="1" w:unhideWhenUsed="1"/>
    <w:lsdException w:name="List Number 2" w:semiHidden="1" w:unhideWhenUsed="1"/>
    <w:lsdException w:name="Note Heading" w:semiHidden="1" w:unhideWhenUsed="1"/>
    <w:lsdException w:name="toc 3" w:uiPriority="39" w:semiHidden="1" w:unhideWhenUsed="1"/>
    <w:lsdException w:name="List Bullet 4" w:semiHidden="1" w:unhideWhenUsed="1"/>
    <w:lsdException w:name="envelope return" w:semiHidden="1" w:unhideWhenUsed="1"/>
    <w:lsdException w:name="index heading" w:semiHidden="1" w:unhideWhenUsed="1"/>
    <w:lsdException w:name="index 3" w:semiHidden="1" w:unhideWhenUsed="1"/>
    <w:lsdException w:name="Body Text" w:semiHidden="1" w:unhideWhenUsed="1"/>
    <w:lsdException w:name="toc 7" w:uiPriority="39" w:semiHidden="1" w:unhideWhenUsed="1"/>
    <w:lsdException w:name="annotation text" w:semiHidden="1" w:unhideWhenUsed="1"/>
    <w:lsdException w:name="endnote text" w:semiHidden="1" w:unhideWhenUsed="1"/>
    <w:lsdException w:name="Body Text First Indent 2" w:semiHidden="1" w:unhideWhenUsed="1"/>
    <w:lsdException w:name="List Continue 2" w:semiHidden="1" w:unhideWhenUsed="1"/>
    <w:lsdException w:name="header" w:semiHidden="1" w:unhideWhenUsed="1"/>
    <w:lsdException w:name="Body Text 2" w:semiHidden="1" w:unhideWhenUsed="1"/>
    <w:lsdException w:name="toc 8" w:uiPriority="39" w:semiHidden="1" w:unhideWhenUsed="1"/>
    <w:lsdException w:name="List Continue" w:semiHidden="1" w:unhideWhenUsed="1"/>
    <w:lsdException w:name="caption" w:uiPriority="35" w:semiHidden="1" w:unhideWhenUsed="1" w:qFormat="1"/>
    <w:lsdException w:name="heading 3" w:uiPriority="9" w:semiHidden="1" w:unhideWhenUsed="1" w:qFormat="1"/>
    <w:lsdException w:name="heading 7" w:uiPriority="9" w:semiHidden="1" w:unhideWhenUsed="1" w:qFormat="1"/>
    <w:lsdException w:name="index 7" w:semiHidden="1" w:unhideWhenUsed="1"/>
    <w:lsdException w:name="Hyperlink" w:semiHidden="1" w:unhideWhenUsed="1"/>
    <w:lsdException w:name="List Number 5" w:semiHidden="1" w:unhideWhenUsed="1"/>
    <w:lsdException w:name="heading 8" w:uiPriority="9" w:semiHidden="1" w:unhideWhenUsed="1" w:qFormat="1"/>
    <w:lsdException w:name="footer" w:semiHidden="1" w:unhideWhenUsed="1"/>
    <w:lsdException w:name="List Bullet 5" w:semiHidden="1" w:unhideWhenUsed="1"/>
    <w:lsdException w:name="table of figures" w:semiHidden="1" w:unhideWhenUsed="1"/>
    <w:lsdException w:name="Default Paragraph Font" w:uiPriority="1" w:semiHidden="1" w:unhideWhenUsed="1"/>
    <w:lsdException w:name="page number" w:semiHidden="1" w:unhideWhenUsed="1"/>
    <w:lsdException w:name="Block Text" w:semiHidden="1" w:unhideWhenUsed="1"/>
    <w:lsdException w:name="toc 4" w:uiPriority="39" w:semiHidden="1" w:unhideWhenUsed="1"/>
    <w:lsdException w:name="List 5" w:semiHidden="1" w:unhideWhenUsed="1"/>
    <w:lsdException w:name="index 4" w:semiHidden="1" w:unhideWhenUsed="1"/>
    <w:lsdException w:name="List 4" w:semiHidden="1" w:unhideWhenUsed="1"/>
    <w:lsdException w:name="table of authorities" w:semiHidden="1" w:unhideWhenUsed="1"/>
    <w:lsdException w:name="List Number 4" w:semiHidden="1" w:unhideWhenUsed="1"/>
    <w:lsdException w:name="Normal" w:uiPriority="0" w:qFormat="1"/>
    <w:lsdException w:name="List Number" w:semiHidden="1" w:unhideWhenUsed="1"/>
    <w:lsdException w:name="Signature" w:semiHidden="1" w:unhideWhenUsed="1"/>
    <w:lsdException w:name="List Bullet" w:semiHidden="1" w:unhideWhenUsed="1"/>
    <w:lsdException w:name="toc 9" w:uiPriority="39" w:semiHidden="1" w:unhideWhenUsed="1"/>
    <w:lsdException w:name="List 2" w:semiHidden="1" w:unhideWhenUsed="1"/>
    <w:lsdException w:name="List Continue 5" w:semiHidden="1" w:unhideWhenUsed="1"/>
    <w:lsdException w:name="Date" w:semiHidden="1" w:unhideWhenUsed="1"/>
    <w:lsdException w:name="toc 5" w:uiPriority="39" w:semiHidden="1" w:unhideWhenUsed="1"/>
    <w:lsdException w:name="heading 4" w:uiPriority="9" w:semiHidden="1" w:unhideWhenUsed="1" w:qFormat="1"/>
    <w:lsdException w:name="Title" w:uiPriority="10" w:qFormat="1"/>
    <w:lsdException w:name="index 8" w:semiHidden="1" w:unhideWhenUsed="1"/>
    <w:lsdException w:name="annotation reference" w:semiHidden="1" w:unhideWhenUsed="1"/>
    <w:lsdException w:name="footnote reference" w:semiHidden="1" w:unhideWhenUsed="1"/>
    <w:lsdException w:name="endnote reference" w:semiHidden="1" w:unhideWhenUsed="1"/>
    <w:lsdException w:name="List Continue 4" w:semiHidden="1" w:unhideWhenUsed="1"/>
    <w:lsdException w:name="List Bullet 2" w:semiHidden="1" w:unhideWhenUsed="1"/>
    <w:lsdException w:name="macro" w:semiHidden="1" w:unhideWhenUsed="1"/>
    <w:lsdException w:name="heading 9" w:uiPriority="9" w:semiHidden="1" w:unhideWhenUsed="1" w:qFormat="1"/>
    <w:lsdException w:name="Salutation" w:semiHidden="1" w:unhideWhenUsed="1"/>
    <w:lsdException w:name="index 1" w:semiHidden="1" w:unhideWhenUsed="1"/>
    <w:lsdException w:name="index 5" w:semiHidden="1" w:unhideWhenUsed="1"/>
    <w:lsdException w:name="Strong" w:uiPriority="22" w:qFormat="1"/>
    <w:lsdException w:name="heading 5" w:uiPriority="9" w:semiHidden="1" w:unhideWhenUsed="1" w:qFormat="1"/>
    <w:lsdException w:name="List Number 3" w:semiHidden="1" w:unhideWhenUsed="1"/>
    <w:lsdException w:name="envelope address" w:semiHidden="1" w:unhideWhenUsed="1"/>
    <w:lsdException w:name="toc 1" w:uiPriority="39" w:semiHidden="1" w:unhideWhenUsed="1"/>
    <w:lsdException w:name="Body Text First Indent" w:semiHidden="1" w:unhideWhenUsed="1"/>
    <w:lsdException w:name="List Bullet 3" w:semiHidden="1" w:unhideWhenUsed="1"/>
    <w:lsdException w:name="List" w:semiHidden="1" w:unhideWhenUsed="1"/>
    <w:lsdException w:name="Body Text Indent" w:semiHidden="1" w:unhideWhenUsed="1"/>
    <w:lsdException w:name="List 3" w:semiHidden="1" w:unhideWhenUsed="1"/>
    <w:lsdException w:name="Subtitle" w:uiPriority="11" w:qFormat="1"/>
    <w:lsdException w:name="toc 6" w:uiPriority="39" w:semiHidden="1" w:unhideWhenUsed="1"/>
    <w:lsdException w:name="toc 2" w:uiPriority="39" w:semiHidden="1" w:unhideWhenUsed="1"/>
    <w:lsdException w:name="FollowedHyperlink" w:semiHidden="1" w:unhideWhenUsed="1"/>
    <w:lsdException w:name="Closing" w:semiHidden="1" w:unhideWhenUsed="1"/>
    <w:lsdException w:name="List Continue 3" w:semiHidden="1" w:unhideWhenUsed="1"/>
    <w:lsdException w:name="Normal Indent" w:semiHidden="1" w:unhideWhenUsed="1"/>
    <w:lsdException w:name="index 9" w:semiHidden="1" w:unhideWhenUsed="1"/>
    <w:lsdException w:name="toa heading" w:semiHidden="1" w:unhideWhenUsed="1"/>
    <w:lsdException w:name="heading 1" w:uiPriority="9" w:qFormat="1"/>
    <w:lsdException w:name="line number" w:semiHidden="1" w:unhideWhenUsed="1"/>
    <w:lsdException w:name="Body Text Indent 2" w:semiHidden="1" w:unhideWhenUsed="1"/>
    <w:lsdException w:name="footnote text" w:semiHidden="1" w:unhideWhenUsed="1"/>
    <w:lsdException w:name="Body Text Indent 3" w:semiHidden="1" w:unhideWhenUsed="1"/>
    <w:lsdException w:name="index 2" w:semiHidden="1" w:unhideWhenUsed="1"/>
    <w:lsdException w:name="Message Header" w:semiHidden="1" w:unhideWhenUsed="1"/>
    <w:lsdException w:name="heading 6" w:uiPriority="9" w:semiHidden="1" w:unhideWhenUsed="1" w:qFormat="1"/>
    <w:lsdException w:name="heading 2" w:uiPriority="9" w:semiHidden="1" w:unhideWhenUsed="1" w:qFormat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c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2026-11-02T08:39:05Z</dcterms:created>
  <dcterms:modified xsi:type="dcterms:W3CDTF">2026-11-02T08:39:05Z</dcterms:modified>
</cp:coreProperties>
</file>