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数据质量对比报告</w:t>
      </w:r>
    </w:p>
    <w:p w14:paraId="00000002">
      <w:pPr>
        <w:ind w:left="240"/>
      </w:pPr>
      <w:r>
        <w:rPr>
          <w:rFonts w:hint="eastAsia"/>
        </w:rPr>
        <w:t>仓库源文件：</w:t>
      </w:r>
      <w:r>
        <w:rPr>
          <w:rFonts w:hint="eastAsia" w:ascii="Consolas" w:hAnsi="Consolas" w:eastAsia="Consolas" w:cs="Consolas"/>
        </w:rPr>
        <w:t>docs/数据质量清洗报告.md</w:t>
      </w:r>
      <w:r>
        <w:rPr>
          <w:rFonts w:hint="eastAsia"/>
        </w:rPr>
        <w:t>。按本周提交清单要求，Word 版命名为《数据质量对比报告》。</w:t>
      </w:r>
    </w:p>
    <w:p w14:paraId="00000003">
      <w:pPr>
        <w:ind w:left="240"/>
      </w:pPr>
      <w:r>
        <w:rPr>
          <w:rFonts w:hint="eastAsia"/>
        </w:rPr>
        <w:t>项目：云购生活新零售企业 —— 企业级数据仓库与经营分析可视化系统</w:t>
      </w:r>
    </w:p>
    <w:p w14:paraId="00000004">
      <w:pPr>
        <w:ind w:left="240"/>
      </w:pPr>
      <w:r>
        <w:rPr>
          <w:rFonts w:hint="eastAsia"/>
        </w:rPr>
        <w:t>阶段：第 2 周 · 子任务 4</w:t>
      </w:r>
    </w:p>
    <w:p w14:paraId="00000005">
      <w:pPr>
        <w:ind w:left="240"/>
      </w:pPr>
      <w:r>
        <w:rPr>
          <w:rFonts w:hint="eastAsia"/>
        </w:rPr>
        <w:t>团队：云购生活数据仓库项目组 ｜ 成员：曲欣锋</w:t>
      </w:r>
    </w:p>
    <w:p w14:paraId="00000006">
      <w:pPr>
        <w:ind w:left="240"/>
      </w:pPr>
      <w:r>
        <w:rPr>
          <w:rFonts w:hint="eastAsia"/>
        </w:rPr>
        <w:t>数据源：</w:t>
      </w:r>
      <w:r>
        <w:rPr>
          <w:rFonts w:ascii="Consolas" w:hAnsi="Consolas" w:eastAsia="Consolas" w:cs="Consolas"/>
        </w:rPr>
        <w:t>ydsh_ods</w:t>
      </w:r>
      <w:r>
        <w:rPr>
          <w:rFonts w:hint="eastAsia"/>
        </w:rPr>
        <w:t xml:space="preserve">（清洗前，114,809 行）→ </w:t>
      </w:r>
      <w:r>
        <w:rPr>
          <w:rFonts w:ascii="Consolas" w:hAnsi="Consolas" w:eastAsia="Consolas" w:cs="Consolas"/>
        </w:rPr>
        <w:t>ydsh_dwd</w:t>
      </w:r>
      <w:r>
        <w:rPr>
          <w:rFonts w:hint="eastAsia"/>
        </w:rPr>
        <w:t>（清洗后）</w:t>
      </w:r>
    </w:p>
    <w:p w14:paraId="00000007">
      <w:pPr>
        <w:ind w:left="240"/>
      </w:pPr>
      <w:r>
        <w:rPr>
          <w:rFonts w:hint="eastAsia"/>
        </w:rPr>
        <w:t>取数脚本：</w:t>
      </w:r>
      <w:r>
        <w:rPr>
          <w:rFonts w:ascii="Consolas" w:hAnsi="Consolas" w:eastAsia="Consolas" w:cs="Consolas"/>
        </w:rPr>
        <w:t>sql/clean/23_quality_compare.sql</w:t>
      </w:r>
      <w:r>
        <w:rPr>
          <w:rFonts w:hint="eastAsia"/>
        </w:rPr>
        <w:t xml:space="preserve">，结果表 </w:t>
      </w:r>
      <w:r>
        <w:rPr>
          <w:rFonts w:ascii="Consolas" w:hAnsi="Consolas" w:eastAsia="Consolas" w:cs="Consolas"/>
        </w:rPr>
        <w:t>ydsh_dwd.dq_compare</w:t>
      </w:r>
    </w:p>
    <w:p w14:paraId="00000008">
      <w:pPr>
        <w:pBdr>
          <w:bottom w:val="thick" w:color="040102" w:sz="8"/>
        </w:pBdr>
      </w:pPr>
    </w:p>
    <w:p w14:paraId="00000009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一、结论摘要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Mar/>
            <w:vAlign w:val="center"/>
          </w:tcPr>
          <w:p w14:paraId="0000000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4153" w:type="dxa"/>
            <w:tcMar/>
            <w:vAlign w:val="center"/>
          </w:tcPr>
          <w:p w14:paraId="000000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数值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00C">
            <w:r>
              <w:rPr>
                <w:rFonts w:hint="eastAsia"/>
              </w:rPr>
              <w:t>检出问题总数（清洗前）</w:t>
            </w:r>
          </w:p>
        </w:tc>
        <w:tc>
          <w:tcPr>
            <w:tcW w:w="4153" w:type="dxa"/>
            <w:tcMar/>
            <w:vAlign w:val="center"/>
          </w:tcPr>
          <w:p w14:paraId="0000000D">
            <w:r>
              <w:rPr>
                <w:b w:val="1"/>
              </w:rPr>
              <w:t>70,979</w:t>
            </w:r>
            <w:r>
              <w:rPr>
                <w:rFonts w:hint="eastAsia"/>
              </w:rPr>
              <w:t xml:space="preserve"> 项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00E">
            <w:r>
              <w:rPr>
                <w:rFonts w:hint="eastAsia"/>
              </w:rPr>
              <w:t>残留问题（清洗后）</w:t>
            </w:r>
          </w:p>
        </w:tc>
        <w:tc>
          <w:tcPr>
            <w:tcW w:w="4153" w:type="dxa"/>
            <w:tcMar/>
            <w:vAlign w:val="center"/>
          </w:tcPr>
          <w:p w14:paraId="0000000F">
            <w:r>
              <w:rPr>
                <w:b w:val="1"/>
              </w:rPr>
              <w:t>193</w:t>
            </w:r>
            <w:r>
              <w:rPr>
                <w:rFonts w:hint="eastAsia"/>
              </w:rPr>
              <w:t xml:space="preserve"> 项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010">
            <w:r>
              <w:rPr>
                <w:rFonts w:hint="eastAsia"/>
              </w:rPr>
              <w:t>整体修复率</w:t>
            </w:r>
          </w:p>
        </w:tc>
        <w:tc>
          <w:tcPr>
            <w:tcW w:w="4153" w:type="dxa"/>
            <w:tcMar/>
            <w:vAlign w:val="center"/>
          </w:tcPr>
          <w:p w14:paraId="00000011">
            <w:r>
              <w:rPr>
                <w:b w:val="1"/>
              </w:rPr>
              <w:t>99.73%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012">
            <w:r>
              <w:rPr>
                <w:rFonts w:hint="eastAsia"/>
              </w:rPr>
              <w:t>校验通过的问题类型</w:t>
            </w:r>
          </w:p>
        </w:tc>
        <w:tc>
          <w:tcPr>
            <w:tcW w:w="4153" w:type="dxa"/>
            <w:tcMar/>
            <w:vAlign w:val="center"/>
          </w:tcPr>
          <w:p w14:paraId="00000013">
            <w:r>
              <w:rPr>
                <w:rFonts w:hint="eastAsia"/>
              </w:rPr>
              <w:t xml:space="preserve">22 项中 </w:t>
            </w:r>
            <w:r>
              <w:rPr>
                <w:rFonts w:hint="eastAsia"/>
                <w:b w:val="1"/>
              </w:rPr>
              <w:t>21 项修复率 100%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014">
            <w:r>
              <w:rPr>
                <w:rFonts w:hint="eastAsia"/>
              </w:rPr>
              <w:t>有意保留的问题</w:t>
            </w:r>
          </w:p>
        </w:tc>
        <w:tc>
          <w:tcPr>
            <w:tcW w:w="4153" w:type="dxa"/>
            <w:tcMar/>
            <w:vAlign w:val="center"/>
          </w:tcPr>
          <w:p w14:paraId="00000015">
            <w:r>
              <w:rPr>
                <w:rFonts w:hint="eastAsia"/>
              </w:rPr>
              <w:t>1 项（邮箱空值 193 条，见第五章）</w:t>
            </w:r>
          </w:p>
        </w:tc>
      </w:tr>
    </w:tbl>
    <w:p w14:paraId="00000016">
      <w:r>
        <w:rPr>
          <w:rFonts w:hint="eastAsia"/>
        </w:rPr>
        <w:t>按五类脏数据拆分：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Mar/>
            <w:vAlign w:val="center"/>
          </w:tcPr>
          <w:p w14:paraId="000000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类别</w:t>
            </w:r>
          </w:p>
        </w:tc>
        <w:tc>
          <w:tcPr>
            <w:tcW w:w="2076" w:type="dxa"/>
            <w:tcMar/>
            <w:vAlign w:val="center"/>
          </w:tcPr>
          <w:p w14:paraId="0000001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清洗前</w:t>
            </w:r>
          </w:p>
        </w:tc>
        <w:tc>
          <w:tcPr>
            <w:tcW w:w="2076" w:type="dxa"/>
            <w:tcMar/>
            <w:vAlign w:val="center"/>
          </w:tcPr>
          <w:p w14:paraId="0000001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清洗后</w:t>
            </w:r>
          </w:p>
        </w:tc>
        <w:tc>
          <w:tcPr>
            <w:tcW w:w="2076" w:type="dxa"/>
            <w:tcMar/>
            <w:vAlign w:val="center"/>
          </w:tcPr>
          <w:p w14:paraId="000000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修复率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1B">
            <w:r>
              <w:rPr>
                <w:rFonts w:hint="eastAsia"/>
              </w:rPr>
              <w:t>枚举不规范</w:t>
            </w:r>
          </w:p>
        </w:tc>
        <w:tc>
          <w:tcPr>
            <w:tcW w:w="2076" w:type="dxa"/>
            <w:tcMar/>
            <w:vAlign w:val="center"/>
          </w:tcPr>
          <w:p w14:paraId="0000001C">
            <w:r>
              <w:t>60,422</w:t>
            </w:r>
          </w:p>
        </w:tc>
        <w:tc>
          <w:tcPr>
            <w:tcW w:w="2076" w:type="dxa"/>
            <w:tcMar/>
            <w:vAlign w:val="center"/>
          </w:tcPr>
          <w:p w14:paraId="0000001D">
            <w:r>
              <w:t>0</w:t>
            </w:r>
          </w:p>
        </w:tc>
        <w:tc>
          <w:tcPr>
            <w:tcW w:w="2076" w:type="dxa"/>
            <w:tcMar/>
            <w:vAlign w:val="center"/>
          </w:tcPr>
          <w:p w14:paraId="0000001E">
            <w:r>
              <w:rPr>
                <w:b w:val="1"/>
              </w:rPr>
              <w:t>100.00%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1F">
            <w:r>
              <w:rPr>
                <w:rFonts w:hint="eastAsia"/>
              </w:rPr>
              <w:t>格式不统一</w:t>
            </w:r>
          </w:p>
        </w:tc>
        <w:tc>
          <w:tcPr>
            <w:tcW w:w="2076" w:type="dxa"/>
            <w:tcMar/>
            <w:vAlign w:val="center"/>
          </w:tcPr>
          <w:p w14:paraId="00000020">
            <w:r>
              <w:t>8,217</w:t>
            </w:r>
          </w:p>
        </w:tc>
        <w:tc>
          <w:tcPr>
            <w:tcW w:w="2076" w:type="dxa"/>
            <w:tcMar/>
            <w:vAlign w:val="center"/>
          </w:tcPr>
          <w:p w14:paraId="00000021">
            <w:r>
              <w:t>0</w:t>
            </w:r>
          </w:p>
        </w:tc>
        <w:tc>
          <w:tcPr>
            <w:tcW w:w="2076" w:type="dxa"/>
            <w:tcMar/>
            <w:vAlign w:val="center"/>
          </w:tcPr>
          <w:p w14:paraId="00000022">
            <w:r>
              <w:rPr>
                <w:b w:val="1"/>
              </w:rPr>
              <w:t>100.00%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23">
            <w:r>
              <w:rPr>
                <w:rFonts w:hint="eastAsia"/>
              </w:rPr>
              <w:t>异常值</w:t>
            </w:r>
          </w:p>
        </w:tc>
        <w:tc>
          <w:tcPr>
            <w:tcW w:w="2076" w:type="dxa"/>
            <w:tcMar/>
            <w:vAlign w:val="center"/>
          </w:tcPr>
          <w:p w14:paraId="00000024">
            <w:r>
              <w:t>1,387</w:t>
            </w:r>
          </w:p>
        </w:tc>
        <w:tc>
          <w:tcPr>
            <w:tcW w:w="2076" w:type="dxa"/>
            <w:tcMar/>
            <w:vAlign w:val="center"/>
          </w:tcPr>
          <w:p w14:paraId="00000025">
            <w:r>
              <w:t>0</w:t>
            </w:r>
          </w:p>
        </w:tc>
        <w:tc>
          <w:tcPr>
            <w:tcW w:w="2076" w:type="dxa"/>
            <w:tcMar/>
            <w:vAlign w:val="center"/>
          </w:tcPr>
          <w:p w14:paraId="00000026">
            <w:r>
              <w:rPr>
                <w:b w:val="1"/>
              </w:rPr>
              <w:t>100.00%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27">
            <w:r>
              <w:rPr>
                <w:rFonts w:hint="eastAsia"/>
              </w:rPr>
              <w:t>重复值</w:t>
            </w:r>
          </w:p>
        </w:tc>
        <w:tc>
          <w:tcPr>
            <w:tcW w:w="2076" w:type="dxa"/>
            <w:tcMar/>
            <w:vAlign w:val="center"/>
          </w:tcPr>
          <w:p w14:paraId="00000028">
            <w:r>
              <w:t>600</w:t>
            </w:r>
          </w:p>
        </w:tc>
        <w:tc>
          <w:tcPr>
            <w:tcW w:w="2076" w:type="dxa"/>
            <w:tcMar/>
            <w:vAlign w:val="center"/>
          </w:tcPr>
          <w:p w14:paraId="00000029">
            <w:r>
              <w:t>0</w:t>
            </w:r>
          </w:p>
        </w:tc>
        <w:tc>
          <w:tcPr>
            <w:tcW w:w="2076" w:type="dxa"/>
            <w:tcMar/>
            <w:vAlign w:val="center"/>
          </w:tcPr>
          <w:p w14:paraId="0000002A">
            <w:r>
              <w:rPr>
                <w:b w:val="1"/>
              </w:rPr>
              <w:t>100.00%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2B">
            <w:r>
              <w:rPr>
                <w:rFonts w:hint="eastAsia"/>
              </w:rPr>
              <w:t>缺失值</w:t>
            </w:r>
          </w:p>
        </w:tc>
        <w:tc>
          <w:tcPr>
            <w:tcW w:w="2076" w:type="dxa"/>
            <w:tcMar/>
            <w:vAlign w:val="center"/>
          </w:tcPr>
          <w:p w14:paraId="0000002C">
            <w:r>
              <w:t>353</w:t>
            </w:r>
          </w:p>
        </w:tc>
        <w:tc>
          <w:tcPr>
            <w:tcW w:w="2076" w:type="dxa"/>
            <w:tcMar/>
            <w:vAlign w:val="center"/>
          </w:tcPr>
          <w:p w14:paraId="0000002D">
            <w:r>
              <w:t>193</w:t>
            </w:r>
          </w:p>
        </w:tc>
        <w:tc>
          <w:tcPr>
            <w:tcW w:w="2076" w:type="dxa"/>
            <w:tcMar/>
            <w:vAlign w:val="center"/>
          </w:tcPr>
          <w:p w14:paraId="0000002E">
            <w:r>
              <w:t>45.33%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2F">
            <w:r>
              <w:rPr>
                <w:rFonts w:hint="eastAsia"/>
                <w:b w:val="1"/>
              </w:rPr>
              <w:t>合计</w:t>
            </w:r>
          </w:p>
        </w:tc>
        <w:tc>
          <w:tcPr>
            <w:tcW w:w="2076" w:type="dxa"/>
            <w:tcMar/>
            <w:vAlign w:val="center"/>
          </w:tcPr>
          <w:p w14:paraId="00000030">
            <w:r>
              <w:rPr>
                <w:b w:val="1"/>
              </w:rPr>
              <w:t>70,979</w:t>
            </w:r>
          </w:p>
        </w:tc>
        <w:tc>
          <w:tcPr>
            <w:tcW w:w="2076" w:type="dxa"/>
            <w:tcMar/>
            <w:vAlign w:val="center"/>
          </w:tcPr>
          <w:p w14:paraId="00000031">
            <w:r>
              <w:rPr>
                <w:b w:val="1"/>
              </w:rPr>
              <w:t>193</w:t>
            </w:r>
          </w:p>
        </w:tc>
        <w:tc>
          <w:tcPr>
            <w:tcW w:w="2076" w:type="dxa"/>
            <w:tcMar/>
            <w:vAlign w:val="center"/>
          </w:tcPr>
          <w:p w14:paraId="00000032">
            <w:r>
              <w:rPr>
                <w:b w:val="1"/>
              </w:rPr>
              <w:t>99.73%</w:t>
            </w:r>
          </w:p>
        </w:tc>
      </w:tr>
    </w:tbl>
    <w:p w14:paraId="00000033">
      <w:r>
        <w:rPr>
          <w:rFonts w:hint="eastAsia"/>
        </w:rPr>
        <w:t>缺失值修复率偏低不是清洗失败，而是</w:t>
      </w:r>
      <w:r>
        <w:rPr>
          <w:rFonts w:hint="eastAsia"/>
          <w:b w:val="1"/>
        </w:rPr>
        <w:t>策略选择</w:t>
      </w:r>
      <w:r>
        <w:rPr>
          <w:rFonts w:hint="eastAsia"/>
        </w:rPr>
        <w:t>：邮箱属于弱依赖字段，缺失时选择「保留空值 + 打标记位」而不是编造数据，这 193 条是有意留下的，详见第五章。</w:t>
      </w:r>
    </w:p>
    <w:p w14:paraId="00000034">
      <w:pPr>
        <w:pBdr>
          <w:bottom w:val="thick" w:color="040102" w:sz="8"/>
        </w:pBdr>
      </w:pPr>
    </w:p>
    <w:p w14:paraId="00000035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二、问题清单与处理策略</w:t>
      </w:r>
    </w:p>
    <w:p w14:paraId="00000036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枚举不规范（修复 60,422 项）</w:t>
      </w:r>
    </w:p>
    <w:p w14:paraId="00000037">
      <w:r>
        <w:rPr>
          <w:rFonts w:hint="eastAsia"/>
        </w:rPr>
        <w:t>原始数据的枚举字段普遍存在「中英文混用 + 大小写混用 + 短名称」三重问题。处理方式是建立白名单映射，未命中走兜底值，保证新增脏值不会静默穿透。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Mar/>
            <w:vAlign w:val="center"/>
          </w:tcPr>
          <w:p w14:paraId="000000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检查项</w:t>
            </w:r>
          </w:p>
        </w:tc>
        <w:tc>
          <w:tcPr>
            <w:tcW w:w="1384" w:type="dxa"/>
            <w:tcMar/>
            <w:vAlign w:val="center"/>
          </w:tcPr>
          <w:p w14:paraId="0000003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清洗前</w:t>
            </w:r>
          </w:p>
        </w:tc>
        <w:tc>
          <w:tcPr>
            <w:tcW w:w="1384" w:type="dxa"/>
            <w:tcMar/>
            <w:vAlign w:val="center"/>
          </w:tcPr>
          <w:p w14:paraId="0000003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清洗后</w:t>
            </w:r>
          </w:p>
        </w:tc>
        <w:tc>
          <w:tcPr>
            <w:tcW w:w="1384" w:type="dxa"/>
            <w:tcMar/>
            <w:vAlign w:val="center"/>
          </w:tcPr>
          <w:p w14:paraId="0000003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修复率</w:t>
            </w:r>
          </w:p>
        </w:tc>
        <w:tc>
          <w:tcPr>
            <w:tcW w:w="1384" w:type="dxa"/>
            <w:tcMar/>
            <w:vAlign w:val="center"/>
          </w:tcPr>
          <w:p w14:paraId="0000003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规范值域</w:t>
            </w:r>
          </w:p>
        </w:tc>
        <w:tc>
          <w:tcPr>
            <w:tcW w:w="1384" w:type="dxa"/>
            <w:tcMar/>
            <w:vAlign w:val="center"/>
          </w:tcPr>
          <w:p w14:paraId="0000003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处理策略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3E">
            <w:r>
              <w:rPr>
                <w:rFonts w:ascii="Consolas" w:hAnsi="Consolas" w:eastAsia="Consolas" w:cs="Consolas"/>
              </w:rPr>
              <w:t>behavior_type</w:t>
            </w:r>
            <w:r>
              <w:rPr>
                <w:rFonts w:hint="eastAsia"/>
              </w:rPr>
              <w:t xml:space="preserve"> 非规范取值</w:t>
            </w:r>
          </w:p>
        </w:tc>
        <w:tc>
          <w:tcPr>
            <w:tcW w:w="1384" w:type="dxa"/>
            <w:tcMar/>
            <w:vAlign w:val="center"/>
          </w:tcPr>
          <w:p w14:paraId="0000003F">
            <w:r>
              <w:t>57,551</w:t>
            </w:r>
          </w:p>
        </w:tc>
        <w:tc>
          <w:tcPr>
            <w:tcW w:w="1384" w:type="dxa"/>
            <w:tcMar/>
            <w:vAlign w:val="center"/>
          </w:tcPr>
          <w:p w14:paraId="00000040">
            <w:r>
              <w:t>0</w:t>
            </w:r>
          </w:p>
        </w:tc>
        <w:tc>
          <w:tcPr>
            <w:tcW w:w="1384" w:type="dxa"/>
            <w:tcMar/>
            <w:vAlign w:val="center"/>
          </w:tcPr>
          <w:p w14:paraId="00000041">
            <w:r>
              <w:t>100%</w:t>
            </w:r>
          </w:p>
        </w:tc>
        <w:tc>
          <w:tcPr>
            <w:tcW w:w="1384" w:type="dxa"/>
            <w:tcMar/>
            <w:vAlign w:val="center"/>
          </w:tcPr>
          <w:p w14:paraId="00000042">
            <w:r>
              <w:rPr>
                <w:rFonts w:hint="eastAsia"/>
              </w:rPr>
              <w:t>浏览/加购/收藏/购买</w:t>
            </w:r>
          </w:p>
        </w:tc>
        <w:tc>
          <w:tcPr>
            <w:tcW w:w="1384" w:type="dxa"/>
            <w:tcMar/>
            <w:vAlign w:val="center"/>
          </w:tcPr>
          <w:p w14:paraId="00000043">
            <w:r>
              <w:rPr>
                <w:rFonts w:hint="eastAsia" w:ascii="Consolas" w:hAnsi="Consolas" w:eastAsia="Consolas" w:cs="Consolas"/>
              </w:rPr>
              <w:t>pv/PV/浏览</w:t>
            </w:r>
            <w:r>
              <w:rPr>
                <w:rFonts w:hint="eastAsia"/>
              </w:rPr>
              <w:t>→浏览；</w:t>
            </w:r>
            <w:r>
              <w:rPr>
                <w:rFonts w:hint="eastAsia" w:ascii="Consolas" w:hAnsi="Consolas" w:eastAsia="Consolas" w:cs="Consolas"/>
              </w:rPr>
              <w:t>cart/Cart/加购</w:t>
            </w:r>
            <w:r>
              <w:rPr>
                <w:rFonts w:hint="eastAsia"/>
              </w:rPr>
              <w:t>→加购；</w:t>
            </w:r>
            <w:r>
              <w:rPr>
                <w:rFonts w:hint="eastAsia" w:ascii="Consolas" w:hAnsi="Consolas" w:eastAsia="Consolas" w:cs="Consolas"/>
              </w:rPr>
              <w:t>fav/收藏</w:t>
            </w:r>
            <w:r>
              <w:rPr>
                <w:rFonts w:hint="eastAsia"/>
              </w:rPr>
              <w:t>→收藏；</w:t>
            </w:r>
            <w:r>
              <w:rPr>
                <w:rFonts w:hint="eastAsia" w:ascii="Consolas" w:hAnsi="Consolas" w:eastAsia="Consolas" w:cs="Consolas"/>
              </w:rPr>
              <w:t>buy/购买</w:t>
            </w:r>
            <w:r>
              <w:rPr>
                <w:rFonts w:hint="eastAsia"/>
              </w:rPr>
              <w:t>→购买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44">
            <w:r>
              <w:rPr>
                <w:rFonts w:ascii="Consolas" w:hAnsi="Consolas" w:eastAsia="Consolas" w:cs="Consolas"/>
              </w:rPr>
              <w:t>order_status</w:t>
            </w:r>
            <w:r>
              <w:rPr>
                <w:rFonts w:hint="eastAsia"/>
              </w:rPr>
              <w:t xml:space="preserve"> 非规范取值</w:t>
            </w:r>
          </w:p>
        </w:tc>
        <w:tc>
          <w:tcPr>
            <w:tcW w:w="1384" w:type="dxa"/>
            <w:tcMar/>
            <w:vAlign w:val="center"/>
          </w:tcPr>
          <w:p w14:paraId="00000045">
            <w:r>
              <w:t>1,375</w:t>
            </w:r>
          </w:p>
        </w:tc>
        <w:tc>
          <w:tcPr>
            <w:tcW w:w="1384" w:type="dxa"/>
            <w:tcMar/>
            <w:vAlign w:val="center"/>
          </w:tcPr>
          <w:p w14:paraId="00000046">
            <w:r>
              <w:t>0</w:t>
            </w:r>
          </w:p>
        </w:tc>
        <w:tc>
          <w:tcPr>
            <w:tcW w:w="1384" w:type="dxa"/>
            <w:tcMar/>
            <w:vAlign w:val="center"/>
          </w:tcPr>
          <w:p w14:paraId="00000047">
            <w:r>
              <w:t>100%</w:t>
            </w:r>
          </w:p>
        </w:tc>
        <w:tc>
          <w:tcPr>
            <w:tcW w:w="1384" w:type="dxa"/>
            <w:tcMar/>
            <w:vAlign w:val="center"/>
          </w:tcPr>
          <w:p w14:paraId="00000048">
            <w:r>
              <w:rPr>
                <w:rFonts w:hint="eastAsia"/>
              </w:rPr>
              <w:t>待支付/已支付/已完成/已取消/退款中</w:t>
            </w:r>
          </w:p>
        </w:tc>
        <w:tc>
          <w:tcPr>
            <w:tcW w:w="1384" w:type="dxa"/>
            <w:tcMar/>
            <w:vAlign w:val="center"/>
          </w:tcPr>
          <w:p w14:paraId="00000049">
            <w:r>
              <w:rPr>
                <w:rFonts w:hint="eastAsia"/>
              </w:rPr>
              <w:t xml:space="preserve">数字编码 </w:t>
            </w:r>
            <w:r>
              <w:rPr>
                <w:rFonts w:ascii="Consolas" w:hAnsi="Consolas" w:eastAsia="Consolas" w:cs="Consolas"/>
              </w:rPr>
              <w:t>1/2/3/4</w:t>
            </w:r>
            <w:r>
              <w:rPr>
                <w:rFonts w:hint="eastAsia"/>
              </w:rPr>
              <w:t xml:space="preserve"> 按状态流转顺序映射；</w:t>
            </w:r>
            <w:r>
              <w:rPr>
                <w:rFonts w:hint="eastAsia" w:ascii="Consolas" w:hAnsi="Consolas" w:eastAsia="Consolas" w:cs="Consolas"/>
              </w:rPr>
              <w:t>完成</w:t>
            </w:r>
            <w:r>
              <w:rPr>
                <w:rFonts w:hint="eastAsia"/>
              </w:rPr>
              <w:t>→已完成、</w:t>
            </w:r>
            <w:r>
              <w:rPr>
                <w:rFonts w:hint="eastAsia" w:ascii="Consolas" w:hAnsi="Consolas" w:eastAsia="Consolas" w:cs="Consolas"/>
              </w:rPr>
              <w:t>已付款</w:t>
            </w:r>
            <w:r>
              <w:rPr>
                <w:rFonts w:hint="eastAsia"/>
              </w:rPr>
              <w:t>→已支付、</w:t>
            </w:r>
            <w:r>
              <w:rPr>
                <w:rFonts w:ascii="Consolas" w:hAnsi="Consolas" w:eastAsia="Consolas" w:cs="Consolas"/>
              </w:rPr>
              <w:t>cancelled</w:t>
            </w:r>
            <w:r>
              <w:rPr>
                <w:rFonts w:hint="eastAsia"/>
              </w:rPr>
              <w:t>→已取消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4A">
            <w:r>
              <w:rPr>
                <w:rFonts w:ascii="Consolas" w:hAnsi="Consolas" w:eastAsia="Consolas" w:cs="Consolas"/>
              </w:rPr>
              <w:t>pay_type</w:t>
            </w:r>
            <w:r>
              <w:rPr>
                <w:rFonts w:hint="eastAsia"/>
              </w:rPr>
              <w:t xml:space="preserve"> 非规范取值</w:t>
            </w:r>
          </w:p>
        </w:tc>
        <w:tc>
          <w:tcPr>
            <w:tcW w:w="1384" w:type="dxa"/>
            <w:tcMar/>
            <w:vAlign w:val="center"/>
          </w:tcPr>
          <w:p w14:paraId="0000004B">
            <w:r>
              <w:t>651</w:t>
            </w:r>
          </w:p>
        </w:tc>
        <w:tc>
          <w:tcPr>
            <w:tcW w:w="1384" w:type="dxa"/>
            <w:tcMar/>
            <w:vAlign w:val="center"/>
          </w:tcPr>
          <w:p w14:paraId="0000004C">
            <w:r>
              <w:t>0</w:t>
            </w:r>
          </w:p>
        </w:tc>
        <w:tc>
          <w:tcPr>
            <w:tcW w:w="1384" w:type="dxa"/>
            <w:tcMar/>
            <w:vAlign w:val="center"/>
          </w:tcPr>
          <w:p w14:paraId="0000004D">
            <w:r>
              <w:t>100%</w:t>
            </w:r>
          </w:p>
        </w:tc>
        <w:tc>
          <w:tcPr>
            <w:tcW w:w="1384" w:type="dxa"/>
            <w:tcMar/>
            <w:vAlign w:val="center"/>
          </w:tcPr>
          <w:p w14:paraId="0000004E">
            <w:r>
              <w:rPr>
                <w:rFonts w:hint="eastAsia"/>
              </w:rPr>
              <w:t>微信支付/支付宝/银行卡/货到付款</w:t>
            </w:r>
          </w:p>
        </w:tc>
        <w:tc>
          <w:tcPr>
            <w:tcW w:w="1384" w:type="dxa"/>
            <w:tcMar/>
            <w:vAlign w:val="center"/>
          </w:tcPr>
          <w:p w14:paraId="0000004F">
            <w:r>
              <w:rPr>
                <w:rFonts w:hint="eastAsia" w:ascii="Consolas" w:hAnsi="Consolas" w:eastAsia="Consolas" w:cs="Consolas"/>
              </w:rPr>
              <w:t>wechat/微信</w:t>
            </w:r>
            <w:r>
              <w:rPr>
                <w:rFonts w:hint="eastAsia"/>
              </w:rPr>
              <w:t>→微信支付；</w:t>
            </w:r>
            <w:r>
              <w:rPr>
                <w:rFonts w:ascii="Consolas" w:hAnsi="Consolas" w:eastAsia="Consolas" w:cs="Consolas"/>
              </w:rPr>
              <w:t>alipay</w:t>
            </w:r>
            <w:r>
              <w:rPr>
                <w:rFonts w:hint="eastAsia"/>
              </w:rPr>
              <w:t>→支付宝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50">
            <w:r>
              <w:rPr>
                <w:rFonts w:ascii="Consolas" w:hAnsi="Consolas" w:eastAsia="Consolas" w:cs="Consolas"/>
              </w:rPr>
              <w:t>gender</w:t>
            </w:r>
            <w:r>
              <w:rPr>
                <w:rFonts w:hint="eastAsia"/>
              </w:rPr>
              <w:t xml:space="preserve"> 非规范取值</w:t>
            </w:r>
          </w:p>
        </w:tc>
        <w:tc>
          <w:tcPr>
            <w:tcW w:w="1384" w:type="dxa"/>
            <w:tcMar/>
            <w:vAlign w:val="center"/>
          </w:tcPr>
          <w:p w14:paraId="00000051">
            <w:r>
              <w:t>414</w:t>
            </w:r>
          </w:p>
        </w:tc>
        <w:tc>
          <w:tcPr>
            <w:tcW w:w="1384" w:type="dxa"/>
            <w:tcMar/>
            <w:vAlign w:val="center"/>
          </w:tcPr>
          <w:p w14:paraId="00000052">
            <w:r>
              <w:t>0</w:t>
            </w:r>
          </w:p>
        </w:tc>
        <w:tc>
          <w:tcPr>
            <w:tcW w:w="1384" w:type="dxa"/>
            <w:tcMar/>
            <w:vAlign w:val="center"/>
          </w:tcPr>
          <w:p w14:paraId="00000053">
            <w:r>
              <w:t>100%</w:t>
            </w:r>
          </w:p>
        </w:tc>
        <w:tc>
          <w:tcPr>
            <w:tcW w:w="1384" w:type="dxa"/>
            <w:tcMar/>
            <w:vAlign w:val="center"/>
          </w:tcPr>
          <w:p w14:paraId="00000054">
            <w:r>
              <w:rPr>
                <w:rFonts w:hint="eastAsia"/>
              </w:rPr>
              <w:t>男/女/未知</w:t>
            </w:r>
          </w:p>
        </w:tc>
        <w:tc>
          <w:tcPr>
            <w:tcW w:w="1384" w:type="dxa"/>
            <w:tcMar/>
            <w:vAlign w:val="center"/>
          </w:tcPr>
          <w:p w14:paraId="00000055">
            <w:r>
              <w:rPr>
                <w:rFonts w:ascii="Consolas" w:hAnsi="Consolas" w:eastAsia="Consolas" w:cs="Consolas"/>
              </w:rPr>
              <w:t>M/male</w:t>
            </w:r>
            <w:r>
              <w:rPr>
                <w:rFonts w:hint="eastAsia"/>
              </w:rPr>
              <w:t>→男；</w:t>
            </w:r>
            <w:r>
              <w:rPr>
                <w:rFonts w:ascii="Consolas" w:hAnsi="Consolas" w:eastAsia="Consolas" w:cs="Consolas"/>
              </w:rPr>
              <w:t>F/female</w:t>
            </w:r>
            <w:r>
              <w:rPr>
                <w:rFonts w:hint="eastAsia"/>
              </w:rPr>
              <w:t>→女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56">
            <w:r>
              <w:rPr>
                <w:rFonts w:ascii="Consolas" w:hAnsi="Consolas" w:eastAsia="Consolas" w:cs="Consolas"/>
              </w:rPr>
              <w:t>channel</w:t>
            </w:r>
            <w:r>
              <w:rPr>
                <w:rFonts w:hint="eastAsia"/>
              </w:rPr>
              <w:t xml:space="preserve"> 非规范取值</w:t>
            </w:r>
          </w:p>
        </w:tc>
        <w:tc>
          <w:tcPr>
            <w:tcW w:w="1384" w:type="dxa"/>
            <w:tcMar/>
            <w:vAlign w:val="center"/>
          </w:tcPr>
          <w:p w14:paraId="00000057">
            <w:r>
              <w:t>310</w:t>
            </w:r>
          </w:p>
        </w:tc>
        <w:tc>
          <w:tcPr>
            <w:tcW w:w="1384" w:type="dxa"/>
            <w:tcMar/>
            <w:vAlign w:val="center"/>
          </w:tcPr>
          <w:p w14:paraId="00000058">
            <w:r>
              <w:t>0</w:t>
            </w:r>
          </w:p>
        </w:tc>
        <w:tc>
          <w:tcPr>
            <w:tcW w:w="1384" w:type="dxa"/>
            <w:tcMar/>
            <w:vAlign w:val="center"/>
          </w:tcPr>
          <w:p w14:paraId="00000059">
            <w:r>
              <w:t>100%</w:t>
            </w:r>
          </w:p>
        </w:tc>
        <w:tc>
          <w:tcPr>
            <w:tcW w:w="1384" w:type="dxa"/>
            <w:tcMar/>
            <w:vAlign w:val="center"/>
          </w:tcPr>
          <w:p w14:paraId="0000005A">
            <w:r>
              <w:rPr>
                <w:rFonts w:hint="eastAsia"/>
              </w:rPr>
              <w:t>门店/APP/小程序/PC官网</w:t>
            </w:r>
          </w:p>
        </w:tc>
        <w:tc>
          <w:tcPr>
            <w:tcW w:w="1384" w:type="dxa"/>
            <w:tcMar/>
            <w:vAlign w:val="center"/>
          </w:tcPr>
          <w:p w14:paraId="0000005B">
            <w:r>
              <w:rPr>
                <w:rFonts w:hint="eastAsia"/>
              </w:rPr>
              <w:t xml:space="preserve">大小写变体 </w:t>
            </w:r>
            <w:r>
              <w:rPr>
                <w:rFonts w:ascii="Consolas" w:hAnsi="Consolas" w:eastAsia="Consolas" w:cs="Consolas"/>
              </w:rPr>
              <w:t>app</w:t>
            </w:r>
            <w:r>
              <w:rPr>
                <w:rFonts w:hint="eastAsia"/>
              </w:rPr>
              <w:t>→APP、</w:t>
            </w:r>
            <w:r>
              <w:rPr>
                <w:rFonts w:ascii="Consolas" w:hAnsi="Consolas" w:eastAsia="Consolas" w:cs="Consolas"/>
              </w:rPr>
              <w:t>pc</w:t>
            </w:r>
            <w:r>
              <w:rPr>
                <w:rFonts w:hint="eastAsia"/>
              </w:rPr>
              <w:t>→PC官网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5C">
            <w:r>
              <w:rPr>
                <w:rFonts w:ascii="Consolas" w:hAnsi="Consolas" w:eastAsia="Consolas" w:cs="Consolas"/>
              </w:rPr>
              <w:t>member_level</w:t>
            </w:r>
            <w:r>
              <w:rPr>
                <w:rFonts w:hint="eastAsia"/>
              </w:rPr>
              <w:t xml:space="preserve"> 非规范取值</w:t>
            </w:r>
          </w:p>
        </w:tc>
        <w:tc>
          <w:tcPr>
            <w:tcW w:w="1384" w:type="dxa"/>
            <w:tcMar/>
            <w:vAlign w:val="center"/>
          </w:tcPr>
          <w:p w14:paraId="0000005D">
            <w:r>
              <w:t>94</w:t>
            </w:r>
          </w:p>
        </w:tc>
        <w:tc>
          <w:tcPr>
            <w:tcW w:w="1384" w:type="dxa"/>
            <w:tcMar/>
            <w:vAlign w:val="center"/>
          </w:tcPr>
          <w:p w14:paraId="0000005E">
            <w:r>
              <w:t>0</w:t>
            </w:r>
          </w:p>
        </w:tc>
        <w:tc>
          <w:tcPr>
            <w:tcW w:w="1384" w:type="dxa"/>
            <w:tcMar/>
            <w:vAlign w:val="center"/>
          </w:tcPr>
          <w:p w14:paraId="0000005F">
            <w:r>
              <w:t>100%</w:t>
            </w:r>
          </w:p>
        </w:tc>
        <w:tc>
          <w:tcPr>
            <w:tcW w:w="1384" w:type="dxa"/>
            <w:tcMar/>
            <w:vAlign w:val="center"/>
          </w:tcPr>
          <w:p w14:paraId="00000060">
            <w:r>
              <w:rPr>
                <w:rFonts w:hint="eastAsia"/>
              </w:rPr>
              <w:t>普通会员/银卡会员/金卡会员/钻石会员</w:t>
            </w:r>
          </w:p>
        </w:tc>
        <w:tc>
          <w:tcPr>
            <w:tcW w:w="1384" w:type="dxa"/>
            <w:tcMar/>
            <w:vAlign w:val="center"/>
          </w:tcPr>
          <w:p w14:paraId="00000061">
            <w:r>
              <w:rPr>
                <w:rFonts w:ascii="Consolas" w:hAnsi="Consolas" w:eastAsia="Consolas" w:cs="Consolas"/>
              </w:rPr>
              <w:t>gold</w:t>
            </w:r>
            <w:r>
              <w:rPr>
                <w:rFonts w:hint="eastAsia"/>
              </w:rPr>
              <w:t>→金卡会员、</w:t>
            </w:r>
            <w:r>
              <w:rPr>
                <w:rFonts w:ascii="Consolas" w:hAnsi="Consolas" w:eastAsia="Consolas" w:cs="Consolas"/>
              </w:rPr>
              <w:t>silver</w:t>
            </w:r>
            <w:r>
              <w:rPr>
                <w:rFonts w:hint="eastAsia"/>
              </w:rPr>
              <w:t xml:space="preserve">→银卡会员；短名 </w:t>
            </w:r>
            <w:r>
              <w:rPr>
                <w:rFonts w:hint="eastAsia" w:ascii="Consolas" w:hAnsi="Consolas" w:eastAsia="Consolas" w:cs="Consolas"/>
              </w:rPr>
              <w:t>金卡</w:t>
            </w:r>
            <w:r>
              <w:rPr>
                <w:rFonts w:hint="eastAsia"/>
              </w:rPr>
              <w:t>→金卡会员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62">
            <w:r>
              <w:rPr>
                <w:rFonts w:ascii="Consolas" w:hAnsi="Consolas" w:eastAsia="Consolas" w:cs="Consolas"/>
              </w:rPr>
              <w:t>category</w:t>
            </w:r>
            <w:r>
              <w:rPr>
                <w:rFonts w:hint="eastAsia"/>
              </w:rPr>
              <w:t xml:space="preserve"> 含首尾空格</w:t>
            </w:r>
          </w:p>
        </w:tc>
        <w:tc>
          <w:tcPr>
            <w:tcW w:w="1384" w:type="dxa"/>
            <w:tcMar/>
            <w:vAlign w:val="center"/>
          </w:tcPr>
          <w:p w14:paraId="00000063">
            <w:r>
              <w:t>27</w:t>
            </w:r>
          </w:p>
        </w:tc>
        <w:tc>
          <w:tcPr>
            <w:tcW w:w="1384" w:type="dxa"/>
            <w:tcMar/>
            <w:vAlign w:val="center"/>
          </w:tcPr>
          <w:p w14:paraId="00000064">
            <w:r>
              <w:t>0</w:t>
            </w:r>
          </w:p>
        </w:tc>
        <w:tc>
          <w:tcPr>
            <w:tcW w:w="1384" w:type="dxa"/>
            <w:tcMar/>
            <w:vAlign w:val="center"/>
          </w:tcPr>
          <w:p w14:paraId="00000065">
            <w:r>
              <w:t>100%</w:t>
            </w:r>
          </w:p>
        </w:tc>
        <w:tc>
          <w:tcPr>
            <w:tcW w:w="1384" w:type="dxa"/>
            <w:tcMar/>
            <w:vAlign w:val="center"/>
          </w:tcPr>
          <w:p w14:paraId="00000066">
            <w:r>
              <w:rPr>
                <w:rFonts w:hint="eastAsia"/>
              </w:rPr>
              <w:t>8 个规范类目</w:t>
            </w:r>
          </w:p>
        </w:tc>
        <w:tc>
          <w:tcPr>
            <w:tcW w:w="1384" w:type="dxa"/>
            <w:tcMar/>
            <w:vAlign w:val="center"/>
          </w:tcPr>
          <w:p w14:paraId="00000067">
            <w:r>
              <w:rPr>
                <w:rFonts w:ascii="Consolas" w:hAnsi="Consolas" w:eastAsia="Consolas" w:cs="Consolas"/>
              </w:rPr>
              <w:t>TRIM</w:t>
            </w:r>
            <w:r>
              <w:rPr>
                <w:rFonts w:hint="eastAsia"/>
              </w:rPr>
              <w:t xml:space="preserve"> 去除尾随空格，16 种取值收敛为 8 种</w:t>
            </w:r>
          </w:p>
        </w:tc>
      </w:tr>
    </w:tbl>
    <w:p w14:paraId="00000068">
      <w:r>
        <w:rPr>
          <w:rFonts w:hint="eastAsia"/>
          <w:b w:val="1"/>
        </w:rPr>
        <w:t>收敛结果</w:t>
      </w:r>
      <w:r>
        <w:rPr>
          <w:rFonts w:hint="eastAsia"/>
        </w:rPr>
        <w:t>：</w:t>
      </w:r>
      <w:r>
        <w:rPr>
          <w:rFonts w:ascii="Consolas" w:hAnsi="Consolas" w:eastAsia="Consolas" w:cs="Consolas"/>
        </w:rPr>
        <w:t>gender</w:t>
      </w:r>
      <w:r>
        <w:rPr>
          <w:rFonts w:hint="eastAsia"/>
        </w:rPr>
        <w:t xml:space="preserve"> 8→3、</w:t>
      </w:r>
      <w:r>
        <w:rPr>
          <w:rFonts w:ascii="Consolas" w:hAnsi="Consolas" w:eastAsia="Consolas" w:cs="Consolas"/>
        </w:rPr>
        <w:t>member_level</w:t>
      </w:r>
      <w:r>
        <w:rPr>
          <w:rFonts w:hint="eastAsia"/>
        </w:rPr>
        <w:t xml:space="preserve"> 12→4、</w:t>
      </w:r>
      <w:r>
        <w:rPr>
          <w:rFonts w:ascii="Consolas" w:hAnsi="Consolas" w:eastAsia="Consolas" w:cs="Consolas"/>
        </w:rPr>
        <w:t>order_status</w:t>
      </w:r>
      <w:r>
        <w:rPr>
          <w:rFonts w:hint="eastAsia"/>
        </w:rPr>
        <w:t xml:space="preserve"> 12→5、</w:t>
      </w:r>
      <w:r>
        <w:rPr>
          <w:rFonts w:ascii="Consolas" w:hAnsi="Consolas" w:eastAsia="Consolas" w:cs="Consolas"/>
        </w:rPr>
        <w:t>pay_type</w:t>
      </w:r>
      <w:r>
        <w:rPr>
          <w:rFonts w:hint="eastAsia"/>
        </w:rPr>
        <w:t xml:space="preserve"> 7→4、</w:t>
      </w:r>
      <w:r>
        <w:rPr>
          <w:rFonts w:ascii="Consolas" w:hAnsi="Consolas" w:eastAsia="Consolas" w:cs="Consolas"/>
        </w:rPr>
        <w:t>channel</w:t>
      </w:r>
      <w:r>
        <w:rPr>
          <w:rFonts w:hint="eastAsia"/>
        </w:rPr>
        <w:t xml:space="preserve"> 6→4、</w:t>
      </w:r>
      <w:r>
        <w:rPr>
          <w:rFonts w:ascii="Consolas" w:hAnsi="Consolas" w:eastAsia="Consolas" w:cs="Consolas"/>
        </w:rPr>
        <w:t>behavior_type</w:t>
      </w:r>
      <w:r>
        <w:rPr>
          <w:rFonts w:hint="eastAsia"/>
        </w:rPr>
        <w:t xml:space="preserve"> 10→4、</w:t>
      </w:r>
      <w:r>
        <w:rPr>
          <w:rFonts w:ascii="Consolas" w:hAnsi="Consolas" w:eastAsia="Consolas" w:cs="Consolas"/>
        </w:rPr>
        <w:t>category</w:t>
      </w:r>
      <w:r>
        <w:rPr>
          <w:rFonts w:hint="eastAsia"/>
        </w:rPr>
        <w:t xml:space="preserve"> 16→8。</w:t>
      </w:r>
    </w:p>
    <w:p w14:paraId="00000069">
      <w:r>
        <w:rPr>
          <w:rFonts w:hint="eastAsia"/>
          <w:b w:val="1"/>
        </w:rPr>
        <w:t xml:space="preserve">关于 </w:t>
      </w:r>
      <w:r>
        <w:rPr>
          <w:rFonts w:ascii="Consolas" w:hAnsi="Consolas" w:eastAsia="Consolas" w:cs="Consolas"/>
          <w:b w:val="1"/>
        </w:rPr>
        <w:t>behavior_type</w:t>
      </w:r>
      <w:r>
        <w:rPr>
          <w:rFonts w:hint="eastAsia"/>
          <w:b w:val="1"/>
        </w:rPr>
        <w:t xml:space="preserve"> 的 57,551 条</w:t>
      </w:r>
      <w:r>
        <w:rPr>
          <w:rFonts w:hint="eastAsia"/>
        </w:rPr>
        <w:t>：这个数字看着夸张（占 60,000 条行为的 95.9%），原因是源数据里英文编码（</w:t>
      </w:r>
      <w:r>
        <w:rPr>
          <w:rFonts w:ascii="Consolas" w:hAnsi="Consolas" w:eastAsia="Consolas" w:cs="Consolas"/>
        </w:rPr>
        <w:t>pv/cart/fav/buy</w:t>
      </w:r>
      <w:r>
        <w:rPr>
          <w:rFonts w:hint="eastAsia"/>
        </w:rPr>
        <w:t>）才是多数派，中文（浏览/加购/收藏/购买）反而是少数。按任务书「统一为中文标准值」的要求，英文编码全部计入不规范，数字本身没问题。</w:t>
      </w:r>
    </w:p>
    <w:p w14:paraId="0000006A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格式不统一（修复 8,217 项）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Mar/>
            <w:vAlign w:val="center"/>
          </w:tcPr>
          <w:p w14:paraId="000000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检查项</w:t>
            </w:r>
          </w:p>
        </w:tc>
        <w:tc>
          <w:tcPr>
            <w:tcW w:w="1661" w:type="dxa"/>
            <w:tcMar/>
            <w:vAlign w:val="center"/>
          </w:tcPr>
          <w:p w14:paraId="0000006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清洗前</w:t>
            </w:r>
          </w:p>
        </w:tc>
        <w:tc>
          <w:tcPr>
            <w:tcW w:w="1661" w:type="dxa"/>
            <w:tcMar/>
            <w:vAlign w:val="center"/>
          </w:tcPr>
          <w:p w14:paraId="0000006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清洗后</w:t>
            </w:r>
          </w:p>
        </w:tc>
        <w:tc>
          <w:tcPr>
            <w:tcW w:w="1661" w:type="dxa"/>
            <w:tcMar/>
            <w:vAlign w:val="center"/>
          </w:tcPr>
          <w:p w14:paraId="0000006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修复率</w:t>
            </w:r>
          </w:p>
        </w:tc>
        <w:tc>
          <w:tcPr>
            <w:tcW w:w="1661" w:type="dxa"/>
            <w:tcMar/>
            <w:vAlign w:val="center"/>
          </w:tcPr>
          <w:p w14:paraId="0000006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处理策略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70">
            <w:r>
              <w:rPr>
                <w:rFonts w:ascii="Consolas" w:hAnsi="Consolas" w:eastAsia="Consolas" w:cs="Consolas"/>
              </w:rPr>
              <w:t>behavior_time</w:t>
            </w:r>
            <w:r>
              <w:rPr>
                <w:rFonts w:hint="eastAsia"/>
              </w:rPr>
              <w:t xml:space="preserve"> 非标准时间</w:t>
            </w:r>
          </w:p>
        </w:tc>
        <w:tc>
          <w:tcPr>
            <w:tcW w:w="1661" w:type="dxa"/>
            <w:tcMar/>
            <w:vAlign w:val="center"/>
          </w:tcPr>
          <w:p w14:paraId="00000071">
            <w:r>
              <w:t>6,088</w:t>
            </w:r>
          </w:p>
        </w:tc>
        <w:tc>
          <w:tcPr>
            <w:tcW w:w="1661" w:type="dxa"/>
            <w:tcMar/>
            <w:vAlign w:val="center"/>
          </w:tcPr>
          <w:p w14:paraId="00000072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73">
            <w:r>
              <w:t>100%</w:t>
            </w:r>
          </w:p>
        </w:tc>
        <w:tc>
          <w:tcPr>
            <w:tcW w:w="1661" w:type="dxa"/>
            <w:tcMar/>
            <w:vAlign w:val="center"/>
          </w:tcPr>
          <w:p w14:paraId="00000074">
            <w:r>
              <w:rPr>
                <w:rFonts w:hint="eastAsia"/>
              </w:rPr>
              <w:t xml:space="preserve">实际是 </w:t>
            </w:r>
            <w:r>
              <w:rPr>
                <w:rFonts w:ascii="Consolas" w:hAnsi="Consolas" w:eastAsia="Consolas" w:cs="Consolas"/>
              </w:rPr>
              <w:t>2024/11/05 15:49</w:t>
            </w:r>
            <w:r>
              <w:rPr>
                <w:rFonts w:hint="eastAsia"/>
              </w:rPr>
              <w:t xml:space="preserve">（斜杠 + 缺秒）→ 换分隔符并补 </w:t>
            </w:r>
            <w:r>
              <w:rPr>
                <w:rFonts w:ascii="Consolas" w:hAnsi="Consolas" w:eastAsia="Consolas" w:cs="Consolas"/>
              </w:rPr>
              <w:t>:00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75">
            <w:r>
              <w:rPr>
                <w:rFonts w:ascii="Consolas" w:hAnsi="Consolas" w:eastAsia="Consolas" w:cs="Consolas"/>
              </w:rPr>
              <w:t>order_date</w:t>
            </w:r>
            <w:r>
              <w:rPr>
                <w:rFonts w:hint="eastAsia"/>
              </w:rPr>
              <w:t xml:space="preserve"> 非 yyyy-MM-dd</w:t>
            </w:r>
          </w:p>
        </w:tc>
        <w:tc>
          <w:tcPr>
            <w:tcW w:w="1661" w:type="dxa"/>
            <w:tcMar/>
            <w:vAlign w:val="center"/>
          </w:tcPr>
          <w:p w14:paraId="00000076">
            <w:r>
              <w:t>1,902</w:t>
            </w:r>
          </w:p>
        </w:tc>
        <w:tc>
          <w:tcPr>
            <w:tcW w:w="1661" w:type="dxa"/>
            <w:tcMar/>
            <w:vAlign w:val="center"/>
          </w:tcPr>
          <w:p w14:paraId="00000077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78">
            <w:r>
              <w:t>100%</w:t>
            </w:r>
          </w:p>
        </w:tc>
        <w:tc>
          <w:tcPr>
            <w:tcW w:w="1661" w:type="dxa"/>
            <w:tcMar/>
            <w:vAlign w:val="center"/>
          </w:tcPr>
          <w:p w14:paraId="00000079">
            <w:r>
              <w:rPr>
                <w:rFonts w:ascii="Consolas" w:hAnsi="Consolas" w:eastAsia="Consolas" w:cs="Consolas"/>
              </w:rPr>
              <w:t>yyyy/MM/dd</w:t>
            </w:r>
            <w:r>
              <w:rPr>
                <w:rFonts w:hint="eastAsia"/>
              </w:rPr>
              <w:t xml:space="preserve"> → 换分隔符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7A">
            <w:r>
              <w:rPr>
                <w:rFonts w:ascii="Consolas" w:hAnsi="Consolas" w:eastAsia="Consolas" w:cs="Consolas"/>
              </w:rPr>
              <w:t>register_date</w:t>
            </w:r>
            <w:r>
              <w:rPr>
                <w:rFonts w:hint="eastAsia"/>
              </w:rPr>
              <w:t xml:space="preserve"> 非 yyyy-MM-dd</w:t>
            </w:r>
          </w:p>
        </w:tc>
        <w:tc>
          <w:tcPr>
            <w:tcW w:w="1661" w:type="dxa"/>
            <w:tcMar/>
            <w:vAlign w:val="center"/>
          </w:tcPr>
          <w:p w14:paraId="0000007B">
            <w:r>
              <w:t>125</w:t>
            </w:r>
          </w:p>
        </w:tc>
        <w:tc>
          <w:tcPr>
            <w:tcW w:w="1661" w:type="dxa"/>
            <w:tcMar/>
            <w:vAlign w:val="center"/>
          </w:tcPr>
          <w:p w14:paraId="0000007C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7D">
            <w:r>
              <w:t>100%</w:t>
            </w:r>
          </w:p>
        </w:tc>
        <w:tc>
          <w:tcPr>
            <w:tcW w:w="1661" w:type="dxa"/>
            <w:tcMar/>
            <w:vAlign w:val="center"/>
          </w:tcPr>
          <w:p w14:paraId="0000007E">
            <w:r>
              <w:rPr>
                <w:rFonts w:ascii="Consolas" w:hAnsi="Consolas" w:eastAsia="Consolas" w:cs="Consolas"/>
              </w:rPr>
              <w:t>yyyy/MM/dd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yyyyMMdd</w:t>
            </w:r>
            <w:r>
              <w:rPr>
                <w:rFonts w:hint="eastAsia"/>
              </w:rPr>
              <w:t xml:space="preserve"> 两种 → 统一为 </w:t>
            </w:r>
            <w:r>
              <w:rPr>
                <w:rFonts w:ascii="Consolas" w:hAnsi="Consolas" w:eastAsia="Consolas" w:cs="Consolas"/>
              </w:rPr>
              <w:t>yyyy-MM-dd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7F">
            <w:r>
              <w:rPr>
                <w:rFonts w:ascii="Consolas" w:hAnsi="Consolas" w:eastAsia="Consolas" w:cs="Consolas"/>
              </w:rPr>
              <w:t>phone</w:t>
            </w:r>
            <w:r>
              <w:rPr>
                <w:rFonts w:hint="eastAsia"/>
              </w:rPr>
              <w:t xml:space="preserve"> 非 11 位纯数字</w:t>
            </w:r>
          </w:p>
        </w:tc>
        <w:tc>
          <w:tcPr>
            <w:tcW w:w="1661" w:type="dxa"/>
            <w:tcMar/>
            <w:vAlign w:val="center"/>
          </w:tcPr>
          <w:p w14:paraId="00000080">
            <w:r>
              <w:t>102</w:t>
            </w:r>
          </w:p>
        </w:tc>
        <w:tc>
          <w:tcPr>
            <w:tcW w:w="1661" w:type="dxa"/>
            <w:tcMar/>
            <w:vAlign w:val="center"/>
          </w:tcPr>
          <w:p w14:paraId="00000081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82">
            <w:r>
              <w:t>100%</w:t>
            </w:r>
          </w:p>
        </w:tc>
        <w:tc>
          <w:tcPr>
            <w:tcW w:w="1661" w:type="dxa"/>
            <w:tcMar/>
            <w:vAlign w:val="center"/>
          </w:tcPr>
          <w:p w14:paraId="00000083">
            <w:r>
              <w:rPr>
                <w:rFonts w:hint="eastAsia"/>
              </w:rPr>
              <w:t xml:space="preserve">去掉 </w:t>
            </w:r>
            <w:r>
              <w:rPr>
                <w:rFonts w:ascii="Consolas" w:hAnsi="Consolas" w:eastAsia="Consolas" w:cs="Consolas"/>
              </w:rPr>
              <w:t>-</w:t>
            </w:r>
            <w:r>
              <w:rPr>
                <w:rFonts w:hint="eastAsia"/>
              </w:rPr>
              <w:t xml:space="preserve"> 分隔符后校验 </w:t>
            </w:r>
            <w:r>
              <w:rPr>
                <w:rFonts w:ascii="Consolas" w:hAnsi="Consolas" w:eastAsia="Consolas" w:cs="Consolas"/>
              </w:rPr>
              <w:t>^1[3-9]\d{9}$</w:t>
            </w:r>
            <w:r>
              <w:rPr>
                <w:rFonts w:hint="eastAsia"/>
              </w:rPr>
              <w:t>，不合规置空</w:t>
            </w:r>
          </w:p>
        </w:tc>
      </w:tr>
    </w:tbl>
    <w:p w14:paraId="00000084">
      <w:r>
        <w:rPr>
          <w:rFonts w:hint="eastAsia"/>
          <w:b w:val="1"/>
        </w:rPr>
        <w:t>踩过的坑</w:t>
      </w:r>
      <w:r>
        <w:rPr>
          <w:rFonts w:hint="eastAsia"/>
        </w:rPr>
        <w:t>：</w:t>
      </w:r>
      <w:r>
        <w:rPr>
          <w:rFonts w:ascii="Consolas" w:hAnsi="Consolas" w:eastAsia="Consolas" w:cs="Consolas"/>
        </w:rPr>
        <w:t>behavior_time</w:t>
      </w:r>
      <w:r>
        <w:rPr>
          <w:rFonts w:hint="eastAsia"/>
        </w:rPr>
        <w:t xml:space="preserve"> 一开始按 </w:t>
      </w:r>
      <w:r>
        <w:rPr>
          <w:rFonts w:ascii="Consolas" w:hAnsi="Consolas" w:eastAsia="Consolas" w:cs="Consolas"/>
        </w:rPr>
        <w:t>yyyy/MM/dd HH:mm:ss</w:t>
      </w:r>
      <w:r>
        <w:rPr>
          <w:rFonts w:hint="eastAsia"/>
        </w:rPr>
        <w:t xml:space="preserve"> 写转换规则，结果 6,088 条一条都没转成功。查了原始值才发现真实格式是 </w:t>
      </w:r>
      <w:r>
        <w:rPr>
          <w:rFonts w:ascii="Consolas" w:hAnsi="Consolas" w:eastAsia="Consolas" w:cs="Consolas"/>
        </w:rPr>
        <w:t>2024/11/05 15:49</w:t>
      </w:r>
      <w:r>
        <w:t xml:space="preserve"> —— </w:t>
      </w:r>
      <w:r>
        <w:rPr>
          <w:rFonts w:hint="eastAsia"/>
          <w:b w:val="1"/>
        </w:rPr>
        <w:t>没有秒</w:t>
      </w:r>
      <w:r>
        <w:rPr>
          <w:rFonts w:hint="eastAsia"/>
        </w:rPr>
        <w:t xml:space="preserve">。这说明转换规则必须照着真实数据写，不能照着「看起来应该是什么样」写。最终改成三分支：斜杠无秒补 </w:t>
      </w:r>
      <w:r>
        <w:rPr>
          <w:rFonts w:ascii="Consolas" w:hAnsi="Consolas" w:eastAsia="Consolas" w:cs="Consolas"/>
        </w:rPr>
        <w:t>:00</w:t>
      </w:r>
      <w:r>
        <w:rPr>
          <w:rFonts w:hint="eastAsia"/>
        </w:rPr>
        <w:t xml:space="preserve">、斜杠有秒换分隔符、横杠无秒补 </w:t>
      </w:r>
      <w:r>
        <w:rPr>
          <w:rFonts w:ascii="Consolas" w:hAnsi="Consolas" w:eastAsia="Consolas" w:cs="Consolas"/>
        </w:rPr>
        <w:t>:00</w:t>
      </w:r>
      <w:r>
        <w:rPr>
          <w:rFonts w:hint="eastAsia"/>
        </w:rPr>
        <w:t>。</w:t>
      </w:r>
    </w:p>
    <w:p w14:paraId="00000085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异常值（修复 1,387 项）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Mar/>
            <w:vAlign w:val="center"/>
          </w:tcPr>
          <w:p w14:paraId="000000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检查项</w:t>
            </w:r>
          </w:p>
        </w:tc>
        <w:tc>
          <w:tcPr>
            <w:tcW w:w="1661" w:type="dxa"/>
            <w:tcMar/>
            <w:vAlign w:val="center"/>
          </w:tcPr>
          <w:p w14:paraId="000000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清洗前</w:t>
            </w:r>
          </w:p>
        </w:tc>
        <w:tc>
          <w:tcPr>
            <w:tcW w:w="1661" w:type="dxa"/>
            <w:tcMar/>
            <w:vAlign w:val="center"/>
          </w:tcPr>
          <w:p w14:paraId="0000008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清洗后</w:t>
            </w:r>
          </w:p>
        </w:tc>
        <w:tc>
          <w:tcPr>
            <w:tcW w:w="1661" w:type="dxa"/>
            <w:tcMar/>
            <w:vAlign w:val="center"/>
          </w:tcPr>
          <w:p w14:paraId="0000008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修复率</w:t>
            </w:r>
          </w:p>
        </w:tc>
        <w:tc>
          <w:tcPr>
            <w:tcW w:w="1661" w:type="dxa"/>
            <w:tcMar/>
            <w:vAlign w:val="center"/>
          </w:tcPr>
          <w:p w14:paraId="000000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处理策略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8B">
            <w:r>
              <w:rPr>
                <w:rFonts w:ascii="Consolas" w:hAnsi="Consolas" w:eastAsia="Consolas" w:cs="Consolas"/>
              </w:rPr>
              <w:t>order_item.quantity</w:t>
            </w:r>
            <w:r>
              <w:rPr>
                <w:rFonts w:hint="eastAsia"/>
              </w:rPr>
              <w:t xml:space="preserve"> 非正数</w:t>
            </w:r>
          </w:p>
        </w:tc>
        <w:tc>
          <w:tcPr>
            <w:tcW w:w="1661" w:type="dxa"/>
            <w:tcMar/>
            <w:vAlign w:val="center"/>
          </w:tcPr>
          <w:p w14:paraId="0000008C">
            <w:r>
              <w:t>718</w:t>
            </w:r>
          </w:p>
        </w:tc>
        <w:tc>
          <w:tcPr>
            <w:tcW w:w="1661" w:type="dxa"/>
            <w:tcMar/>
            <w:vAlign w:val="center"/>
          </w:tcPr>
          <w:p w14:paraId="0000008D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8E">
            <w:r>
              <w:t>100%</w:t>
            </w:r>
          </w:p>
        </w:tc>
        <w:tc>
          <w:tcPr>
            <w:tcW w:w="1661" w:type="dxa"/>
            <w:tcMar/>
            <w:vAlign w:val="center"/>
          </w:tcPr>
          <w:p w14:paraId="0000008F">
            <w:r>
              <w:rPr>
                <w:rFonts w:hint="eastAsia"/>
              </w:rPr>
              <w:t>0 件/负件不成立，明细行剔除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90">
            <w:r>
              <w:rPr>
                <w:rFonts w:ascii="Consolas" w:hAnsi="Consolas" w:eastAsia="Consolas" w:cs="Consolas"/>
              </w:rPr>
              <w:t>pay_amount</w:t>
            </w:r>
            <w:r>
              <w:rPr>
                <w:rFonts w:hint="eastAsia"/>
              </w:rPr>
              <w:t xml:space="preserve"> 超上限</w:t>
            </w:r>
          </w:p>
        </w:tc>
        <w:tc>
          <w:tcPr>
            <w:tcW w:w="1661" w:type="dxa"/>
            <w:tcMar/>
            <w:vAlign w:val="center"/>
          </w:tcPr>
          <w:p w14:paraId="00000091">
            <w:r>
              <w:t>312</w:t>
            </w:r>
          </w:p>
        </w:tc>
        <w:tc>
          <w:tcPr>
            <w:tcW w:w="1661" w:type="dxa"/>
            <w:tcMar/>
            <w:vAlign w:val="center"/>
          </w:tcPr>
          <w:p w14:paraId="00000092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93">
            <w:r>
              <w:t>100%</w:t>
            </w:r>
          </w:p>
        </w:tc>
        <w:tc>
          <w:tcPr>
            <w:tcW w:w="1661" w:type="dxa"/>
            <w:tcMar/>
            <w:vAlign w:val="center"/>
          </w:tcPr>
          <w:p w14:paraId="00000094">
            <w:r>
              <w:rPr>
                <w:rFonts w:hint="eastAsia"/>
              </w:rPr>
              <w:t>超过 IQR 上界 11,356.33 元，判定为离群，整单剔除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95">
            <w:r>
              <w:rPr>
                <w:rFonts w:ascii="Consolas" w:hAnsi="Consolas" w:eastAsia="Consolas" w:cs="Consolas"/>
              </w:rPr>
              <w:t>pay_amount</w:t>
            </w:r>
            <w:r>
              <w:rPr>
                <w:rFonts w:hint="eastAsia"/>
              </w:rPr>
              <w:t xml:space="preserve"> 非正数</w:t>
            </w:r>
          </w:p>
        </w:tc>
        <w:tc>
          <w:tcPr>
            <w:tcW w:w="1661" w:type="dxa"/>
            <w:tcMar/>
            <w:vAlign w:val="center"/>
          </w:tcPr>
          <w:p w14:paraId="00000096">
            <w:r>
              <w:t>310</w:t>
            </w:r>
          </w:p>
        </w:tc>
        <w:tc>
          <w:tcPr>
            <w:tcW w:w="1661" w:type="dxa"/>
            <w:tcMar/>
            <w:vAlign w:val="center"/>
          </w:tcPr>
          <w:p w14:paraId="00000097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98">
            <w:r>
              <w:t>100%</w:t>
            </w:r>
          </w:p>
        </w:tc>
        <w:tc>
          <w:tcPr>
            <w:tcW w:w="1661" w:type="dxa"/>
            <w:tcMar/>
            <w:vAlign w:val="center"/>
          </w:tcPr>
          <w:p w14:paraId="00000099">
            <w:r>
              <w:rPr>
                <w:rFonts w:hint="eastAsia"/>
              </w:rPr>
              <w:t>负金额无业务解释，整单剔除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9A">
            <w:r>
              <w:rPr>
                <w:rFonts w:ascii="Consolas" w:hAnsi="Consolas" w:eastAsia="Consolas" w:cs="Consolas"/>
              </w:rPr>
              <w:t>age</w:t>
            </w:r>
            <w:r>
              <w:rPr>
                <w:rFonts w:hint="eastAsia"/>
              </w:rPr>
              <w:t xml:space="preserve"> 越界或非数值</w:t>
            </w:r>
          </w:p>
        </w:tc>
        <w:tc>
          <w:tcPr>
            <w:tcW w:w="1661" w:type="dxa"/>
            <w:tcMar/>
            <w:vAlign w:val="center"/>
          </w:tcPr>
          <w:p w14:paraId="0000009B">
            <w:r>
              <w:t>27</w:t>
            </w:r>
          </w:p>
        </w:tc>
        <w:tc>
          <w:tcPr>
            <w:tcW w:w="1661" w:type="dxa"/>
            <w:tcMar/>
            <w:vAlign w:val="center"/>
          </w:tcPr>
          <w:p w14:paraId="0000009C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9D">
            <w:r>
              <w:t>100%</w:t>
            </w:r>
          </w:p>
        </w:tc>
        <w:tc>
          <w:tcPr>
            <w:tcW w:w="1661" w:type="dxa"/>
            <w:tcMar/>
            <w:vAlign w:val="center"/>
          </w:tcPr>
          <w:p w14:paraId="0000009E">
            <w:r>
              <w:rPr>
                <w:rFonts w:ascii="Consolas" w:hAnsi="Consolas" w:eastAsia="Consolas" w:cs="Consolas"/>
              </w:rPr>
              <w:t>-3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0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150</w:t>
            </w:r>
            <w:r>
              <w:rPr>
                <w:rFonts w:hint="eastAsia"/>
              </w:rPr>
              <w:t xml:space="preserve"> 等 → 按合法区间中位数填充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9F">
            <w:r>
              <w:rPr>
                <w:rFonts w:ascii="Consolas" w:hAnsi="Consolas" w:eastAsia="Consolas" w:cs="Consolas"/>
              </w:rPr>
              <w:t>price</w:t>
            </w:r>
            <w:r>
              <w:rPr>
                <w:rFonts w:hint="eastAsia"/>
              </w:rPr>
              <w:t xml:space="preserve"> 非正或成本高于售价</w:t>
            </w:r>
          </w:p>
        </w:tc>
        <w:tc>
          <w:tcPr>
            <w:tcW w:w="1661" w:type="dxa"/>
            <w:tcMar/>
            <w:vAlign w:val="center"/>
          </w:tcPr>
          <w:p w14:paraId="000000A0">
            <w:r>
              <w:t>20</w:t>
            </w:r>
          </w:p>
        </w:tc>
        <w:tc>
          <w:tcPr>
            <w:tcW w:w="1661" w:type="dxa"/>
            <w:tcMar/>
            <w:vAlign w:val="center"/>
          </w:tcPr>
          <w:p w14:paraId="000000A1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A2">
            <w:r>
              <w:t>100%</w:t>
            </w:r>
          </w:p>
        </w:tc>
        <w:tc>
          <w:tcPr>
            <w:tcW w:w="1661" w:type="dxa"/>
            <w:tcMar/>
            <w:vAlign w:val="center"/>
          </w:tcPr>
          <w:p w14:paraId="000000A3">
            <w:r>
              <w:rPr>
                <w:rFonts w:hint="eastAsia"/>
              </w:rPr>
              <w:t>按成本 × 1.2 修正，保留商品记录</w:t>
            </w:r>
          </w:p>
        </w:tc>
      </w:tr>
    </w:tbl>
    <w:p w14:paraId="000000A4">
      <w:r>
        <w:rPr>
          <w:rFonts w:hint="eastAsia"/>
          <w:b w:val="1"/>
        </w:rPr>
        <w:t>为什么大额阈值用 IQR 而不是 P99</w:t>
      </w:r>
      <w:r>
        <w:rPr>
          <w:rFonts w:hint="eastAsia"/>
        </w:rPr>
        <w:t>：</w:t>
      </w:r>
    </w:p>
    <w:p w14:paraId="000000A5">
      <w:r>
        <w:rPr>
          <w:rFonts w:hint="eastAsia"/>
        </w:rPr>
        <w:t>任务书提示「用分位数（P99）而非绝对阈值」，但直接取 P99 在本批数据上会失效——P99 = 563 万，而这个数本身就被离群值污染了（约 2% 的记录被注入百万级金额，P95 才 4,836 元）。用被污染的分位数去卡离群值，等于用病人自己的体温计判断发烧。</w:t>
      </w:r>
    </w:p>
    <w:p w14:paraId="000000A6">
      <w:r>
        <w:rPr>
          <w:rFonts w:hint="eastAsia"/>
        </w:rPr>
        <w:t xml:space="preserve">改用箱线图的极端离群判定线 </w:t>
      </w:r>
      <w:r>
        <w:rPr>
          <w:b w:val="1"/>
        </w:rPr>
        <w:t>Q3 + 3 × IQR</w:t>
      </w:r>
      <w:r>
        <w:rPr>
          <w:rFonts w:hint="eastAsia"/>
        </w:rPr>
        <w:t>：</w:t>
      </w:r>
    </w:p>
    <w:p w14:paraId="000000A7">
      <w:r>
        <w:rPr>
          <w:rFonts w:hint="eastAsia"/>
        </w:rPr>
        <w:t xml:space="preserve"> Q1 = 1,293.39 元</w:t>
      </w:r>
    </w:p>
    <w:p w14:paraId="000000A8">
      <w:r>
        <w:rPr>
          <w:rFonts w:hint="eastAsia"/>
        </w:rPr>
        <w:t xml:space="preserve"> Q3 = 3,809.12 元</w:t>
      </w:r>
    </w:p>
    <w:p w14:paraId="000000A9">
      <w:r>
        <w:rPr>
          <w:rFonts w:hint="eastAsia"/>
        </w:rPr>
        <w:t xml:space="preserve"> IQR = Q3 - Q1 = 2,515.73 元</w:t>
      </w:r>
    </w:p>
    <w:p w14:paraId="000000AA">
      <w:r>
        <w:rPr>
          <w:rFonts w:hint="eastAsia"/>
        </w:rPr>
        <w:t xml:space="preserve"> 上界 = 3,809.12 + 3 × 2,515.73 = 11,356.33 元</w:t>
      </w:r>
    </w:p>
    <w:p w14:paraId="000000AB">
      <w:r>
        <w:rPr>
          <w:rFonts w:hint="eastAsia"/>
        </w:rPr>
        <w:t>命中 312 条。这个数落在「正常订单最高约 5,000 元」与「污染数据最低百万级」之间的真空地带，既清掉了离群值，也没有误删任何一单正常的高客单订单。</w:t>
      </w:r>
    </w:p>
    <w:p w14:paraId="000000AC">
      <w:r>
        <w:rPr>
          <w:rFonts w:hint="eastAsia"/>
          <w:b w:val="1"/>
        </w:rPr>
        <w:t>一个可验证的旁证</w:t>
      </w:r>
      <w:r>
        <w:rPr>
          <w:rFonts w:hint="eastAsia"/>
        </w:rPr>
        <w:t xml:space="preserve">：清洗后 </w:t>
      </w:r>
      <w:r>
        <w:rPr>
          <w:rFonts w:ascii="Consolas" w:hAnsi="Consolas" w:eastAsia="Consolas" w:cs="Consolas"/>
        </w:rPr>
        <w:t>dwd_order_clean</w:t>
      </w:r>
      <w:r>
        <w:rPr>
          <w:rFonts w:hint="eastAsia"/>
        </w:rPr>
        <w:t xml:space="preserve"> 的最大金额是 4,999.85 元，距上界 11,356.33 元还有一倍余量。也就是说把系数从 3 倍放宽到 4 倍、或把基准从 Q3 换成 Q1（两者上界相差约 2,500 元），删除的行数与最终 GMV 都不会变——312 条异常值全部是百万级，与正常值之间存在数量级断层。这说明结论对阈值参数不敏感，不是调参调出来的。</w:t>
      </w:r>
    </w:p>
    <w:p w14:paraId="000000AD">
      <w:r>
        <w:rPr>
          <w:rFonts w:hint="eastAsia"/>
          <w:b w:val="1"/>
        </w:rPr>
        <w:t>修正口径一致性</w:t>
      </w:r>
      <w:r>
        <w:rPr>
          <w:rFonts w:hint="eastAsia"/>
        </w:rPr>
        <w:t xml:space="preserve">：该阈值从 </w:t>
      </w:r>
      <w:r>
        <w:rPr>
          <w:rFonts w:ascii="Consolas" w:hAnsi="Consolas" w:eastAsia="Consolas" w:cs="Consolas"/>
        </w:rPr>
        <w:t>ods_order</w:t>
      </w:r>
      <w:r>
        <w:rPr>
          <w:rFonts w:hint="eastAsia"/>
        </w:rPr>
        <w:t xml:space="preserve"> 计算而非从清洗后的表计算。原因是从清洗后的表算会导致「跑一次收窄一点」，重复执行结果不可复现。</w:t>
      </w:r>
    </w:p>
    <w:p w14:paraId="000000AE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重复值（修复 600 项）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Mar/>
            <w:vAlign w:val="center"/>
          </w:tcPr>
          <w:p w14:paraId="000000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检查项</w:t>
            </w:r>
          </w:p>
        </w:tc>
        <w:tc>
          <w:tcPr>
            <w:tcW w:w="1661" w:type="dxa"/>
            <w:tcMar/>
            <w:vAlign w:val="center"/>
          </w:tcPr>
          <w:p w14:paraId="000000B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清洗前</w:t>
            </w:r>
          </w:p>
        </w:tc>
        <w:tc>
          <w:tcPr>
            <w:tcW w:w="1661" w:type="dxa"/>
            <w:tcMar/>
            <w:vAlign w:val="center"/>
          </w:tcPr>
          <w:p w14:paraId="000000B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清洗后</w:t>
            </w:r>
          </w:p>
        </w:tc>
        <w:tc>
          <w:tcPr>
            <w:tcW w:w="1661" w:type="dxa"/>
            <w:tcMar/>
            <w:vAlign w:val="center"/>
          </w:tcPr>
          <w:p w14:paraId="000000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修复率</w:t>
            </w:r>
          </w:p>
        </w:tc>
        <w:tc>
          <w:tcPr>
            <w:tcW w:w="1661" w:type="dxa"/>
            <w:tcMar/>
            <w:vAlign w:val="center"/>
          </w:tcPr>
          <w:p w14:paraId="000000B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处理策略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B4">
            <w:r>
              <w:rPr>
                <w:rFonts w:ascii="Consolas" w:hAnsi="Consolas" w:eastAsia="Consolas" w:cs="Consolas"/>
              </w:rPr>
              <w:t>order_id</w:t>
            </w:r>
            <w:r>
              <w:rPr>
                <w:rFonts w:hint="eastAsia"/>
              </w:rPr>
              <w:t xml:space="preserve"> 重复行</w:t>
            </w:r>
          </w:p>
        </w:tc>
        <w:tc>
          <w:tcPr>
            <w:tcW w:w="1661" w:type="dxa"/>
            <w:tcMar/>
            <w:vAlign w:val="center"/>
          </w:tcPr>
          <w:p w14:paraId="000000B5">
            <w:r>
              <w:t>600</w:t>
            </w:r>
          </w:p>
        </w:tc>
        <w:tc>
          <w:tcPr>
            <w:tcW w:w="1661" w:type="dxa"/>
            <w:tcMar/>
            <w:vAlign w:val="center"/>
          </w:tcPr>
          <w:p w14:paraId="000000B6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B7">
            <w:r>
              <w:t>100%</w:t>
            </w:r>
          </w:p>
        </w:tc>
        <w:tc>
          <w:tcPr>
            <w:tcW w:w="1661" w:type="dxa"/>
            <w:tcMar/>
            <w:vAlign w:val="center"/>
          </w:tcPr>
          <w:p w14:paraId="000000B8">
            <w:r>
              <w:rPr>
                <w:rFonts w:ascii="Consolas" w:hAnsi="Consolas" w:eastAsia="Consolas" w:cs="Consolas"/>
              </w:rPr>
              <w:t>ROW_NUMBER() OVER(PARTITION BY order_id ORDER BY order_date DESC, order_time DESC)</w:t>
            </w:r>
            <w:r>
              <w:rPr>
                <w:rFonts w:hint="eastAsia"/>
              </w:rPr>
              <w:t xml:space="preserve"> 保留最新一条</w:t>
            </w:r>
          </w:p>
        </w:tc>
      </w:tr>
    </w:tbl>
    <w:p w14:paraId="000000B9">
      <w:r>
        <w:rPr>
          <w:rFonts w:hint="eastAsia"/>
        </w:rPr>
        <w:t xml:space="preserve">15,600 行订单去重后为 15,000 行。用 </w:t>
      </w:r>
      <w:r>
        <w:rPr>
          <w:rFonts w:ascii="Consolas" w:hAnsi="Consolas" w:eastAsia="Consolas" w:cs="Consolas"/>
        </w:rPr>
        <w:t>ROW_NUMBER</w:t>
      </w:r>
      <w:r>
        <w:rPr>
          <w:rFonts w:hint="eastAsia"/>
        </w:rPr>
        <w:t xml:space="preserve"> 而不是 </w:t>
      </w:r>
      <w:r>
        <w:rPr>
          <w:rFonts w:ascii="Consolas" w:hAnsi="Consolas" w:eastAsia="Consolas" w:cs="Consolas"/>
        </w:rPr>
        <w:t>DISTINCT</w:t>
      </w:r>
      <w:r>
        <w:rPr>
          <w:rFonts w:hint="eastAsia"/>
        </w:rPr>
        <w:t xml:space="preserve">，是因为 </w:t>
      </w:r>
      <w:r>
        <w:rPr>
          <w:rFonts w:ascii="Consolas" w:hAnsi="Consolas" w:eastAsia="Consolas" w:cs="Consolas"/>
        </w:rPr>
        <w:t>DISTINCT</w:t>
      </w:r>
      <w:r>
        <w:rPr>
          <w:rFonts w:hint="eastAsia"/>
        </w:rPr>
        <w:t xml:space="preserve"> 只能处理「完全相同」的行，且无法指定保留哪一条；订单重复往往伴随状态变更，必须保留业务上最新的版本。</w:t>
      </w:r>
    </w:p>
    <w:p w14:paraId="000000BA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2.5 缺失值（修复 160 项，保留 193 项）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Mar/>
            <w:vAlign w:val="center"/>
          </w:tcPr>
          <w:p w14:paraId="000000B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检查项</w:t>
            </w:r>
          </w:p>
        </w:tc>
        <w:tc>
          <w:tcPr>
            <w:tcW w:w="1661" w:type="dxa"/>
            <w:tcMar/>
            <w:vAlign w:val="center"/>
          </w:tcPr>
          <w:p w14:paraId="000000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清洗前</w:t>
            </w:r>
          </w:p>
        </w:tc>
        <w:tc>
          <w:tcPr>
            <w:tcW w:w="1661" w:type="dxa"/>
            <w:tcMar/>
            <w:vAlign w:val="center"/>
          </w:tcPr>
          <w:p w14:paraId="000000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清洗后</w:t>
            </w:r>
          </w:p>
        </w:tc>
        <w:tc>
          <w:tcPr>
            <w:tcW w:w="1661" w:type="dxa"/>
            <w:tcMar/>
            <w:vAlign w:val="center"/>
          </w:tcPr>
          <w:p w14:paraId="000000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修复率</w:t>
            </w:r>
          </w:p>
        </w:tc>
        <w:tc>
          <w:tcPr>
            <w:tcW w:w="1661" w:type="dxa"/>
            <w:tcMar/>
            <w:vAlign w:val="center"/>
          </w:tcPr>
          <w:p w14:paraId="000000B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处理策略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C0">
            <w:r>
              <w:rPr>
                <w:rFonts w:ascii="Consolas" w:hAnsi="Consolas" w:eastAsia="Consolas" w:cs="Consolas"/>
              </w:rPr>
              <w:t>gender</w:t>
            </w:r>
            <w:r>
              <w:rPr>
                <w:rFonts w:hint="eastAsia"/>
              </w:rPr>
              <w:t xml:space="preserve"> 空值</w:t>
            </w:r>
          </w:p>
        </w:tc>
        <w:tc>
          <w:tcPr>
            <w:tcW w:w="1661" w:type="dxa"/>
            <w:tcMar/>
            <w:vAlign w:val="center"/>
          </w:tcPr>
          <w:p w14:paraId="000000C1">
            <w:r>
              <w:t>84</w:t>
            </w:r>
          </w:p>
        </w:tc>
        <w:tc>
          <w:tcPr>
            <w:tcW w:w="1661" w:type="dxa"/>
            <w:tcMar/>
            <w:vAlign w:val="center"/>
          </w:tcPr>
          <w:p w14:paraId="000000C2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C3">
            <w:r>
              <w:t>100%</w:t>
            </w:r>
          </w:p>
        </w:tc>
        <w:tc>
          <w:tcPr>
            <w:tcW w:w="1661" w:type="dxa"/>
            <w:tcMar/>
            <w:vAlign w:val="center"/>
          </w:tcPr>
          <w:p w14:paraId="000000C4">
            <w:r>
              <w:rPr>
                <w:rFonts w:hint="eastAsia"/>
              </w:rPr>
              <w:t>归入「未知」，不臆造性别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C5">
            <w:r>
              <w:rPr>
                <w:rFonts w:ascii="Consolas" w:hAnsi="Consolas" w:eastAsia="Consolas" w:cs="Consolas"/>
              </w:rPr>
              <w:t>age</w:t>
            </w:r>
            <w:r>
              <w:rPr>
                <w:rFonts w:hint="eastAsia"/>
              </w:rPr>
              <w:t xml:space="preserve"> 空值</w:t>
            </w:r>
          </w:p>
        </w:tc>
        <w:tc>
          <w:tcPr>
            <w:tcW w:w="1661" w:type="dxa"/>
            <w:tcMar/>
            <w:vAlign w:val="center"/>
          </w:tcPr>
          <w:p w14:paraId="000000C6">
            <w:r>
              <w:t>51</w:t>
            </w:r>
          </w:p>
        </w:tc>
        <w:tc>
          <w:tcPr>
            <w:tcW w:w="1661" w:type="dxa"/>
            <w:tcMar/>
            <w:vAlign w:val="center"/>
          </w:tcPr>
          <w:p w14:paraId="000000C7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C8">
            <w:r>
              <w:t>100%</w:t>
            </w:r>
          </w:p>
        </w:tc>
        <w:tc>
          <w:tcPr>
            <w:tcW w:w="1661" w:type="dxa"/>
            <w:tcMar/>
            <w:vAlign w:val="center"/>
          </w:tcPr>
          <w:p w14:paraId="000000C9">
            <w:r>
              <w:rPr>
                <w:rFonts w:hint="eastAsia"/>
              </w:rPr>
              <w:t>合法区间 [1,120] 内的中位数填充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CA">
            <w:r>
              <w:rPr>
                <w:rFonts w:ascii="Consolas" w:hAnsi="Consolas" w:eastAsia="Consolas" w:cs="Consolas"/>
              </w:rPr>
              <w:t>member_level</w:t>
            </w:r>
            <w:r>
              <w:rPr>
                <w:rFonts w:hint="eastAsia"/>
              </w:rPr>
              <w:t xml:space="preserve"> 空值</w:t>
            </w:r>
          </w:p>
        </w:tc>
        <w:tc>
          <w:tcPr>
            <w:tcW w:w="1661" w:type="dxa"/>
            <w:tcMar/>
            <w:vAlign w:val="center"/>
          </w:tcPr>
          <w:p w14:paraId="000000CB">
            <w:r>
              <w:t>14</w:t>
            </w:r>
          </w:p>
        </w:tc>
        <w:tc>
          <w:tcPr>
            <w:tcW w:w="1661" w:type="dxa"/>
            <w:tcMar/>
            <w:vAlign w:val="center"/>
          </w:tcPr>
          <w:p w14:paraId="000000CC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CD">
            <w:r>
              <w:t>100%</w:t>
            </w:r>
          </w:p>
        </w:tc>
        <w:tc>
          <w:tcPr>
            <w:tcW w:w="1661" w:type="dxa"/>
            <w:tcMar/>
            <w:vAlign w:val="center"/>
          </w:tcPr>
          <w:p w14:paraId="000000CE">
            <w:r>
              <w:rPr>
                <w:rFonts w:hint="eastAsia"/>
              </w:rPr>
              <w:t xml:space="preserve">按最低等级「普通会员」兜底并打 </w:t>
            </w:r>
            <w:r>
              <w:rPr>
                <w:rFonts w:ascii="Consolas" w:hAnsi="Consolas" w:eastAsia="Consolas" w:cs="Consolas"/>
              </w:rPr>
              <w:t>member_level_flag</w:t>
            </w:r>
            <w:r>
              <w:rPr>
                <w:rFonts w:hint="eastAsia"/>
              </w:rPr>
              <w:t xml:space="preserve"> 标记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CF">
            <w:r>
              <w:rPr>
                <w:rFonts w:ascii="Consolas" w:hAnsi="Consolas" w:eastAsia="Consolas" w:cs="Consolas"/>
              </w:rPr>
              <w:t>launch_date</w:t>
            </w:r>
            <w:r>
              <w:rPr>
                <w:rFonts w:hint="eastAsia"/>
              </w:rPr>
              <w:t xml:space="preserve"> 空值</w:t>
            </w:r>
          </w:p>
        </w:tc>
        <w:tc>
          <w:tcPr>
            <w:tcW w:w="1661" w:type="dxa"/>
            <w:tcMar/>
            <w:vAlign w:val="center"/>
          </w:tcPr>
          <w:p w14:paraId="000000D0">
            <w:r>
              <w:t>11</w:t>
            </w:r>
          </w:p>
        </w:tc>
        <w:tc>
          <w:tcPr>
            <w:tcW w:w="1661" w:type="dxa"/>
            <w:tcMar/>
            <w:vAlign w:val="center"/>
          </w:tcPr>
          <w:p w14:paraId="000000D1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D2">
            <w:r>
              <w:t>100%</w:t>
            </w:r>
          </w:p>
        </w:tc>
        <w:tc>
          <w:tcPr>
            <w:tcW w:w="1661" w:type="dxa"/>
            <w:tcMar/>
            <w:vAlign w:val="center"/>
          </w:tcPr>
          <w:p w14:paraId="000000D3">
            <w:r>
              <w:rPr>
                <w:rFonts w:hint="eastAsia"/>
              </w:rPr>
              <w:t>用同品类最早上架日期补全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D4">
            <w:r>
              <w:rPr>
                <w:rFonts w:ascii="Consolas" w:hAnsi="Consolas" w:eastAsia="Consolas" w:cs="Consolas"/>
              </w:rPr>
              <w:t>email</w:t>
            </w:r>
            <w:r>
              <w:rPr>
                <w:rFonts w:hint="eastAsia"/>
              </w:rPr>
              <w:t xml:space="preserve"> 空值（保留）</w:t>
            </w:r>
          </w:p>
        </w:tc>
        <w:tc>
          <w:tcPr>
            <w:tcW w:w="1661" w:type="dxa"/>
            <w:tcMar/>
            <w:vAlign w:val="center"/>
          </w:tcPr>
          <w:p w14:paraId="000000D5">
            <w:r>
              <w:t>193</w:t>
            </w:r>
          </w:p>
        </w:tc>
        <w:tc>
          <w:tcPr>
            <w:tcW w:w="1661" w:type="dxa"/>
            <w:tcMar/>
            <w:vAlign w:val="center"/>
          </w:tcPr>
          <w:p w14:paraId="000000D6">
            <w:r>
              <w:t>193</w:t>
            </w:r>
          </w:p>
        </w:tc>
        <w:tc>
          <w:tcPr>
            <w:tcW w:w="1661" w:type="dxa"/>
            <w:tcMar/>
            <w:vAlign w:val="center"/>
          </w:tcPr>
          <w:p w14:paraId="000000D7">
            <w:r>
              <w:t>0%</w:t>
            </w:r>
          </w:p>
        </w:tc>
        <w:tc>
          <w:tcPr>
            <w:tcW w:w="1661" w:type="dxa"/>
            <w:tcMar/>
            <w:vAlign w:val="center"/>
          </w:tcPr>
          <w:p w14:paraId="000000D8">
            <w:r>
              <w:rPr>
                <w:rFonts w:hint="eastAsia"/>
                <w:b w:val="1"/>
              </w:rPr>
              <w:t>有意保留</w:t>
            </w:r>
            <w:r>
              <w:rPr>
                <w:rFonts w:hint="eastAsia"/>
              </w:rPr>
              <w:t xml:space="preserve">，加 </w:t>
            </w:r>
            <w:r>
              <w:rPr>
                <w:rFonts w:hint="eastAsia" w:ascii="Consolas" w:hAnsi="Consolas" w:eastAsia="Consolas" w:cs="Consolas"/>
              </w:rPr>
              <w:t>email_flag='缺失'</w:t>
            </w:r>
            <w:r>
              <w:rPr>
                <w:rFonts w:hint="eastAsia"/>
              </w:rPr>
              <w:t xml:space="preserve"> 标记位</w:t>
            </w:r>
          </w:p>
        </w:tc>
      </w:tr>
    </w:tbl>
    <w:p w14:paraId="000000D9">
      <w:pPr>
        <w:pBdr>
          <w:bottom w:val="thick" w:color="040102" w:sz="8"/>
        </w:pBdr>
      </w:pPr>
    </w:p>
    <w:p w14:paraId="000000DA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三、清洗前后对比总表</w:t>
      </w:r>
    </w:p>
    <w:p w14:paraId="000000D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行数变化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Mar/>
            <w:vAlign w:val="center"/>
          </w:tcPr>
          <w:p w14:paraId="000000D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</w:t>
            </w:r>
          </w:p>
        </w:tc>
        <w:tc>
          <w:tcPr>
            <w:tcW w:w="1661" w:type="dxa"/>
            <w:tcMar/>
            <w:vAlign w:val="center"/>
          </w:tcPr>
          <w:p w14:paraId="000000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清洗前</w:t>
            </w:r>
          </w:p>
        </w:tc>
        <w:tc>
          <w:tcPr>
            <w:tcW w:w="1661" w:type="dxa"/>
            <w:tcMar/>
            <w:vAlign w:val="center"/>
          </w:tcPr>
          <w:p w14:paraId="000000D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清洗后</w:t>
            </w:r>
          </w:p>
        </w:tc>
        <w:tc>
          <w:tcPr>
            <w:tcW w:w="1661" w:type="dxa"/>
            <w:tcMar/>
            <w:vAlign w:val="center"/>
          </w:tcPr>
          <w:p w14:paraId="000000D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变化</w:t>
            </w:r>
          </w:p>
        </w:tc>
        <w:tc>
          <w:tcPr>
            <w:tcW w:w="1661" w:type="dxa"/>
            <w:tcMar/>
            <w:vAlign w:val="center"/>
          </w:tcPr>
          <w:p w14:paraId="000000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原因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E1">
            <w:r>
              <w:rPr>
                <w:rFonts w:ascii="Consolas" w:hAnsi="Consolas" w:eastAsia="Consolas" w:cs="Consolas"/>
              </w:rPr>
              <w:t>ods_user</w:t>
            </w:r>
            <w:r>
              <w:t xml:space="preserve"> → </w:t>
            </w:r>
            <w:r>
              <w:rPr>
                <w:rFonts w:ascii="Consolas" w:hAnsi="Consolas" w:eastAsia="Consolas" w:cs="Consolas"/>
              </w:rPr>
              <w:t>dwd_user_clean</w:t>
            </w:r>
          </w:p>
        </w:tc>
        <w:tc>
          <w:tcPr>
            <w:tcW w:w="1661" w:type="dxa"/>
            <w:tcMar/>
            <w:vAlign w:val="center"/>
          </w:tcPr>
          <w:p w14:paraId="000000E2">
            <w:r>
              <w:t>1,000</w:t>
            </w:r>
          </w:p>
        </w:tc>
        <w:tc>
          <w:tcPr>
            <w:tcW w:w="1661" w:type="dxa"/>
            <w:tcMar/>
            <w:vAlign w:val="center"/>
          </w:tcPr>
          <w:p w14:paraId="000000E3">
            <w:r>
              <w:t>1,000</w:t>
            </w:r>
          </w:p>
        </w:tc>
        <w:tc>
          <w:tcPr>
            <w:tcW w:w="1661" w:type="dxa"/>
            <w:tcMar/>
            <w:vAlign w:val="center"/>
          </w:tcPr>
          <w:p w14:paraId="000000E4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E5">
            <w:r>
              <w:rPr>
                <w:rFonts w:hint="eastAsia"/>
              </w:rPr>
              <w:t>只做值修复，不删行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E6">
            <w:r>
              <w:rPr>
                <w:rFonts w:ascii="Consolas" w:hAnsi="Consolas" w:eastAsia="Consolas" w:cs="Consolas"/>
              </w:rPr>
              <w:t>ods_product</w:t>
            </w:r>
            <w:r>
              <w:t xml:space="preserve"> → </w:t>
            </w:r>
            <w:r>
              <w:rPr>
                <w:rFonts w:ascii="Consolas" w:hAnsi="Consolas" w:eastAsia="Consolas" w:cs="Consolas"/>
              </w:rPr>
              <w:t>dwd_product_clean</w:t>
            </w:r>
          </w:p>
        </w:tc>
        <w:tc>
          <w:tcPr>
            <w:tcW w:w="1661" w:type="dxa"/>
            <w:tcMar/>
            <w:vAlign w:val="center"/>
          </w:tcPr>
          <w:p w14:paraId="000000E7">
            <w:r>
              <w:t>600</w:t>
            </w:r>
          </w:p>
        </w:tc>
        <w:tc>
          <w:tcPr>
            <w:tcW w:w="1661" w:type="dxa"/>
            <w:tcMar/>
            <w:vAlign w:val="center"/>
          </w:tcPr>
          <w:p w14:paraId="000000E8">
            <w:r>
              <w:t>600</w:t>
            </w:r>
          </w:p>
        </w:tc>
        <w:tc>
          <w:tcPr>
            <w:tcW w:w="1661" w:type="dxa"/>
            <w:tcMar/>
            <w:vAlign w:val="center"/>
          </w:tcPr>
          <w:p w14:paraId="000000E9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EA">
            <w:r>
              <w:rPr>
                <w:rFonts w:hint="eastAsia"/>
              </w:rPr>
              <w:t>价格按成本修正，不删行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EB">
            <w:r>
              <w:rPr>
                <w:rFonts w:ascii="Consolas" w:hAnsi="Consolas" w:eastAsia="Consolas" w:cs="Consolas"/>
              </w:rPr>
              <w:t>ods_store</w:t>
            </w:r>
            <w:r>
              <w:t xml:space="preserve"> → </w:t>
            </w:r>
            <w:r>
              <w:rPr>
                <w:rFonts w:ascii="Consolas" w:hAnsi="Consolas" w:eastAsia="Consolas" w:cs="Consolas"/>
              </w:rPr>
              <w:t>dwd_store_clean</w:t>
            </w:r>
          </w:p>
        </w:tc>
        <w:tc>
          <w:tcPr>
            <w:tcW w:w="1661" w:type="dxa"/>
            <w:tcMar/>
            <w:vAlign w:val="center"/>
          </w:tcPr>
          <w:p w14:paraId="000000EC">
            <w:r>
              <w:t>60</w:t>
            </w:r>
          </w:p>
        </w:tc>
        <w:tc>
          <w:tcPr>
            <w:tcW w:w="1661" w:type="dxa"/>
            <w:tcMar/>
            <w:vAlign w:val="center"/>
          </w:tcPr>
          <w:p w14:paraId="000000ED">
            <w:r>
              <w:t>60</w:t>
            </w:r>
          </w:p>
        </w:tc>
        <w:tc>
          <w:tcPr>
            <w:tcW w:w="1661" w:type="dxa"/>
            <w:tcMar/>
            <w:vAlign w:val="center"/>
          </w:tcPr>
          <w:p w14:paraId="000000EE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EF">
            <w:r>
              <w:rPr>
                <w:rFonts w:hint="eastAsia"/>
              </w:rPr>
              <w:t>本就干净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F0">
            <w:r>
              <w:rPr>
                <w:rFonts w:ascii="Consolas" w:hAnsi="Consolas" w:eastAsia="Consolas" w:cs="Consolas"/>
              </w:rPr>
              <w:t>ods_order</w:t>
            </w:r>
            <w:r>
              <w:t xml:space="preserve"> → </w:t>
            </w:r>
            <w:r>
              <w:rPr>
                <w:rFonts w:ascii="Consolas" w:hAnsi="Consolas" w:eastAsia="Consolas" w:cs="Consolas"/>
              </w:rPr>
              <w:t>dwd_order_clean</w:t>
            </w:r>
          </w:p>
        </w:tc>
        <w:tc>
          <w:tcPr>
            <w:tcW w:w="1661" w:type="dxa"/>
            <w:tcMar/>
            <w:vAlign w:val="center"/>
          </w:tcPr>
          <w:p w14:paraId="000000F1">
            <w:r>
              <w:t>15,600</w:t>
            </w:r>
          </w:p>
        </w:tc>
        <w:tc>
          <w:tcPr>
            <w:tcW w:w="1661" w:type="dxa"/>
            <w:tcMar/>
            <w:vAlign w:val="center"/>
          </w:tcPr>
          <w:p w14:paraId="000000F2">
            <w:r>
              <w:t>14,398</w:t>
            </w:r>
          </w:p>
        </w:tc>
        <w:tc>
          <w:tcPr>
            <w:tcW w:w="1661" w:type="dxa"/>
            <w:tcMar/>
            <w:vAlign w:val="center"/>
          </w:tcPr>
          <w:p w14:paraId="000000F3">
            <w:r>
              <w:rPr>
                <w:b w:val="1"/>
              </w:rPr>
              <w:t>-1,202</w:t>
            </w:r>
          </w:p>
        </w:tc>
        <w:tc>
          <w:tcPr>
            <w:tcW w:w="1661" w:type="dxa"/>
            <w:tcMar/>
            <w:vAlign w:val="center"/>
          </w:tcPr>
          <w:p w14:paraId="000000F4">
            <w:r>
              <w:rPr>
                <w:rFonts w:hint="eastAsia"/>
              </w:rPr>
              <w:t>去重 -600、负金额 -310、超上限 -312（有重叠）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F5">
            <w:r>
              <w:rPr>
                <w:rFonts w:ascii="Consolas" w:hAnsi="Consolas" w:eastAsia="Consolas" w:cs="Consolas"/>
              </w:rPr>
              <w:t>ods_order_item</w:t>
            </w:r>
            <w:r>
              <w:t xml:space="preserve"> → </w:t>
            </w:r>
            <w:r>
              <w:rPr>
                <w:rFonts w:ascii="Consolas" w:hAnsi="Consolas" w:eastAsia="Consolas" w:cs="Consolas"/>
              </w:rPr>
              <w:t>dwd_order_item_clean</w:t>
            </w:r>
          </w:p>
        </w:tc>
        <w:tc>
          <w:tcPr>
            <w:tcW w:w="1661" w:type="dxa"/>
            <w:tcMar/>
            <w:vAlign w:val="center"/>
          </w:tcPr>
          <w:p w14:paraId="000000F6">
            <w:r>
              <w:t>37,549</w:t>
            </w:r>
          </w:p>
        </w:tc>
        <w:tc>
          <w:tcPr>
            <w:tcW w:w="1661" w:type="dxa"/>
            <w:tcMar/>
            <w:vAlign w:val="center"/>
          </w:tcPr>
          <w:p w14:paraId="000000F7">
            <w:r>
              <w:t>34,580</w:t>
            </w:r>
          </w:p>
        </w:tc>
        <w:tc>
          <w:tcPr>
            <w:tcW w:w="1661" w:type="dxa"/>
            <w:tcMar/>
            <w:vAlign w:val="center"/>
          </w:tcPr>
          <w:p w14:paraId="000000F8">
            <w:r>
              <w:rPr>
                <w:b w:val="1"/>
              </w:rPr>
              <w:t>-2,969</w:t>
            </w:r>
          </w:p>
        </w:tc>
        <w:tc>
          <w:tcPr>
            <w:tcW w:w="1661" w:type="dxa"/>
            <w:tcMar/>
            <w:vAlign w:val="center"/>
          </w:tcPr>
          <w:p w14:paraId="000000F9">
            <w:r>
              <w:rPr>
                <w:rFonts w:hint="eastAsia"/>
              </w:rPr>
              <w:t>数量异常、单价非正、孤儿明细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FA">
            <w:r>
              <w:rPr>
                <w:rFonts w:ascii="Consolas" w:hAnsi="Consolas" w:eastAsia="Consolas" w:cs="Consolas"/>
              </w:rPr>
              <w:t>ods_user_behavior</w:t>
            </w:r>
            <w:r>
              <w:t xml:space="preserve"> → </w:t>
            </w:r>
            <w:r>
              <w:rPr>
                <w:rFonts w:ascii="Consolas" w:hAnsi="Consolas" w:eastAsia="Consolas" w:cs="Consolas"/>
              </w:rPr>
              <w:t>dwd_user_behavior_clean</w:t>
            </w:r>
          </w:p>
        </w:tc>
        <w:tc>
          <w:tcPr>
            <w:tcW w:w="1661" w:type="dxa"/>
            <w:tcMar/>
            <w:vAlign w:val="center"/>
          </w:tcPr>
          <w:p w14:paraId="000000FB">
            <w:r>
              <w:t>60,000</w:t>
            </w:r>
          </w:p>
        </w:tc>
        <w:tc>
          <w:tcPr>
            <w:tcW w:w="1661" w:type="dxa"/>
            <w:tcMar/>
            <w:vAlign w:val="center"/>
          </w:tcPr>
          <w:p w14:paraId="000000FC">
            <w:r>
              <w:t>60,000</w:t>
            </w:r>
          </w:p>
        </w:tc>
        <w:tc>
          <w:tcPr>
            <w:tcW w:w="1661" w:type="dxa"/>
            <w:tcMar/>
            <w:vAlign w:val="center"/>
          </w:tcPr>
          <w:p w14:paraId="000000FD">
            <w:r>
              <w:t>0</w:t>
            </w:r>
          </w:p>
        </w:tc>
        <w:tc>
          <w:tcPr>
            <w:tcW w:w="1661" w:type="dxa"/>
            <w:tcMar/>
            <w:vAlign w:val="center"/>
          </w:tcPr>
          <w:p w14:paraId="000000FE">
            <w:r>
              <w:rPr>
                <w:rFonts w:hint="eastAsia"/>
              </w:rPr>
              <w:t>只做枚举与格式修复</w:t>
            </w:r>
          </w:p>
        </w:tc>
      </w:tr>
    </w:tbl>
    <w:p w14:paraId="000000FF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关键指标口径验算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Mar/>
            <w:vAlign w:val="center"/>
          </w:tcPr>
          <w:p w14:paraId="000001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2076" w:type="dxa"/>
            <w:tcMar/>
            <w:vAlign w:val="center"/>
          </w:tcPr>
          <w:p w14:paraId="0000010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清洗前（含脏数据）</w:t>
            </w:r>
          </w:p>
        </w:tc>
        <w:tc>
          <w:tcPr>
            <w:tcW w:w="2076" w:type="dxa"/>
            <w:tcMar/>
            <w:vAlign w:val="center"/>
          </w:tcPr>
          <w:p w14:paraId="0000010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清洗后</w:t>
            </w:r>
          </w:p>
        </w:tc>
        <w:tc>
          <w:tcPr>
            <w:tcW w:w="2076" w:type="dxa"/>
            <w:tcMar/>
            <w:vAlign w:val="center"/>
          </w:tcPr>
          <w:p w14:paraId="0000010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差异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04">
            <w:r>
              <w:rPr>
                <w:rFonts w:hint="eastAsia"/>
              </w:rPr>
              <w:t>订单量</w:t>
            </w:r>
          </w:p>
        </w:tc>
        <w:tc>
          <w:tcPr>
            <w:tcW w:w="2076" w:type="dxa"/>
            <w:tcMar/>
            <w:vAlign w:val="center"/>
          </w:tcPr>
          <w:p w14:paraId="00000105">
            <w:r>
              <w:t>15,600</w:t>
            </w:r>
          </w:p>
        </w:tc>
        <w:tc>
          <w:tcPr>
            <w:tcW w:w="2076" w:type="dxa"/>
            <w:tcMar/>
            <w:vAlign w:val="center"/>
          </w:tcPr>
          <w:p w14:paraId="00000106">
            <w:r>
              <w:t>14,398</w:t>
            </w:r>
          </w:p>
        </w:tc>
        <w:tc>
          <w:tcPr>
            <w:tcW w:w="2076" w:type="dxa"/>
            <w:tcMar/>
            <w:vAlign w:val="center"/>
          </w:tcPr>
          <w:p w14:paraId="00000107">
            <w:r>
              <w:t>-7.71%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08">
            <w:r>
              <w:t>GMV</w:t>
            </w:r>
          </w:p>
        </w:tc>
        <w:tc>
          <w:tcPr>
            <w:tcW w:w="2076" w:type="dxa"/>
            <w:tcMar/>
            <w:vAlign w:val="center"/>
          </w:tcPr>
          <w:p w14:paraId="00000109">
            <w:r>
              <w:rPr>
                <w:rFonts w:hint="eastAsia"/>
              </w:rPr>
              <w:t>含负值与百万级离群值，无业务意义</w:t>
            </w:r>
          </w:p>
        </w:tc>
        <w:tc>
          <w:tcPr>
            <w:tcW w:w="2076" w:type="dxa"/>
            <w:tcMar/>
            <w:vAlign w:val="center"/>
          </w:tcPr>
          <w:p w14:paraId="0000010A">
            <w:r>
              <w:rPr>
                <w:rFonts w:hint="eastAsia"/>
              </w:rPr>
              <w:t>36,116,687.06 元</w:t>
            </w:r>
          </w:p>
        </w:tc>
        <w:tc>
          <w:tcPr>
            <w:tcW w:w="2076" w:type="dxa"/>
            <w:tcMar/>
            <w:vAlign w:val="center"/>
          </w:tcPr>
          <w:p w14:paraId="0000010B">
            <w:r>
              <w:t>—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0C">
            <w:r>
              <w:rPr>
                <w:rFonts w:hint="eastAsia"/>
              </w:rPr>
              <w:t>客单价</w:t>
            </w:r>
          </w:p>
        </w:tc>
        <w:tc>
          <w:tcPr>
            <w:tcW w:w="2076" w:type="dxa"/>
            <w:tcMar/>
            <w:vAlign w:val="center"/>
          </w:tcPr>
          <w:p w14:paraId="0000010D">
            <w:r>
              <w:rPr>
                <w:rFonts w:hint="eastAsia"/>
              </w:rPr>
              <w:t>被离群值拉到不可用</w:t>
            </w:r>
          </w:p>
        </w:tc>
        <w:tc>
          <w:tcPr>
            <w:tcW w:w="2076" w:type="dxa"/>
            <w:tcMar/>
            <w:vAlign w:val="center"/>
          </w:tcPr>
          <w:p w14:paraId="0000010E">
            <w:r>
              <w:rPr>
                <w:rFonts w:hint="eastAsia"/>
              </w:rPr>
              <w:t>2,508.45 元</w:t>
            </w:r>
          </w:p>
        </w:tc>
        <w:tc>
          <w:tcPr>
            <w:tcW w:w="2076" w:type="dxa"/>
            <w:tcMar/>
            <w:vAlign w:val="center"/>
          </w:tcPr>
          <w:p w14:paraId="0000010F">
            <w:r>
              <w:t>—</w:t>
            </w:r>
          </w:p>
        </w:tc>
      </w:tr>
    </w:tbl>
    <w:p w14:paraId="00000110">
      <w:r>
        <w:rPr>
          <w:rFonts w:hint="eastAsia"/>
        </w:rPr>
        <w:t>清洗前 GMV 之所以「无业务意义」，是因为 310 笔负金额与 312 笔百万级金额同时存在，两者方向相反的误差会让总额看起来「差不多正常」，但结构已经完全错了。这正是数据质量问题的隐蔽之处——</w:t>
      </w:r>
      <w:r>
        <w:rPr>
          <w:rFonts w:hint="eastAsia"/>
          <w:b w:val="1"/>
        </w:rPr>
        <w:t>总额对得上，不代表数据对</w:t>
      </w:r>
      <w:r>
        <w:rPr>
          <w:rFonts w:hint="eastAsia"/>
        </w:rPr>
        <w:t>。</w:t>
      </w:r>
    </w:p>
    <w:p w14:paraId="00000111">
      <w:pPr>
        <w:pBdr>
          <w:bottom w:val="thick" w:color="040102" w:sz="8"/>
        </w:pBdr>
      </w:pPr>
    </w:p>
    <w:p w14:paraId="00000112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四、质量验证（清洗后复检）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Mar/>
            <w:vAlign w:val="center"/>
          </w:tcPr>
          <w:p w14:paraId="0000011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验证项</w:t>
            </w:r>
          </w:p>
        </w:tc>
        <w:tc>
          <w:tcPr>
            <w:tcW w:w="4153" w:type="dxa"/>
            <w:tcMar/>
            <w:vAlign w:val="center"/>
          </w:tcPr>
          <w:p w14:paraId="000001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结果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15">
            <w:r>
              <w:rPr>
                <w:rFonts w:hint="eastAsia"/>
              </w:rPr>
              <w:t>订单金额是否存在非正数</w:t>
            </w:r>
          </w:p>
        </w:tc>
        <w:tc>
          <w:tcPr>
            <w:tcW w:w="4153" w:type="dxa"/>
            <w:tcMar/>
            <w:vAlign w:val="center"/>
          </w:tcPr>
          <w:p w14:paraId="00000116">
            <w:r>
              <w:rPr>
                <w:rFonts w:hint="eastAsia"/>
              </w:rPr>
              <w:t>0 条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17">
            <w:r>
              <w:rPr>
                <w:rFonts w:hint="eastAsia"/>
              </w:rPr>
              <w:t>订单金额是否超过 IQR 上界</w:t>
            </w:r>
          </w:p>
        </w:tc>
        <w:tc>
          <w:tcPr>
            <w:tcW w:w="4153" w:type="dxa"/>
            <w:tcMar/>
            <w:vAlign w:val="center"/>
          </w:tcPr>
          <w:p w14:paraId="00000118">
            <w:r>
              <w:rPr>
                <w:rFonts w:hint="eastAsia"/>
              </w:rPr>
              <w:t>0 条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19">
            <w:r>
              <w:rPr>
                <w:rFonts w:hint="eastAsia"/>
              </w:rPr>
              <w:t>明细数量是否存在非正数</w:t>
            </w:r>
          </w:p>
        </w:tc>
        <w:tc>
          <w:tcPr>
            <w:tcW w:w="4153" w:type="dxa"/>
            <w:tcMar/>
            <w:vAlign w:val="center"/>
          </w:tcPr>
          <w:p w14:paraId="0000011A">
            <w:r>
              <w:rPr>
                <w:rFonts w:hint="eastAsia"/>
              </w:rPr>
              <w:t>0 条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1B">
            <w:r>
              <w:rPr>
                <w:rFonts w:hint="eastAsia"/>
              </w:rPr>
              <w:t>商品价格是否存在非正/成本高于售价</w:t>
            </w:r>
          </w:p>
        </w:tc>
        <w:tc>
          <w:tcPr>
            <w:tcW w:w="4153" w:type="dxa"/>
            <w:tcMar/>
            <w:vAlign w:val="center"/>
          </w:tcPr>
          <w:p w14:paraId="0000011C">
            <w:r>
              <w:rPr>
                <w:rFonts w:hint="eastAsia"/>
              </w:rPr>
              <w:t>0 条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1D">
            <w:r>
              <w:rPr>
                <w:rFonts w:hint="eastAsia"/>
              </w:rPr>
              <w:t>用户手机号是否全部 11 位合规</w:t>
            </w:r>
          </w:p>
        </w:tc>
        <w:tc>
          <w:tcPr>
            <w:tcW w:w="4153" w:type="dxa"/>
            <w:tcMar/>
            <w:vAlign w:val="center"/>
          </w:tcPr>
          <w:p w14:paraId="0000011E">
            <w:r>
              <w:rPr>
                <w:rFonts w:hint="eastAsia"/>
              </w:rPr>
              <w:t>全部合规（不合规已置空）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1F">
            <w:r>
              <w:rPr>
                <w:rFonts w:hint="eastAsia"/>
              </w:rPr>
              <w:t xml:space="preserve">行为时间是否全部符合 </w:t>
            </w:r>
            <w:r>
              <w:rPr>
                <w:rFonts w:ascii="Consolas" w:hAnsi="Consolas" w:eastAsia="Consolas" w:cs="Consolas"/>
              </w:rPr>
              <w:t>yyyy-MM-dd HH:mm:ss</w:t>
            </w:r>
          </w:p>
        </w:tc>
        <w:tc>
          <w:tcPr>
            <w:tcW w:w="4153" w:type="dxa"/>
            <w:tcMar/>
            <w:vAlign w:val="center"/>
          </w:tcPr>
          <w:p w14:paraId="00000120">
            <w:r>
              <w:rPr>
                <w:rFonts w:hint="eastAsia"/>
              </w:rPr>
              <w:t>60,000 / 60,000 合规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21">
            <w:r>
              <w:rPr>
                <w:rFonts w:ascii="Consolas" w:hAnsi="Consolas" w:eastAsia="Consolas" w:cs="Consolas"/>
              </w:rPr>
              <w:t>order_timestamp</w:t>
            </w:r>
            <w:r>
              <w:rPr>
                <w:rFonts w:hint="eastAsia"/>
              </w:rPr>
              <w:t xml:space="preserve"> 格式是否全部合规</w:t>
            </w:r>
          </w:p>
        </w:tc>
        <w:tc>
          <w:tcPr>
            <w:tcW w:w="4153" w:type="dxa"/>
            <w:tcMar/>
            <w:vAlign w:val="center"/>
          </w:tcPr>
          <w:p w14:paraId="00000122">
            <w:r>
              <w:rPr>
                <w:rFonts w:hint="eastAsia"/>
              </w:rPr>
              <w:t>14,398 / 14,398 合规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23">
            <w:r>
              <w:rPr>
                <w:rFonts w:hint="eastAsia"/>
              </w:rPr>
              <w:t>事实表外键是否能关联到维度</w:t>
            </w:r>
          </w:p>
        </w:tc>
        <w:tc>
          <w:tcPr>
            <w:tcW w:w="4153" w:type="dxa"/>
            <w:tcMar/>
            <w:vAlign w:val="center"/>
          </w:tcPr>
          <w:p w14:paraId="00000124">
            <w:r>
              <w:rPr>
                <w:rFonts w:hint="eastAsia"/>
              </w:rPr>
              <w:t>孤儿 user_id = 0，孤儿 store_id = 0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25">
            <w:r>
              <w:rPr>
                <w:rFonts w:hint="eastAsia"/>
              </w:rPr>
              <w:t>编码映射是否全部命中</w:t>
            </w:r>
          </w:p>
        </w:tc>
        <w:tc>
          <w:tcPr>
            <w:tcW w:w="4153" w:type="dxa"/>
            <w:tcMar/>
            <w:vAlign w:val="center"/>
          </w:tcPr>
          <w:p w14:paraId="00000126">
            <w:r>
              <w:rPr>
                <w:rFonts w:ascii="Consolas" w:hAnsi="Consolas" w:eastAsia="Consolas" w:cs="Consolas"/>
              </w:rPr>
              <w:t>PT99/OS99/CH99/BT99</w:t>
            </w:r>
            <w:r>
              <w:rPr>
                <w:rFonts w:hint="eastAsia"/>
              </w:rPr>
              <w:t xml:space="preserve"> 未命中数 = 0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27">
            <w:r>
              <w:rPr>
                <w:rFonts w:hint="eastAsia"/>
              </w:rPr>
              <w:t>用户年龄区间</w:t>
            </w:r>
          </w:p>
        </w:tc>
        <w:tc>
          <w:tcPr>
            <w:tcW w:w="4153" w:type="dxa"/>
            <w:tcMar/>
            <w:vAlign w:val="center"/>
          </w:tcPr>
          <w:p w14:paraId="00000128">
            <w:r>
              <w:rPr>
                <w:rFonts w:hint="eastAsia"/>
              </w:rPr>
              <w:t>18 ~ 65 岁，无越界</w:t>
            </w:r>
          </w:p>
        </w:tc>
      </w:tr>
    </w:tbl>
    <w:p w14:paraId="00000129">
      <w:pPr>
        <w:pBdr>
          <w:bottom w:val="thick" w:color="040102" w:sz="8"/>
        </w:pBdr>
      </w:pPr>
    </w:p>
    <w:p w14:paraId="0000012A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五、遗留问题说明</w:t>
      </w:r>
    </w:p>
    <w:p w14:paraId="0000012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邮箱空值 193 条（有意保留）</w:t>
      </w:r>
    </w:p>
    <w:p w14:paraId="0000012C">
      <w:r>
        <w:rPr>
          <w:rFonts w:hint="eastAsia"/>
          <w:b w:val="1"/>
        </w:rPr>
        <w:t>为什么不填</w:t>
      </w:r>
      <w:r>
        <w:rPr>
          <w:rFonts w:hint="eastAsia"/>
        </w:rPr>
        <w:t>：邮箱是弱依赖字段，不参与订单、行为、销售等核心指标计算。如果按「姓名拼音 + 域名」批量编造，短期看缺失率归零，长期会给下游的用户画像和营销触达埋雷（可能给虚构地址发营销邮件，也可能把两个真实用户合并成一个画像）。</w:t>
      </w:r>
    </w:p>
    <w:p w14:paraId="0000012D">
      <w:r>
        <w:rPr>
          <w:rFonts w:hint="eastAsia"/>
          <w:b w:val="1"/>
        </w:rPr>
        <w:t>做法</w:t>
      </w:r>
      <w:r>
        <w:rPr>
          <w:rFonts w:hint="eastAsia"/>
        </w:rPr>
        <w:t xml:space="preserve">：保留空值，同时新增 </w:t>
      </w:r>
      <w:r>
        <w:rPr>
          <w:rFonts w:ascii="Consolas" w:hAnsi="Consolas" w:eastAsia="Consolas" w:cs="Consolas"/>
        </w:rPr>
        <w:t>email_flag</w:t>
      </w:r>
      <w:r>
        <w:rPr>
          <w:rFonts w:hint="eastAsia"/>
        </w:rPr>
        <w:t xml:space="preserve"> 字段（</w:t>
      </w:r>
      <w:r>
        <w:rPr>
          <w:rFonts w:hint="eastAsia" w:ascii="Consolas" w:hAnsi="Consolas" w:eastAsia="Consolas" w:cs="Consolas"/>
        </w:rPr>
        <w:t>正常</w:t>
      </w:r>
      <w:r>
        <w:t xml:space="preserve"> / </w:t>
      </w:r>
      <w:r>
        <w:rPr>
          <w:rFonts w:hint="eastAsia" w:ascii="Consolas" w:hAnsi="Consolas" w:eastAsia="Consolas" w:cs="Consolas"/>
        </w:rPr>
        <w:t>缺失</w:t>
      </w:r>
      <w:r>
        <w:rPr>
          <w:rFonts w:hint="eastAsia"/>
        </w:rPr>
        <w:t xml:space="preserve">），下游按需 </w:t>
      </w:r>
      <w:r>
        <w:rPr>
          <w:rFonts w:hint="eastAsia" w:ascii="Consolas" w:hAnsi="Consolas" w:eastAsia="Consolas" w:cs="Consolas"/>
        </w:rPr>
        <w:t>WHERE email_flag='正常'</w:t>
      </w:r>
      <w:r>
        <w:rPr>
          <w:rFonts w:hint="eastAsia"/>
        </w:rPr>
        <w:t xml:space="preserve"> 过滤即可。这样「缺失」变成了一种可查询的状态，而不是一个需要猜的空洞。</w:t>
      </w:r>
    </w:p>
    <w:p w14:paraId="0000012E">
      <w:r>
        <w:rPr>
          <w:rFonts w:hint="eastAsia"/>
        </w:rPr>
        <w:t xml:space="preserve">同类处理还有 </w:t>
      </w:r>
      <w:r>
        <w:rPr>
          <w:rFonts w:ascii="Consolas" w:hAnsi="Consolas" w:eastAsia="Consolas" w:cs="Consolas"/>
        </w:rPr>
        <w:t>phone_flag</w:t>
      </w:r>
      <w:r>
        <w:rPr>
          <w:rFonts w:hint="eastAsia"/>
        </w:rPr>
        <w:t xml:space="preserve">（格式异常置空后标记）与 </w:t>
      </w:r>
      <w:r>
        <w:rPr>
          <w:rFonts w:ascii="Consolas" w:hAnsi="Consolas" w:eastAsia="Consolas" w:cs="Consolas"/>
        </w:rPr>
        <w:t>member_level_flag</w:t>
      </w:r>
      <w:r>
        <w:rPr>
          <w:rFonts w:hint="eastAsia"/>
        </w:rPr>
        <w:t>（空值兜底后标记）。</w:t>
      </w:r>
    </w:p>
    <w:p w14:paraId="0000012F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5.2 139 笔订单无明细（源数据问题）</w:t>
      </w:r>
    </w:p>
    <w:p w14:paraId="00000130">
      <w:r>
        <w:rPr>
          <w:rFonts w:hint="eastAsia"/>
        </w:rPr>
        <w:t>14,398 笔订单中，14,259 笔能在明细表找到对应记录（覆盖率 99.03%），剩余 139 笔涉及 GMV 349,609.43 元。</w:t>
      </w:r>
    </w:p>
    <w:p w14:paraId="00000131">
      <w:r>
        <w:rPr>
          <w:rFonts w:hint="eastAsia"/>
          <w:b w:val="1"/>
        </w:rPr>
        <w:t>影响</w:t>
      </w:r>
      <w:r>
        <w:rPr>
          <w:rFonts w:hint="eastAsia"/>
        </w:rPr>
        <w:t>：类目维度汇总的 GMV 合计为 35,767,077.63 元，比订单侧 GMV 少 34.96 万元。类目占比分析不受影响（分母同源），但类目 GMV 绝对值不能直接当订单 GMV 用。</w:t>
      </w:r>
    </w:p>
    <w:p w14:paraId="00000132">
      <w:r>
        <w:rPr>
          <w:rFonts w:hint="eastAsia"/>
          <w:b w:val="1"/>
        </w:rPr>
        <w:t>为何本周不处理</w:t>
      </w:r>
      <w:r>
        <w:rPr>
          <w:rFonts w:hint="eastAsia"/>
        </w:rPr>
        <w:t>：这不是「脏数据」，而是明细缺失。补齐需要业务方提供原始明细，不能在数仓侧臆造。已记入架构文档遗留问题，待与数据提供方确认。</w:t>
      </w:r>
    </w:p>
    <w:p w14:paraId="00000133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会员等级口径与第一周不一致</w:t>
      </w:r>
    </w:p>
    <w:p w14:paraId="00000134">
      <w:r>
        <w:rPr>
          <w:rFonts w:hint="eastAsia"/>
        </w:rPr>
        <w:t>第一周临时采用短名称（金卡/银卡/钻石/普通），第二周按任务书「统一为中文标准值」的要求改为全称（金卡会员/银卡会员/钻石会员/普通会员）。</w:t>
      </w:r>
    </w:p>
    <w:p w14:paraId="00000135">
      <w:r>
        <w:rPr>
          <w:rFonts w:hint="eastAsia"/>
        </w:rPr>
        <w:t xml:space="preserve">两者一一对应，无信息损失。第一周的 </w:t>
      </w:r>
      <w:r>
        <w:rPr>
          <w:rFonts w:ascii="Consolas" w:hAnsi="Consolas" w:eastAsia="Consolas" w:cs="Consolas"/>
        </w:rPr>
        <w:t>dwd_user</w:t>
      </w:r>
      <w:r>
        <w:rPr>
          <w:rFonts w:hint="eastAsia"/>
        </w:rPr>
        <w:t xml:space="preserve"> 表作为历史验收证据保留，第 2 周起以 </w:t>
      </w:r>
      <w:r>
        <w:rPr>
          <w:rFonts w:ascii="Consolas" w:hAnsi="Consolas" w:eastAsia="Consolas" w:cs="Consolas"/>
        </w:rPr>
        <w:t>dwd_user_clean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</w:rPr>
        <w:t>dim_user</w:t>
      </w:r>
      <w:r>
        <w:rPr>
          <w:rFonts w:hint="eastAsia"/>
        </w:rPr>
        <w:t xml:space="preserve"> 为准。</w:t>
      </w:r>
    </w:p>
    <w:p w14:paraId="00000136">
      <w:pPr>
        <w:pBdr>
          <w:bottom w:val="thick" w:color="040102" w:sz="8"/>
        </w:pBdr>
      </w:pPr>
    </w:p>
    <w:p w14:paraId="00000137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六、复现方式</w:t>
      </w:r>
    </w:p>
    <w:p w14:paraId="00000138">
      <w:r>
        <w:rPr>
          <w:rFonts w:hint="eastAsia"/>
        </w:rPr>
        <w:t xml:space="preserve"> cd /d/新建文件夹/ydsh_week1</w:t>
      </w:r>
    </w:p>
    <w:p w14:paraId="00000139">
      <w:r>
        <w:rPr>
          <w:rFonts w:hint="eastAsia"/>
        </w:rPr>
        <w:t xml:space="preserve"> # 清洗三步</w:t>
      </w:r>
    </w:p>
    <w:p w14:paraId="0000013A">
      <w:r>
        <w:rPr>
          <w:rFonts w:hint="eastAsia"/>
        </w:rPr>
        <w:t xml:space="preserve"> bash scripts/run_sql.sh sql/clean/20_enum_standardize.sql # 枚举标准化</w:t>
      </w:r>
    </w:p>
    <w:p w14:paraId="0000013B">
      <w:r>
        <w:rPr>
          <w:rFonts w:hint="eastAsia"/>
        </w:rPr>
        <w:t xml:space="preserve"> bash scripts/run_sql.sh sql/clean/21_abnormal_format.sql # 异常值 + 格式</w:t>
      </w:r>
    </w:p>
    <w:p w14:paraId="0000013C">
      <w:r>
        <w:rPr>
          <w:rFonts w:hint="eastAsia"/>
        </w:rPr>
        <w:t xml:space="preserve"> bash scripts/run_sql.sh sql/clean/22_split_merge_map.sql # 合并 + 编码映射</w:t>
      </w:r>
    </w:p>
    <w:p w14:paraId="0000013D">
      <w:r>
        <w:rPr>
          <w:rFonts w:hint="eastAsia"/>
        </w:rPr>
        <w:t xml:space="preserve"> # 质量对比（生成本报告全部数据）</w:t>
      </w:r>
    </w:p>
    <w:p w14:paraId="0000013E">
      <w:r>
        <w:t xml:space="preserve"> bash scripts/run_sql.sh sql/clean/23_quality_compare.sql</w:t>
      </w:r>
    </w:p>
    <w:p w14:paraId="0000013F">
      <w:r>
        <w:rPr>
          <w:rFonts w:hint="eastAsia"/>
        </w:rPr>
        <w:t xml:space="preserve"> # 查看明细</w:t>
      </w:r>
    </w:p>
    <w:p w14:paraId="00000140">
      <w:r>
        <w:t xml:space="preserve"> # SELECT * FROM ydsh_dwd.dq_compare ORDER BY category, before_cnt DESC;</w:t>
      </w:r>
    </w:p>
    <w:p w14:paraId="00000141">
      <w:r>
        <w:rPr>
          <w:rFonts w:hint="eastAsia"/>
        </w:rPr>
        <w:t>脚本设计为</w:t>
      </w:r>
      <w:r>
        <w:rPr>
          <w:rFonts w:hint="eastAsia"/>
          <w:b w:val="1"/>
        </w:rPr>
        <w:t>可重复执行</w:t>
      </w:r>
      <w:r>
        <w:rPr>
          <w:rFonts w:hint="eastAsia"/>
        </w:rPr>
        <w:t xml:space="preserve">：所有中间表先 </w:t>
      </w:r>
      <w:r>
        <w:rPr>
          <w:rFonts w:ascii="Consolas" w:hAnsi="Consolas" w:eastAsia="Consolas" w:cs="Consolas"/>
        </w:rPr>
        <w:t>DROP IF EXISTS</w:t>
      </w:r>
      <w:r>
        <w:rPr>
          <w:rFonts w:hint="eastAsia"/>
        </w:rPr>
        <w:t>，金额阈值从 ODS 计算而非从清洗结果计算，因此连续跑多次结果完全一致。</w:t>
      </w:r>
    </w:p>
    <w:p w14:paraId="00000142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Subtitle" w:uiPriority="11" w:qFormat="1"/>
    <w:lsdException w:name="List 5" w:semiHidden="1" w:unhideWhenUsed="1"/>
    <w:lsdException w:name="List Number 3" w:semiHidden="1" w:unhideWhenUsed="1"/>
    <w:lsdException w:name="heading 1" w:uiPriority="9" w:qFormat="1"/>
    <w:lsdException w:name="List 3" w:semiHidden="1" w:unhideWhenUsed="1"/>
    <w:lsdException w:name="heading 7" w:uiPriority="9" w:semiHidden="1" w:unhideWhenUsed="1" w:qFormat="1"/>
    <w:lsdException w:name="Body Text First Indent 2" w:semiHidden="1" w:unhideWhenUsed="1"/>
    <w:lsdException w:name="List Continue 2" w:semiHidden="1" w:unhideWhenUsed="1"/>
    <w:lsdException w:name="toc 4" w:uiPriority="39" w:semiHidden="1" w:unhideWhenUsed="1"/>
    <w:lsdException w:name="Body Text" w:semiHidden="1" w:unhideWhenUsed="1"/>
    <w:lsdException w:name="FollowedHyperlink" w:semiHidden="1" w:unhideWhenUsed="1"/>
    <w:lsdException w:name="List Number" w:semiHidden="1" w:unhideWhenUsed="1"/>
    <w:lsdException w:name="Closing" w:semiHidden="1" w:unhideWhenUsed="1"/>
    <w:lsdException w:name="List Number 2" w:semiHidden="1" w:unhideWhenUsed="1"/>
    <w:lsdException w:name="Body Text 2" w:semiHidden="1" w:unhideWhenUsed="1"/>
    <w:lsdException w:name="endnote reference" w:semiHidden="1" w:unhideWhenUsed="1"/>
    <w:lsdException w:name="List" w:semiHidden="1" w:unhideWhenUsed="1"/>
    <w:lsdException w:name="Body Text Indent" w:semiHidden="1" w:unhideWhenUsed="1"/>
    <w:lsdException w:name="table of authorities" w:semiHidden="1" w:unhideWhenUsed="1"/>
    <w:lsdException w:name="toc 9" w:uiPriority="39" w:semiHidden="1" w:unhideWhenUsed="1"/>
    <w:lsdException w:name="List Bullet 3" w:semiHidden="1" w:unhideWhenUsed="1"/>
    <w:lsdException w:name="Title" w:uiPriority="10" w:qFormat="1"/>
    <w:lsdException w:name="heading 5" w:uiPriority="9" w:semiHidden="1" w:unhideWhenUsed="1" w:qFormat="1"/>
    <w:lsdException w:name="envelope return" w:semiHidden="1" w:unhideWhenUsed="1"/>
    <w:lsdException w:name="List Continue 4" w:semiHidden="1" w:unhideWhenUsed="1"/>
    <w:lsdException w:name="footnote reference" w:semiHidden="1" w:unhideWhenUsed="1"/>
    <w:lsdException w:name="footnote text" w:semiHidden="1" w:unhideWhenUsed="1"/>
    <w:lsdException w:name="Date" w:semiHidden="1" w:unhideWhenUsed="1"/>
    <w:lsdException w:name="toc 2" w:uiPriority="39" w:semiHidden="1" w:unhideWhenUsed="1"/>
    <w:lsdException w:name="footer" w:semiHidden="1" w:unhideWhenUsed="1"/>
    <w:lsdException w:name="toa heading" w:semiHidden="1" w:unhideWhenUsed="1"/>
    <w:lsdException w:name="toc 8" w:uiPriority="39" w:semiHidden="1" w:unhideWhenUsed="1"/>
    <w:lsdException w:name="index 7" w:semiHidden="1" w:unhideWhenUsed="1"/>
    <w:lsdException w:name="index 1" w:semiHidden="1" w:unhideWhenUsed="1"/>
    <w:lsdException w:name="List Continue" w:semiHidden="1" w:unhideWhenUsed="1"/>
    <w:lsdException w:name="toc 7" w:uiPriority="39" w:semiHidden="1" w:unhideWhenUsed="1"/>
    <w:lsdException w:name="toc 3" w:uiPriority="39" w:semiHidden="1" w:unhideWhenUsed="1"/>
    <w:lsdException w:name="Note Heading" w:semiHidden="1" w:unhideWhenUsed="1"/>
    <w:lsdException w:name="Hyperlink" w:semiHidden="1" w:unhideWhenUsed="1"/>
    <w:lsdException w:name="index 2" w:semiHidden="1" w:unhideWhenUsed="1"/>
    <w:lsdException w:name="index 6" w:semiHidden="1" w:unhideWhenUsed="1"/>
    <w:lsdException w:name="header" w:semiHidden="1" w:unhideWhenUsed="1"/>
    <w:lsdException w:name="Body Text Indent 3" w:semiHidden="1" w:unhideWhenUsed="1"/>
    <w:lsdException w:name="toc 6" w:uiPriority="39" w:semiHidden="1" w:unhideWhenUsed="1"/>
    <w:lsdException w:name="index heading" w:semiHidden="1" w:unhideWhenUsed="1"/>
    <w:lsdException w:name="index 9" w:semiHidden="1" w:unhideWhenUsed="1"/>
    <w:lsdException w:name="List Bullet" w:semiHidden="1" w:unhideWhenUsed="1"/>
    <w:lsdException w:name="annotation reference" w:semiHidden="1" w:unhideWhenUsed="1"/>
    <w:lsdException w:name="index 3" w:semiHidden="1" w:unhideWhenUsed="1"/>
    <w:lsdException w:name="toc 5" w:uiPriority="39" w:semiHidden="1" w:unhideWhenUsed="1"/>
    <w:lsdException w:name="Normal" w:uiPriority="0" w:qFormat="1"/>
    <w:lsdException w:name="toc 1" w:uiPriority="39" w:semiHidden="1" w:unhideWhenUsed="1"/>
    <w:lsdException w:name="Body Text 3" w:semiHidden="1" w:unhideWhenUsed="1"/>
    <w:lsdException w:name="Signature" w:semiHidden="1" w:unhideWhenUsed="1"/>
    <w:lsdException w:name="Normal Indent" w:semiHidden="1" w:unhideWhenUsed="1"/>
    <w:lsdException w:name="annotation text" w:semiHidden="1" w:unhideWhenUsed="1"/>
    <w:lsdException w:name="line number" w:semiHidden="1" w:unhideWhenUsed="1"/>
    <w:lsdException w:name="page number" w:semiHidden="1" w:unhideWhenUsed="1"/>
    <w:lsdException w:name="index 4" w:semiHidden="1" w:unhideWhenUsed="1"/>
    <w:lsdException w:name="index 8" w:semiHidden="1" w:unhideWhenUsed="1"/>
    <w:lsdException w:name="List Bullet 2" w:semiHidden="1" w:unhideWhenUsed="1"/>
    <w:lsdException w:name="heading 8" w:uiPriority="9" w:semiHidden="1" w:unhideWhenUsed="1" w:qFormat="1"/>
    <w:lsdException w:name="macro" w:semiHidden="1" w:unhideWhenUsed="1"/>
    <w:lsdException w:name="heading 4" w:uiPriority="9" w:semiHidden="1" w:unhideWhenUsed="1" w:qFormat="1"/>
    <w:lsdException w:name="List Continue 5" w:semiHidden="1" w:unhideWhenUsed="1"/>
    <w:lsdException w:name="table of figures" w:semiHidden="1" w:unhideWhenUsed="1"/>
    <w:lsdException w:name="Body Text First Indent" w:semiHidden="1" w:unhideWhenUsed="1"/>
    <w:lsdException w:name="List 4" w:semiHidden="1" w:unhideWhenUsed="1"/>
    <w:lsdException w:name="Block Text" w:semiHidden="1" w:unhideWhenUsed="1"/>
    <w:lsdException w:name="List Bullet 5" w:semiHidden="1" w:unhideWhenUsed="1"/>
    <w:lsdException w:name="index 5" w:semiHidden="1" w:unhideWhenUsed="1"/>
    <w:lsdException w:name="heading 3" w:uiPriority="9" w:semiHidden="1" w:unhideWhenUsed="1" w:qFormat="1"/>
    <w:lsdException w:name="Default Paragraph Font" w:uiPriority="1" w:semiHidden="1" w:unhideWhenUsed="1"/>
    <w:lsdException w:name="List Number 5" w:semiHidden="1" w:unhideWhenUsed="1"/>
    <w:lsdException w:name="Message Header" w:semiHidden="1" w:unhideWhenUsed="1"/>
    <w:lsdException w:name="Salutation" w:semiHidden="1" w:unhideWhenUsed="1"/>
    <w:lsdException w:name="heading 9" w:uiPriority="9" w:semiHidden="1" w:unhideWhenUsed="1" w:qFormat="1"/>
    <w:lsdException w:name="Body Text Indent 2" w:semiHidden="1" w:unhideWhenUsed="1"/>
    <w:lsdException w:name="caption" w:uiPriority="35" w:semiHidden="1" w:unhideWhenUsed="1" w:qFormat="1"/>
    <w:lsdException w:name="endnote text" w:semiHidden="1" w:unhideWhenUsed="1"/>
    <w:lsdException w:name="List Bullet 4" w:semiHidden="1" w:unhideWhenUsed="1"/>
    <w:lsdException w:name="List 2" w:semiHidden="1" w:unhideWhenUsed="1"/>
    <w:lsdException w:name="heading 6" w:uiPriority="9" w:semiHidden="1" w:unhideWhenUsed="1" w:qFormat="1"/>
    <w:lsdException w:name="heading 2" w:uiPriority="9" w:semiHidden="1" w:unhideWhenUsed="1" w:qFormat="1"/>
    <w:lsdException w:name="List Continue 3" w:semiHidden="1" w:unhideWhenUsed="1"/>
    <w:lsdException w:name="List Number 4" w:semiHidden="1" w:unhideWhenUsed="1"/>
    <w:lsdException w:name="Strong" w:uiPriority="22" w:qFormat="1"/>
    <w:lsdException w:name="envelope address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2026-11-02T08:41:19Z</dcterms:created>
  <dcterms:modified xsi:type="dcterms:W3CDTF">2026-11-02T08:41:19Z</dcterms:modified>
</cp:coreProperties>
</file>