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ED5" w:rsidRDefault="0025158A">
      <w:r>
        <w:rPr>
          <w:rFonts w:hint="eastAsia"/>
        </w:rPr>
        <w:t>2</w:t>
      </w:r>
      <w:r>
        <w:t>0190</w:t>
      </w:r>
      <w:r w:rsidR="00F34CB1">
        <w:t>305</w:t>
      </w:r>
      <w:r>
        <w:rPr>
          <w:rFonts w:hint="eastAsia"/>
        </w:rPr>
        <w:t>美國重要財金指標</w:t>
      </w:r>
    </w:p>
    <w:p w:rsidR="0025158A" w:rsidRDefault="008B6477" w:rsidP="0057619F">
      <w:pPr>
        <w:pStyle w:val="a3"/>
        <w:numPr>
          <w:ilvl w:val="0"/>
          <w:numId w:val="1"/>
        </w:numPr>
        <w:ind w:leftChars="0"/>
      </w:pPr>
      <w:r>
        <w:rPr>
          <w:rFonts w:hint="eastAsia"/>
        </w:rPr>
        <w:t>生產者</w:t>
      </w:r>
      <w:r w:rsidR="0057619F">
        <w:rPr>
          <w:rFonts w:hint="eastAsia"/>
        </w:rPr>
        <w:t>物價指數</w:t>
      </w:r>
      <w:r w:rsidR="0057619F">
        <w:rPr>
          <w:rFonts w:hint="eastAsia"/>
        </w:rPr>
        <w:t>PPI</w:t>
      </w:r>
      <w:r w:rsidR="0057619F">
        <w:rPr>
          <w:rFonts w:hint="eastAsia"/>
        </w:rPr>
        <w:t>：</w:t>
      </w:r>
      <w:r w:rsidR="006E3133">
        <w:rPr>
          <w:rFonts w:hint="eastAsia"/>
        </w:rPr>
        <w:t xml:space="preserve"> </w:t>
      </w:r>
    </w:p>
    <w:p w:rsidR="0057619F" w:rsidRDefault="0057619F" w:rsidP="0057619F">
      <w:r>
        <w:rPr>
          <w:rFonts w:hint="eastAsia"/>
        </w:rPr>
        <w:t>說明：</w:t>
      </w:r>
      <w:r w:rsidR="009D6AD4" w:rsidRPr="009D6AD4">
        <w:rPr>
          <w:rFonts w:hint="eastAsia"/>
        </w:rPr>
        <w:t>生產者物價指數</w:t>
      </w:r>
      <w:r w:rsidR="009D6AD4" w:rsidRPr="009D6AD4">
        <w:rPr>
          <w:rFonts w:hint="eastAsia"/>
        </w:rPr>
        <w:t>PPI</w:t>
      </w:r>
      <w:r w:rsidR="009D6AD4" w:rsidRPr="009D6AD4">
        <w:rPr>
          <w:rFonts w:hint="eastAsia"/>
        </w:rPr>
        <w:t>：生產者物價指數</w:t>
      </w:r>
      <w:r w:rsidR="009D6AD4" w:rsidRPr="009D6AD4">
        <w:rPr>
          <w:rFonts w:hint="eastAsia"/>
        </w:rPr>
        <w:t>( Producer Price Index )</w:t>
      </w:r>
      <w:r w:rsidR="009D6AD4" w:rsidRPr="009D6AD4">
        <w:rPr>
          <w:rFonts w:hint="eastAsia"/>
        </w:rPr>
        <w:t>，簡稱</w:t>
      </w:r>
      <w:r w:rsidR="009D6AD4" w:rsidRPr="009D6AD4">
        <w:rPr>
          <w:rFonts w:hint="eastAsia"/>
        </w:rPr>
        <w:t>PPI</w:t>
      </w:r>
      <w:r w:rsidR="009D6AD4" w:rsidRPr="009D6AD4">
        <w:rPr>
          <w:rFonts w:hint="eastAsia"/>
        </w:rPr>
        <w:t>，係根據多項商品製造價格使用加權方式計算出的指數。生產者物價指數可以反應廠商的製造或批發成本的變化，所以廠是商用來做為制定生產決策的重要參考。通常商品的零售價格是由廠商的生產成本加成而定，所以生產者物價指數亦有反映消費者物價指數的功能。</w:t>
      </w:r>
    </w:p>
    <w:p w:rsidR="0057619F" w:rsidRDefault="0057619F" w:rsidP="0057619F">
      <w:r>
        <w:rPr>
          <w:rFonts w:hint="eastAsia"/>
        </w:rPr>
        <w:t>資料來源：</w:t>
      </w:r>
      <w:hyperlink r:id="rId5" w:history="1">
        <w:r w:rsidR="000D23D1" w:rsidRPr="00737D10">
          <w:rPr>
            <w:rStyle w:val="a4"/>
          </w:rPr>
          <w:t>https://www.bls.gov/ppi/data.htm</w:t>
        </w:r>
      </w:hyperlink>
    </w:p>
    <w:p w:rsidR="0057619F" w:rsidRDefault="0057619F" w:rsidP="0057619F"/>
    <w:p w:rsidR="0057619F" w:rsidRDefault="0057619F" w:rsidP="0057619F">
      <w:pPr>
        <w:pStyle w:val="a3"/>
        <w:numPr>
          <w:ilvl w:val="0"/>
          <w:numId w:val="1"/>
        </w:numPr>
        <w:ind w:leftChars="0"/>
      </w:pPr>
      <w:r>
        <w:rPr>
          <w:rFonts w:hint="eastAsia"/>
        </w:rPr>
        <w:t>消費者物價指數</w:t>
      </w:r>
      <w:r>
        <w:rPr>
          <w:rFonts w:hint="eastAsia"/>
        </w:rPr>
        <w:t>CPI</w:t>
      </w:r>
      <w:r>
        <w:rPr>
          <w:rFonts w:hint="eastAsia"/>
        </w:rPr>
        <w:t>：</w:t>
      </w:r>
    </w:p>
    <w:p w:rsidR="0057619F" w:rsidRDefault="0057619F" w:rsidP="0057619F">
      <w:r>
        <w:rPr>
          <w:rFonts w:hint="eastAsia"/>
        </w:rPr>
        <w:t>說明：</w:t>
      </w:r>
      <w:r w:rsidR="009D6AD4" w:rsidRPr="009D6AD4">
        <w:rPr>
          <w:rFonts w:hint="eastAsia"/>
        </w:rPr>
        <w:t>反映與居民生活有關的產品及勞務價格統計出來的物價變動指標，以百分比變化為表達形式。</w:t>
      </w:r>
    </w:p>
    <w:p w:rsidR="0057619F" w:rsidRDefault="0057619F" w:rsidP="0057619F">
      <w:r>
        <w:rPr>
          <w:rFonts w:hint="eastAsia"/>
        </w:rPr>
        <w:t>資料來源：</w:t>
      </w:r>
      <w:hyperlink r:id="rId6" w:history="1">
        <w:r w:rsidR="000D23D1" w:rsidRPr="00737D10">
          <w:rPr>
            <w:rStyle w:val="a4"/>
          </w:rPr>
          <w:t>https://www.bls.gov/cpi/data.htm</w:t>
        </w:r>
      </w:hyperlink>
    </w:p>
    <w:p w:rsidR="0057619F" w:rsidRDefault="0057619F" w:rsidP="0057619F"/>
    <w:p w:rsidR="0057619F" w:rsidRDefault="0057619F" w:rsidP="0057619F">
      <w:pPr>
        <w:pStyle w:val="a3"/>
        <w:numPr>
          <w:ilvl w:val="0"/>
          <w:numId w:val="1"/>
        </w:numPr>
        <w:ind w:leftChars="0"/>
      </w:pPr>
      <w:r>
        <w:rPr>
          <w:rFonts w:hint="eastAsia"/>
        </w:rPr>
        <w:t>ISM</w:t>
      </w:r>
      <w:r>
        <w:rPr>
          <w:rFonts w:hint="eastAsia"/>
        </w:rPr>
        <w:t>製造業</w:t>
      </w:r>
      <w:r>
        <w:rPr>
          <w:rFonts w:hint="eastAsia"/>
        </w:rPr>
        <w:t>PMI</w:t>
      </w:r>
      <w:r>
        <w:rPr>
          <w:rFonts w:hint="eastAsia"/>
        </w:rPr>
        <w:t>指數：</w:t>
      </w:r>
    </w:p>
    <w:p w:rsidR="0057619F" w:rsidRDefault="0057619F" w:rsidP="0057619F">
      <w:r>
        <w:rPr>
          <w:rFonts w:hint="eastAsia"/>
        </w:rPr>
        <w:t>說明：</w:t>
      </w:r>
      <w:r w:rsidR="009D6AD4" w:rsidRPr="009D6AD4">
        <w:rPr>
          <w:rFonts w:hint="eastAsia"/>
        </w:rPr>
        <w:t>（</w:t>
      </w:r>
      <w:r w:rsidR="009D6AD4" w:rsidRPr="009D6AD4">
        <w:rPr>
          <w:rFonts w:hint="eastAsia"/>
        </w:rPr>
        <w:t>Purchasing Managers</w:t>
      </w:r>
      <w:r w:rsidR="009D6AD4" w:rsidRPr="009D6AD4">
        <w:rPr>
          <w:rFonts w:hint="eastAsia"/>
        </w:rPr>
        <w:t>’</w:t>
      </w:r>
      <w:r w:rsidR="009D6AD4" w:rsidRPr="009D6AD4">
        <w:rPr>
          <w:rFonts w:hint="eastAsia"/>
        </w:rPr>
        <w:t>Index, PMI</w:t>
      </w:r>
      <w:r w:rsidR="009D6AD4" w:rsidRPr="009D6AD4">
        <w:rPr>
          <w:rFonts w:hint="eastAsia"/>
        </w:rPr>
        <w:t>）為一綜合性指標，係每月對受訪企業的採購經理人進行調查，並依調查結果編製成的指數。由美國供應管理協會公佈的</w:t>
      </w:r>
      <w:r w:rsidR="009D6AD4">
        <w:rPr>
          <w:rFonts w:hint="eastAsia"/>
        </w:rPr>
        <w:t>製造業</w:t>
      </w:r>
      <w:r w:rsidR="002533BE">
        <w:rPr>
          <w:rFonts w:hint="eastAsia"/>
        </w:rPr>
        <w:t>採購經理人指數，</w:t>
      </w:r>
      <w:r w:rsidR="002533BE" w:rsidRPr="002533BE">
        <w:rPr>
          <w:rFonts w:hint="eastAsia"/>
        </w:rPr>
        <w:t>採購經理人指數是以百分比來表示，常以</w:t>
      </w:r>
      <w:r w:rsidR="002533BE" w:rsidRPr="002533BE">
        <w:rPr>
          <w:rFonts w:hint="eastAsia"/>
        </w:rPr>
        <w:t>50%</w:t>
      </w:r>
      <w:r w:rsidR="002533BE" w:rsidRPr="002533BE">
        <w:rPr>
          <w:rFonts w:hint="eastAsia"/>
        </w:rPr>
        <w:t>作為經濟強弱的分界點：即當指數高於</w:t>
      </w:r>
      <w:r w:rsidR="002533BE" w:rsidRPr="002533BE">
        <w:rPr>
          <w:rFonts w:hint="eastAsia"/>
        </w:rPr>
        <w:t>50%</w:t>
      </w:r>
      <w:r w:rsidR="002533BE" w:rsidRPr="002533BE">
        <w:rPr>
          <w:rFonts w:hint="eastAsia"/>
        </w:rPr>
        <w:t>時，被解釋為經濟擴張的訊號。當指數低於</w:t>
      </w:r>
      <w:r w:rsidR="002533BE" w:rsidRPr="002533BE">
        <w:rPr>
          <w:rFonts w:hint="eastAsia"/>
        </w:rPr>
        <w:t>50%</w:t>
      </w:r>
      <w:r w:rsidR="002533BE" w:rsidRPr="002533BE">
        <w:rPr>
          <w:rFonts w:hint="eastAsia"/>
        </w:rPr>
        <w:t>，尤其是非常接近</w:t>
      </w:r>
      <w:r w:rsidR="002533BE" w:rsidRPr="002533BE">
        <w:rPr>
          <w:rFonts w:hint="eastAsia"/>
        </w:rPr>
        <w:t>40%</w:t>
      </w:r>
      <w:r w:rsidR="002533BE" w:rsidRPr="002533BE">
        <w:rPr>
          <w:rFonts w:hint="eastAsia"/>
        </w:rPr>
        <w:t>時，則有經濟蕭條的憂慮</w:t>
      </w:r>
      <w:r w:rsidR="002533BE">
        <w:rPr>
          <w:rFonts w:hint="eastAsia"/>
        </w:rPr>
        <w:t>，是一種領先指標。</w:t>
      </w:r>
    </w:p>
    <w:p w:rsidR="0057619F" w:rsidRDefault="0057619F" w:rsidP="0057619F">
      <w:r>
        <w:rPr>
          <w:rFonts w:hint="eastAsia"/>
        </w:rPr>
        <w:t>資料來源：</w:t>
      </w:r>
      <w:hyperlink r:id="rId7" w:history="1">
        <w:r w:rsidR="00F34CB1" w:rsidRPr="00737D10">
          <w:rPr>
            <w:rStyle w:val="a4"/>
          </w:rPr>
          <w:t>https://www.instituteforsupplymanagement.org/ISMReport/MfgROB.cfm?SSO=1</w:t>
        </w:r>
      </w:hyperlink>
    </w:p>
    <w:p w:rsidR="0057619F" w:rsidRDefault="0057619F" w:rsidP="0057619F"/>
    <w:p w:rsidR="0057619F" w:rsidRDefault="0057619F" w:rsidP="0057619F">
      <w:pPr>
        <w:pStyle w:val="a3"/>
        <w:numPr>
          <w:ilvl w:val="0"/>
          <w:numId w:val="1"/>
        </w:numPr>
        <w:ind w:leftChars="0"/>
      </w:pPr>
      <w:r>
        <w:rPr>
          <w:rFonts w:hint="eastAsia"/>
        </w:rPr>
        <w:t>ISM</w:t>
      </w:r>
      <w:r>
        <w:rPr>
          <w:rFonts w:hint="eastAsia"/>
        </w:rPr>
        <w:t>服務業</w:t>
      </w:r>
      <w:r>
        <w:rPr>
          <w:rFonts w:hint="eastAsia"/>
        </w:rPr>
        <w:t>PMI</w:t>
      </w:r>
      <w:r>
        <w:rPr>
          <w:rFonts w:hint="eastAsia"/>
        </w:rPr>
        <w:t>指數：</w:t>
      </w:r>
    </w:p>
    <w:p w:rsidR="0057619F" w:rsidRDefault="0057619F" w:rsidP="0057619F">
      <w:r>
        <w:rPr>
          <w:rFonts w:hint="eastAsia"/>
        </w:rPr>
        <w:t>說明：</w:t>
      </w:r>
      <w:r w:rsidR="002533BE">
        <w:rPr>
          <w:rFonts w:hint="eastAsia"/>
        </w:rPr>
        <w:t>同上，調查對象為服務業的採購經理人。</w:t>
      </w:r>
    </w:p>
    <w:p w:rsidR="0057619F" w:rsidRDefault="0057619F" w:rsidP="0057619F">
      <w:r>
        <w:rPr>
          <w:rFonts w:hint="eastAsia"/>
        </w:rPr>
        <w:t>資料來源：</w:t>
      </w:r>
      <w:hyperlink r:id="rId8" w:history="1">
        <w:r w:rsidR="00F34CB1" w:rsidRPr="00737D10">
          <w:rPr>
            <w:rStyle w:val="a4"/>
          </w:rPr>
          <w:t>https://www.instituteforsupplymanagement.org/ISMReport/NonMfgROB.cfm?SSO=1</w:t>
        </w:r>
      </w:hyperlink>
    </w:p>
    <w:p w:rsidR="0057619F" w:rsidRDefault="0057619F" w:rsidP="0057619F"/>
    <w:p w:rsidR="0057619F" w:rsidRDefault="0057619F" w:rsidP="0057619F">
      <w:pPr>
        <w:pStyle w:val="a3"/>
        <w:numPr>
          <w:ilvl w:val="0"/>
          <w:numId w:val="1"/>
        </w:numPr>
        <w:ind w:leftChars="0"/>
      </w:pPr>
      <w:r>
        <w:rPr>
          <w:rFonts w:hint="eastAsia"/>
        </w:rPr>
        <w:t>勞動市場狀況指數</w:t>
      </w:r>
      <w:r>
        <w:rPr>
          <w:rFonts w:hint="eastAsia"/>
        </w:rPr>
        <w:t>LMCI</w:t>
      </w:r>
      <w:r>
        <w:rPr>
          <w:rFonts w:hint="eastAsia"/>
        </w:rPr>
        <w:t>：</w:t>
      </w:r>
    </w:p>
    <w:p w:rsidR="0057619F" w:rsidRDefault="0057619F" w:rsidP="0057619F">
      <w:r>
        <w:rPr>
          <w:rFonts w:hint="eastAsia"/>
        </w:rPr>
        <w:t>說明：</w:t>
      </w:r>
      <w:r w:rsidR="00AA4535" w:rsidRPr="00AA4535">
        <w:rPr>
          <w:rFonts w:hint="eastAsia"/>
        </w:rPr>
        <w:t>美聯儲</w:t>
      </w:r>
      <w:r w:rsidR="00AA4535" w:rsidRPr="00AA4535">
        <w:rPr>
          <w:rFonts w:hint="eastAsia"/>
        </w:rPr>
        <w:t>LMCI</w:t>
      </w:r>
      <w:r w:rsidR="00AA4535" w:rsidRPr="00AA4535">
        <w:rPr>
          <w:rFonts w:hint="eastAsia"/>
        </w:rPr>
        <w:t>的源數據來自美國其他部門的統計，美聯儲根據對“就業市場改善程度”的定義進行重組，其中包括私人部門就業、失業率、有保險的失業率、綜合勞動力市場需求、求職難易度，和其他關於薪資、工時等關鍵的勞動力市場指標。</w:t>
      </w:r>
    </w:p>
    <w:p w:rsidR="0057619F" w:rsidRDefault="0057619F" w:rsidP="0057619F">
      <w:r>
        <w:rPr>
          <w:rFonts w:hint="eastAsia"/>
        </w:rPr>
        <w:t>料來源：</w:t>
      </w:r>
      <w:hyperlink r:id="rId9" w:history="1">
        <w:r w:rsidR="002F4E62" w:rsidRPr="00737D10">
          <w:rPr>
            <w:rStyle w:val="a4"/>
          </w:rPr>
          <w:t>https://www.federalreserve.gov/econresdata/notes/feds-notes/2014/updating-the-labor</w:t>
        </w:r>
        <w:r w:rsidR="002F4E62" w:rsidRPr="00737D10">
          <w:rPr>
            <w:rStyle w:val="a4"/>
          </w:rPr>
          <w:lastRenderedPageBreak/>
          <w:t>-market-conditions-index-20141001.html</w:t>
        </w:r>
      </w:hyperlink>
    </w:p>
    <w:p w:rsidR="0057619F" w:rsidRDefault="0057619F" w:rsidP="0057619F"/>
    <w:p w:rsidR="0057619F" w:rsidRDefault="0057619F" w:rsidP="0057619F">
      <w:pPr>
        <w:pStyle w:val="a3"/>
        <w:numPr>
          <w:ilvl w:val="0"/>
          <w:numId w:val="1"/>
        </w:numPr>
        <w:ind w:leftChars="0"/>
      </w:pPr>
      <w:r>
        <w:rPr>
          <w:rFonts w:hint="eastAsia"/>
        </w:rPr>
        <w:t>失業率：</w:t>
      </w:r>
    </w:p>
    <w:p w:rsidR="0057619F" w:rsidRDefault="0057619F" w:rsidP="0057619F">
      <w:r>
        <w:rPr>
          <w:rFonts w:hint="eastAsia"/>
        </w:rPr>
        <w:t>說明：</w:t>
      </w:r>
      <w:r w:rsidR="00AA4535" w:rsidRPr="00AA4535">
        <w:rPr>
          <w:rFonts w:hint="eastAsia"/>
        </w:rPr>
        <w:t>是指失業人口占勞動人口的比率，旨在衡量</w:t>
      </w:r>
      <w:r w:rsidR="00AA4535">
        <w:rPr>
          <w:rFonts w:hint="eastAsia"/>
        </w:rPr>
        <w:t>閒置</w:t>
      </w:r>
      <w:r w:rsidR="00AA4535" w:rsidRPr="00AA4535">
        <w:rPr>
          <w:rFonts w:hint="eastAsia"/>
        </w:rPr>
        <w:t>中的勞動產能。</w:t>
      </w:r>
    </w:p>
    <w:p w:rsidR="0057619F" w:rsidRDefault="0057619F" w:rsidP="0057619F">
      <w:r>
        <w:rPr>
          <w:rFonts w:hint="eastAsia"/>
        </w:rPr>
        <w:t>資料來源：</w:t>
      </w:r>
      <w:hyperlink r:id="rId10" w:anchor="unemployment" w:history="1">
        <w:r w:rsidR="002F4E62" w:rsidRPr="00737D10">
          <w:rPr>
            <w:rStyle w:val="a4"/>
          </w:rPr>
          <w:t>https://www.bls.gov/bls/proghome.htm#unemployment</w:t>
        </w:r>
      </w:hyperlink>
    </w:p>
    <w:p w:rsidR="0057619F" w:rsidRDefault="0057619F" w:rsidP="0057619F"/>
    <w:p w:rsidR="0057619F" w:rsidRDefault="0057619F" w:rsidP="0057619F">
      <w:pPr>
        <w:pStyle w:val="a3"/>
        <w:numPr>
          <w:ilvl w:val="0"/>
          <w:numId w:val="1"/>
        </w:numPr>
        <w:ind w:leftChars="0"/>
      </w:pPr>
      <w:r>
        <w:rPr>
          <w:rFonts w:hint="eastAsia"/>
        </w:rPr>
        <w:t>工業生產指數：</w:t>
      </w:r>
    </w:p>
    <w:p w:rsidR="0057619F" w:rsidRDefault="0057619F" w:rsidP="0057619F">
      <w:r>
        <w:rPr>
          <w:rFonts w:hint="eastAsia"/>
        </w:rPr>
        <w:t>說明：</w:t>
      </w:r>
      <w:r w:rsidR="00AA4535" w:rsidRPr="00AA4535">
        <w:rPr>
          <w:rFonts w:hint="eastAsia"/>
        </w:rPr>
        <w:t>Fed</w:t>
      </w:r>
      <w:r w:rsidR="00AA4535" w:rsidRPr="00AA4535">
        <w:rPr>
          <w:rFonts w:hint="eastAsia"/>
        </w:rPr>
        <w:t>在</w:t>
      </w:r>
      <w:r w:rsidR="00AA4535" w:rsidRPr="00AA4535">
        <w:rPr>
          <w:rFonts w:hint="eastAsia"/>
        </w:rPr>
        <w:t>2014</w:t>
      </w:r>
      <w:r w:rsidR="00AA4535" w:rsidRPr="00AA4535">
        <w:rPr>
          <w:rFonts w:hint="eastAsia"/>
        </w:rPr>
        <w:t>年編制的一個全新的「勞動市場狀況指數」，這指數綜合了包括非農、勞動市場參與率、空缺數、離職率、失業率及平均薪資等</w:t>
      </w:r>
      <w:r w:rsidR="00AA4535" w:rsidRPr="00AA4535">
        <w:rPr>
          <w:rFonts w:hint="eastAsia"/>
        </w:rPr>
        <w:t>19</w:t>
      </w:r>
      <w:r w:rsidR="00AA4535" w:rsidRPr="00AA4535">
        <w:rPr>
          <w:rFonts w:hint="eastAsia"/>
        </w:rPr>
        <w:t>個就業領域。</w:t>
      </w:r>
    </w:p>
    <w:p w:rsidR="0057619F" w:rsidRDefault="0057619F" w:rsidP="0057619F">
      <w:r>
        <w:rPr>
          <w:rFonts w:hint="eastAsia"/>
        </w:rPr>
        <w:t>資料來源：</w:t>
      </w:r>
      <w:hyperlink r:id="rId11" w:history="1">
        <w:r w:rsidR="002F4E62" w:rsidRPr="00737D10">
          <w:rPr>
            <w:rStyle w:val="a4"/>
          </w:rPr>
          <w:t>https://www.federalreserve.gov/releases/g17/Current/default.htm</w:t>
        </w:r>
      </w:hyperlink>
    </w:p>
    <w:p w:rsidR="0057619F" w:rsidRDefault="0057619F" w:rsidP="0057619F"/>
    <w:p w:rsidR="0057619F" w:rsidRDefault="0057619F" w:rsidP="0057619F">
      <w:pPr>
        <w:pStyle w:val="a3"/>
        <w:numPr>
          <w:ilvl w:val="0"/>
          <w:numId w:val="1"/>
        </w:numPr>
        <w:ind w:leftChars="0"/>
      </w:pPr>
      <w:r>
        <w:rPr>
          <w:rFonts w:hint="eastAsia"/>
        </w:rPr>
        <w:t>工廠訂單：</w:t>
      </w:r>
    </w:p>
    <w:p w:rsidR="0057619F" w:rsidRDefault="0057619F" w:rsidP="0057619F">
      <w:r>
        <w:rPr>
          <w:rFonts w:hint="eastAsia"/>
        </w:rPr>
        <w:t>說明：</w:t>
      </w:r>
      <w:r w:rsidR="00811351" w:rsidRPr="00811351">
        <w:rPr>
          <w:rFonts w:hint="eastAsia"/>
        </w:rPr>
        <w:t>工廠訂單是提供製造業中，耐久財及非耐久財訂單、出貨、積壓訂單及存貨資訊的重要報告，通常在耐久財訂單公布後一星期公布。</w:t>
      </w:r>
    </w:p>
    <w:p w:rsidR="0057619F" w:rsidRDefault="0057619F" w:rsidP="0057619F">
      <w:r>
        <w:rPr>
          <w:rFonts w:hint="eastAsia"/>
        </w:rPr>
        <w:t>資料來源：</w:t>
      </w:r>
      <w:hyperlink r:id="rId12" w:history="1">
        <w:r w:rsidR="002F4E62" w:rsidRPr="00737D10">
          <w:rPr>
            <w:rStyle w:val="a4"/>
          </w:rPr>
          <w:t>https://www.census.gov/manufacturing/m3/index.html</w:t>
        </w:r>
      </w:hyperlink>
    </w:p>
    <w:p w:rsidR="0057619F" w:rsidRDefault="0057619F" w:rsidP="0057619F"/>
    <w:p w:rsidR="0057619F" w:rsidRDefault="0057619F" w:rsidP="0057619F">
      <w:pPr>
        <w:pStyle w:val="a3"/>
        <w:numPr>
          <w:ilvl w:val="0"/>
          <w:numId w:val="1"/>
        </w:numPr>
        <w:ind w:leftChars="0"/>
      </w:pPr>
      <w:r>
        <w:rPr>
          <w:rFonts w:hint="eastAsia"/>
        </w:rPr>
        <w:t>原油庫存：</w:t>
      </w:r>
    </w:p>
    <w:p w:rsidR="0057619F" w:rsidRPr="00423A8B" w:rsidRDefault="0057619F" w:rsidP="00423A8B">
      <w:pPr>
        <w:jc w:val="both"/>
      </w:pPr>
      <w:r>
        <w:rPr>
          <w:rFonts w:hint="eastAsia"/>
        </w:rPr>
        <w:t>說明：</w:t>
      </w:r>
      <w:r w:rsidR="00423A8B">
        <w:rPr>
          <w:rFonts w:hint="eastAsia"/>
        </w:rPr>
        <w:t>美國</w:t>
      </w:r>
      <w:r w:rsidR="00423A8B">
        <w:rPr>
          <w:rFonts w:hint="eastAsia"/>
        </w:rPr>
        <w:t>EIA</w:t>
      </w:r>
      <w:r w:rsidR="00423A8B">
        <w:rPr>
          <w:rFonts w:hint="eastAsia"/>
        </w:rPr>
        <w:t>原油庫存反映供需平衡的狀況，庫存與價格的相關係數達</w:t>
      </w:r>
      <w:r w:rsidR="00423A8B">
        <w:rPr>
          <w:rFonts w:hint="eastAsia"/>
        </w:rPr>
        <w:t>-0.54</w:t>
      </w:r>
      <w:r w:rsidR="00423A8B">
        <w:rPr>
          <w:rFonts w:hint="eastAsia"/>
        </w:rPr>
        <w:t>。根據過去</w:t>
      </w:r>
      <w:r w:rsidR="00423A8B">
        <w:rPr>
          <w:rFonts w:hint="eastAsia"/>
        </w:rPr>
        <w:t>20</w:t>
      </w:r>
      <w:r w:rsidR="00423A8B">
        <w:rPr>
          <w:rFonts w:hint="eastAsia"/>
        </w:rPr>
        <w:t>年的庫存走勢，庫存總量在</w:t>
      </w:r>
      <w:r w:rsidR="00423A8B">
        <w:rPr>
          <w:rFonts w:hint="eastAsia"/>
        </w:rPr>
        <w:t>2~5</w:t>
      </w:r>
      <w:r w:rsidR="00423A8B">
        <w:rPr>
          <w:rFonts w:hint="eastAsia"/>
        </w:rPr>
        <w:t>月的晚冬及春季期間會持續走高，</w:t>
      </w:r>
      <w:r w:rsidR="00423A8B">
        <w:rPr>
          <w:rFonts w:hint="eastAsia"/>
        </w:rPr>
        <w:t>6~8</w:t>
      </w:r>
      <w:r w:rsidR="00423A8B">
        <w:rPr>
          <w:rFonts w:hint="eastAsia"/>
        </w:rPr>
        <w:t>月的夏季及初秋之際會下滑，</w:t>
      </w:r>
      <w:r w:rsidR="00423A8B">
        <w:rPr>
          <w:rFonts w:hint="eastAsia"/>
        </w:rPr>
        <w:t>9~11</w:t>
      </w:r>
      <w:r w:rsidR="00423A8B">
        <w:rPr>
          <w:rFonts w:hint="eastAsia"/>
        </w:rPr>
        <w:t>月的秋季期間則會上升，</w:t>
      </w:r>
      <w:r w:rsidR="00423A8B">
        <w:rPr>
          <w:rFonts w:hint="eastAsia"/>
        </w:rPr>
        <w:t>12</w:t>
      </w:r>
      <w:r w:rsidR="00423A8B">
        <w:rPr>
          <w:rFonts w:hint="eastAsia"/>
        </w:rPr>
        <w:t>月冬季來臨時再跌落；庫存的季節性高點通常發生在</w:t>
      </w:r>
      <w:r w:rsidR="00423A8B">
        <w:rPr>
          <w:rFonts w:hint="eastAsia"/>
        </w:rPr>
        <w:t>4~5</w:t>
      </w:r>
      <w:r w:rsidR="00423A8B">
        <w:rPr>
          <w:rFonts w:hint="eastAsia"/>
        </w:rPr>
        <w:t>月左右。</w:t>
      </w:r>
    </w:p>
    <w:p w:rsidR="0057619F" w:rsidRDefault="0057619F" w:rsidP="0057619F">
      <w:r>
        <w:rPr>
          <w:rFonts w:hint="eastAsia"/>
        </w:rPr>
        <w:t>資料來源：</w:t>
      </w:r>
      <w:hyperlink r:id="rId13" w:history="1">
        <w:r w:rsidR="00043990" w:rsidRPr="00737D10">
          <w:rPr>
            <w:rStyle w:val="a4"/>
          </w:rPr>
          <w:t>https://www.eia.gov/</w:t>
        </w:r>
      </w:hyperlink>
    </w:p>
    <w:p w:rsidR="0057619F" w:rsidRDefault="0057619F" w:rsidP="0057619F"/>
    <w:p w:rsidR="0057619F" w:rsidRDefault="0057619F" w:rsidP="0057619F">
      <w:pPr>
        <w:pStyle w:val="a3"/>
        <w:numPr>
          <w:ilvl w:val="0"/>
          <w:numId w:val="1"/>
        </w:numPr>
        <w:ind w:leftChars="0"/>
      </w:pPr>
      <w:r>
        <w:rPr>
          <w:rFonts w:hint="eastAsia"/>
        </w:rPr>
        <w:t>上週初領失業救濟金人數：</w:t>
      </w:r>
    </w:p>
    <w:p w:rsidR="0057619F" w:rsidRDefault="0057619F" w:rsidP="00043990">
      <w:pPr>
        <w:jc w:val="both"/>
      </w:pPr>
      <w:r>
        <w:rPr>
          <w:rFonts w:hint="eastAsia"/>
        </w:rPr>
        <w:t>說明：</w:t>
      </w:r>
      <w:r w:rsidR="00043990" w:rsidRPr="00043990">
        <w:rPr>
          <w:rFonts w:hint="eastAsia"/>
        </w:rPr>
        <w:t>美國</w:t>
      </w:r>
      <w:r w:rsidR="00043990" w:rsidRPr="00043990">
        <w:rPr>
          <w:rFonts w:hint="eastAsia"/>
        </w:rPr>
        <w:t>-</w:t>
      </w:r>
      <w:r w:rsidR="00043990" w:rsidRPr="00043990">
        <w:rPr>
          <w:rFonts w:hint="eastAsia"/>
        </w:rPr>
        <w:t>初領失業救濟金人數每週公告</w:t>
      </w:r>
      <w:r w:rsidR="00043990" w:rsidRPr="00043990">
        <w:rPr>
          <w:rFonts w:hint="eastAsia"/>
        </w:rPr>
        <w:t xml:space="preserve">, </w:t>
      </w:r>
      <w:r w:rsidR="00043990" w:rsidRPr="00043990">
        <w:rPr>
          <w:rFonts w:hint="eastAsia"/>
        </w:rPr>
        <w:t>可即時反應就業</w:t>
      </w:r>
      <w:proofErr w:type="gramStart"/>
      <w:r w:rsidR="00043990" w:rsidRPr="00043990">
        <w:rPr>
          <w:rFonts w:hint="eastAsia"/>
        </w:rPr>
        <w:t>巿</w:t>
      </w:r>
      <w:proofErr w:type="gramEnd"/>
      <w:r w:rsidR="00043990" w:rsidRPr="00043990">
        <w:rPr>
          <w:rFonts w:hint="eastAsia"/>
        </w:rPr>
        <w:t>場的變動狀態</w:t>
      </w:r>
      <w:r w:rsidR="00043990" w:rsidRPr="00043990">
        <w:rPr>
          <w:rFonts w:hint="eastAsia"/>
        </w:rPr>
        <w:t xml:space="preserve">, </w:t>
      </w:r>
      <w:r w:rsidR="00043990" w:rsidRPr="00043990">
        <w:rPr>
          <w:rFonts w:hint="eastAsia"/>
        </w:rPr>
        <w:t>在景氣後期循環</w:t>
      </w:r>
      <w:r w:rsidR="00043990" w:rsidRPr="00043990">
        <w:rPr>
          <w:rFonts w:hint="eastAsia"/>
        </w:rPr>
        <w:t xml:space="preserve">, </w:t>
      </w:r>
      <w:r w:rsidR="00043990" w:rsidRPr="00043990">
        <w:rPr>
          <w:rFonts w:hint="eastAsia"/>
        </w:rPr>
        <w:t>民眾消費信心的提升</w:t>
      </w:r>
      <w:r w:rsidR="00043990" w:rsidRPr="00043990">
        <w:rPr>
          <w:rFonts w:hint="eastAsia"/>
        </w:rPr>
        <w:t xml:space="preserve">, </w:t>
      </w:r>
      <w:r w:rsidR="00043990" w:rsidRPr="00043990">
        <w:rPr>
          <w:rFonts w:hint="eastAsia"/>
        </w:rPr>
        <w:t>會加速企業的投資熱潮</w:t>
      </w:r>
      <w:r w:rsidR="00043990" w:rsidRPr="00043990">
        <w:rPr>
          <w:rFonts w:hint="eastAsia"/>
        </w:rPr>
        <w:t xml:space="preserve">, </w:t>
      </w:r>
      <w:r w:rsidR="00043990" w:rsidRPr="00043990">
        <w:rPr>
          <w:rFonts w:hint="eastAsia"/>
        </w:rPr>
        <w:t>最終反應在就業</w:t>
      </w:r>
      <w:proofErr w:type="gramStart"/>
      <w:r w:rsidR="00043990" w:rsidRPr="00043990">
        <w:rPr>
          <w:rFonts w:hint="eastAsia"/>
        </w:rPr>
        <w:t>巿</w:t>
      </w:r>
      <w:proofErr w:type="gramEnd"/>
      <w:r w:rsidR="00043990" w:rsidRPr="00043990">
        <w:rPr>
          <w:rFonts w:hint="eastAsia"/>
        </w:rPr>
        <w:t>場的充份就業與時薪的增長</w:t>
      </w:r>
      <w:r w:rsidR="00043990" w:rsidRPr="00043990">
        <w:rPr>
          <w:rFonts w:hint="eastAsia"/>
        </w:rPr>
        <w:t xml:space="preserve">, </w:t>
      </w:r>
      <w:r w:rsidR="00043990" w:rsidRPr="00043990">
        <w:rPr>
          <w:rFonts w:hint="eastAsia"/>
        </w:rPr>
        <w:t>但這樣的增長終有其極限</w:t>
      </w:r>
      <w:r w:rsidR="00043990" w:rsidRPr="00043990">
        <w:rPr>
          <w:rFonts w:hint="eastAsia"/>
        </w:rPr>
        <w:t xml:space="preserve">; </w:t>
      </w:r>
      <w:r w:rsidR="00043990" w:rsidRPr="00043990">
        <w:rPr>
          <w:rFonts w:hint="eastAsia"/>
        </w:rPr>
        <w:t>當</w:t>
      </w:r>
      <w:proofErr w:type="gramStart"/>
      <w:r w:rsidR="00043990" w:rsidRPr="00043990">
        <w:rPr>
          <w:rFonts w:hint="eastAsia"/>
        </w:rPr>
        <w:t>通膨增溫</w:t>
      </w:r>
      <w:proofErr w:type="gramEnd"/>
      <w:r w:rsidR="00043990" w:rsidRPr="00043990">
        <w:rPr>
          <w:rFonts w:hint="eastAsia"/>
        </w:rPr>
        <w:t xml:space="preserve">, </w:t>
      </w:r>
      <w:r w:rsidR="00043990" w:rsidRPr="00043990">
        <w:rPr>
          <w:rFonts w:hint="eastAsia"/>
        </w:rPr>
        <w:t>利率揚升</w:t>
      </w:r>
      <w:r w:rsidR="00043990" w:rsidRPr="00043990">
        <w:rPr>
          <w:rFonts w:hint="eastAsia"/>
        </w:rPr>
        <w:t xml:space="preserve">, </w:t>
      </w:r>
      <w:r w:rsidR="00043990" w:rsidRPr="00043990">
        <w:rPr>
          <w:rFonts w:hint="eastAsia"/>
        </w:rPr>
        <w:t>企業獲利不如原先預期時</w:t>
      </w:r>
      <w:r w:rsidR="00043990" w:rsidRPr="00043990">
        <w:rPr>
          <w:rFonts w:hint="eastAsia"/>
        </w:rPr>
        <w:t xml:space="preserve">, </w:t>
      </w:r>
      <w:r w:rsidR="00043990" w:rsidRPr="00043990">
        <w:rPr>
          <w:rFonts w:hint="eastAsia"/>
        </w:rPr>
        <w:t>就業</w:t>
      </w:r>
      <w:proofErr w:type="gramStart"/>
      <w:r w:rsidR="00043990" w:rsidRPr="00043990">
        <w:rPr>
          <w:rFonts w:hint="eastAsia"/>
        </w:rPr>
        <w:t>巿</w:t>
      </w:r>
      <w:proofErr w:type="gramEnd"/>
      <w:r w:rsidR="00043990" w:rsidRPr="00043990">
        <w:rPr>
          <w:rFonts w:hint="eastAsia"/>
        </w:rPr>
        <w:t>場會經歷一波停聘到解僱的調整過程</w:t>
      </w:r>
      <w:r w:rsidR="00043990" w:rsidRPr="00043990">
        <w:rPr>
          <w:rFonts w:hint="eastAsia"/>
        </w:rPr>
        <w:t xml:space="preserve">, </w:t>
      </w:r>
      <w:r w:rsidR="00043990" w:rsidRPr="00043990">
        <w:rPr>
          <w:rFonts w:hint="eastAsia"/>
        </w:rPr>
        <w:t>而且這個過程在景氣後期循環是沒有辦法走回頭路的</w:t>
      </w:r>
      <w:r w:rsidR="00043990" w:rsidRPr="00043990">
        <w:rPr>
          <w:rFonts w:hint="eastAsia"/>
        </w:rPr>
        <w:t xml:space="preserve">, </w:t>
      </w:r>
      <w:r w:rsidR="00043990" w:rsidRPr="00043990">
        <w:rPr>
          <w:rFonts w:hint="eastAsia"/>
        </w:rPr>
        <w:t>一旦成形</w:t>
      </w:r>
      <w:r w:rsidR="00043990" w:rsidRPr="00043990">
        <w:rPr>
          <w:rFonts w:hint="eastAsia"/>
        </w:rPr>
        <w:t xml:space="preserve">, </w:t>
      </w:r>
      <w:r w:rsidR="00043990" w:rsidRPr="00043990">
        <w:rPr>
          <w:rFonts w:hint="eastAsia"/>
        </w:rPr>
        <w:t>就準備邁向景氣轉折</w:t>
      </w:r>
      <w:r w:rsidR="00043990" w:rsidRPr="00043990">
        <w:rPr>
          <w:rFonts w:hint="eastAsia"/>
        </w:rPr>
        <w:t xml:space="preserve">, </w:t>
      </w:r>
      <w:r w:rsidR="00043990" w:rsidRPr="00043990">
        <w:rPr>
          <w:rFonts w:hint="eastAsia"/>
        </w:rPr>
        <w:t>走向收縮循環</w:t>
      </w:r>
      <w:r w:rsidR="00043990">
        <w:rPr>
          <w:rFonts w:hint="eastAsia"/>
        </w:rPr>
        <w:t>。</w:t>
      </w:r>
    </w:p>
    <w:p w:rsidR="0057619F" w:rsidRDefault="0057619F" w:rsidP="0057619F">
      <w:r>
        <w:rPr>
          <w:rFonts w:hint="eastAsia"/>
        </w:rPr>
        <w:t>資料來源</w:t>
      </w:r>
      <w:r w:rsidR="00043990">
        <w:rPr>
          <w:rFonts w:hint="eastAsia"/>
        </w:rPr>
        <w:t>：</w:t>
      </w:r>
      <w:hyperlink r:id="rId14" w:history="1">
        <w:r w:rsidR="00043990" w:rsidRPr="00737D10">
          <w:rPr>
            <w:rStyle w:val="a4"/>
          </w:rPr>
          <w:t>https://oui.doleta.gov/unemploy/DataDashboard.asp</w:t>
        </w:r>
      </w:hyperlink>
    </w:p>
    <w:p w:rsidR="0057619F" w:rsidRDefault="0057619F" w:rsidP="0057619F">
      <w:pPr>
        <w:rPr>
          <w:rFonts w:hint="eastAsia"/>
        </w:rPr>
      </w:pPr>
    </w:p>
    <w:p w:rsidR="0057619F" w:rsidRDefault="0057619F" w:rsidP="0057619F">
      <w:pPr>
        <w:pStyle w:val="a3"/>
        <w:numPr>
          <w:ilvl w:val="0"/>
          <w:numId w:val="1"/>
        </w:numPr>
        <w:ind w:leftChars="0"/>
      </w:pPr>
      <w:r>
        <w:rPr>
          <w:rFonts w:hint="eastAsia"/>
        </w:rPr>
        <w:t>非農就業人口：</w:t>
      </w:r>
    </w:p>
    <w:p w:rsidR="0057619F" w:rsidRDefault="0057619F" w:rsidP="0057619F">
      <w:r>
        <w:rPr>
          <w:rFonts w:hint="eastAsia"/>
        </w:rPr>
        <w:t>說明：</w:t>
      </w:r>
      <w:r w:rsidR="00FE7E49" w:rsidRPr="00FE7E49">
        <w:rPr>
          <w:rFonts w:hint="eastAsia"/>
        </w:rPr>
        <w:t>美國非農業人口的就業數據，由美國勞工部每月公佈一次，反應美國經濟的趨勢，數據好說明經濟好轉，數據差說明經濟轉壞。</w:t>
      </w:r>
    </w:p>
    <w:p w:rsidR="0057619F" w:rsidRDefault="0057619F" w:rsidP="0057619F">
      <w:r>
        <w:rPr>
          <w:rFonts w:hint="eastAsia"/>
        </w:rPr>
        <w:t>資料來源：</w:t>
      </w:r>
      <w:hyperlink r:id="rId15" w:anchor="employment" w:history="1">
        <w:r w:rsidR="00C8037A" w:rsidRPr="00737D10">
          <w:rPr>
            <w:rStyle w:val="a4"/>
          </w:rPr>
          <w:t>https://www.bls.gov/data/#employment</w:t>
        </w:r>
      </w:hyperlink>
    </w:p>
    <w:p w:rsidR="0057619F" w:rsidRDefault="0057619F" w:rsidP="0057619F"/>
    <w:p w:rsidR="0057619F" w:rsidRDefault="0057619F" w:rsidP="0057619F">
      <w:pPr>
        <w:pStyle w:val="a3"/>
        <w:numPr>
          <w:ilvl w:val="0"/>
          <w:numId w:val="1"/>
        </w:numPr>
        <w:ind w:leftChars="0"/>
      </w:pPr>
      <w:r>
        <w:rPr>
          <w:rFonts w:hint="eastAsia"/>
        </w:rPr>
        <w:t>營建許可：</w:t>
      </w:r>
    </w:p>
    <w:p w:rsidR="0057619F" w:rsidRDefault="0057619F" w:rsidP="0057619F">
      <w:r>
        <w:rPr>
          <w:rFonts w:hint="eastAsia"/>
        </w:rPr>
        <w:t>說明：</w:t>
      </w:r>
      <w:r w:rsidR="00140A66" w:rsidRPr="00140A66">
        <w:rPr>
          <w:rFonts w:hint="eastAsia"/>
        </w:rPr>
        <w:t>新屋開工與營建許可為房市以及美國經濟的領先指標，一般消費者在購買房屋時，通常也代表其看好未來經濟前景。</w:t>
      </w:r>
    </w:p>
    <w:p w:rsidR="0057619F" w:rsidRDefault="0057619F" w:rsidP="0057619F">
      <w:r>
        <w:rPr>
          <w:rFonts w:hint="eastAsia"/>
        </w:rPr>
        <w:t>資料來源</w:t>
      </w:r>
      <w:r w:rsidR="00C8037A">
        <w:rPr>
          <w:rFonts w:hint="eastAsia"/>
        </w:rPr>
        <w:t>：</w:t>
      </w:r>
      <w:hyperlink r:id="rId16" w:history="1">
        <w:r w:rsidR="00461E04" w:rsidRPr="00737D10">
          <w:rPr>
            <w:rStyle w:val="a4"/>
          </w:rPr>
          <w:t>https://www.census.gov/</w:t>
        </w:r>
      </w:hyperlink>
    </w:p>
    <w:p w:rsidR="0057619F" w:rsidRDefault="0057619F" w:rsidP="0057619F"/>
    <w:p w:rsidR="0057619F" w:rsidRDefault="0057619F" w:rsidP="0057619F">
      <w:pPr>
        <w:pStyle w:val="a3"/>
        <w:numPr>
          <w:ilvl w:val="0"/>
          <w:numId w:val="1"/>
        </w:numPr>
        <w:ind w:leftChars="0"/>
      </w:pPr>
      <w:r>
        <w:rPr>
          <w:rFonts w:hint="eastAsia"/>
        </w:rPr>
        <w:t>新屋銷售：</w:t>
      </w:r>
    </w:p>
    <w:p w:rsidR="0057619F" w:rsidRDefault="0057619F" w:rsidP="0057619F">
      <w:r>
        <w:rPr>
          <w:rFonts w:hint="eastAsia"/>
        </w:rPr>
        <w:t>說明：</w:t>
      </w:r>
      <w:r w:rsidR="00140A66" w:rsidRPr="00140A66">
        <w:rPr>
          <w:rFonts w:hint="eastAsia"/>
        </w:rPr>
        <w:t>新屋銷售數據，是反映記錄房屋市場新建居民住宅銷售狀況的即時指標。新屋銷售往往引發一系列的消費行為，該數據的公佈會對市場帶來很大影響。因為當消費者購買新屋時，往往會伴隨其它如傢具、裝潢等產品的消費。因此，新屋消費的增長會帶來對相關產品、服務及雇佣關係的變化。</w:t>
      </w:r>
    </w:p>
    <w:p w:rsidR="0057619F" w:rsidRDefault="0057619F" w:rsidP="0057619F">
      <w:r>
        <w:rPr>
          <w:rFonts w:hint="eastAsia"/>
        </w:rPr>
        <w:t>資料來源：</w:t>
      </w:r>
    </w:p>
    <w:p w:rsidR="0057619F" w:rsidRDefault="0057619F" w:rsidP="0057619F"/>
    <w:p w:rsidR="0057619F" w:rsidRDefault="0057619F" w:rsidP="0057619F">
      <w:pPr>
        <w:pStyle w:val="a3"/>
        <w:numPr>
          <w:ilvl w:val="0"/>
          <w:numId w:val="1"/>
        </w:numPr>
        <w:ind w:leftChars="0"/>
      </w:pPr>
      <w:r>
        <w:rPr>
          <w:rFonts w:hint="eastAsia"/>
        </w:rPr>
        <w:t>產能利用率：</w:t>
      </w:r>
    </w:p>
    <w:p w:rsidR="0057619F" w:rsidRDefault="0057619F" w:rsidP="00140A66">
      <w:pPr>
        <w:jc w:val="both"/>
      </w:pPr>
      <w:r>
        <w:rPr>
          <w:rFonts w:hint="eastAsia"/>
        </w:rPr>
        <w:t>說明：</w:t>
      </w:r>
      <w:r w:rsidR="009A66A2" w:rsidRPr="009A66A2">
        <w:rPr>
          <w:rFonts w:hint="eastAsia"/>
        </w:rPr>
        <w:t>產能利用率</w:t>
      </w:r>
      <w:r w:rsidR="009A66A2" w:rsidRPr="009A66A2">
        <w:rPr>
          <w:rFonts w:hint="eastAsia"/>
        </w:rPr>
        <w:t xml:space="preserve"> ( Capacity Utilization ) </w:t>
      </w:r>
      <w:r w:rsidR="009A66A2" w:rsidRPr="009A66A2">
        <w:rPr>
          <w:rFonts w:hint="eastAsia"/>
        </w:rPr>
        <w:t>，也叫設備利用率，是工業總產出對生產設備的比率，簡單的理解，就是實際生產能力到底有多少在運轉發揮生產作用。</w:t>
      </w:r>
    </w:p>
    <w:p w:rsidR="0057619F" w:rsidRDefault="0057619F" w:rsidP="0057619F">
      <w:r>
        <w:rPr>
          <w:rFonts w:hint="eastAsia"/>
        </w:rPr>
        <w:t>資料來源</w:t>
      </w:r>
      <w:r w:rsidR="00140A66">
        <w:rPr>
          <w:rFonts w:hint="eastAsia"/>
        </w:rPr>
        <w:t>：</w:t>
      </w:r>
      <w:hyperlink r:id="rId17" w:history="1">
        <w:r w:rsidR="00C8037A" w:rsidRPr="00737D10">
          <w:rPr>
            <w:rStyle w:val="a4"/>
          </w:rPr>
          <w:t>https://www.federalreserve.gov/data.htm</w:t>
        </w:r>
      </w:hyperlink>
    </w:p>
    <w:p w:rsidR="0057619F" w:rsidRDefault="0057619F" w:rsidP="0057619F"/>
    <w:p w:rsidR="0057619F" w:rsidRDefault="0057619F" w:rsidP="0057619F">
      <w:pPr>
        <w:pStyle w:val="a3"/>
        <w:numPr>
          <w:ilvl w:val="0"/>
          <w:numId w:val="1"/>
        </w:numPr>
        <w:ind w:leftChars="0"/>
      </w:pPr>
      <w:r>
        <w:rPr>
          <w:rFonts w:hint="eastAsia"/>
        </w:rPr>
        <w:t>耐久財訂單：</w:t>
      </w:r>
    </w:p>
    <w:p w:rsidR="0057619F" w:rsidRDefault="0057619F" w:rsidP="00140A66">
      <w:pPr>
        <w:jc w:val="both"/>
      </w:pPr>
      <w:r>
        <w:rPr>
          <w:rFonts w:hint="eastAsia"/>
        </w:rPr>
        <w:t>說明：</w:t>
      </w:r>
      <w:r w:rsidR="00423A8B" w:rsidRPr="00423A8B">
        <w:rPr>
          <w:rFonts w:hint="eastAsia"/>
        </w:rPr>
        <w:t>耐久財訂單數字，是製造業出貨，存貨及新訂單報告（</w:t>
      </w:r>
      <w:r w:rsidR="00423A8B" w:rsidRPr="00423A8B">
        <w:rPr>
          <w:rFonts w:hint="eastAsia"/>
        </w:rPr>
        <w:t>Manufacturers' Shipment, Inventories and Orders</w:t>
      </w:r>
      <w:r w:rsidR="00423A8B" w:rsidRPr="00423A8B">
        <w:rPr>
          <w:rFonts w:hint="eastAsia"/>
        </w:rPr>
        <w:t>）裡相當重要的一項，被視為製造業景氣的領先指標。此處所謂的耐久財，是指使用壽命超過三年的財貨，如國防設備，飛機等運輸設備，企業機器等資本設備，及一般消費性耐久財如汽車，家電用品等。</w:t>
      </w:r>
    </w:p>
    <w:p w:rsidR="0057619F" w:rsidRDefault="0057619F" w:rsidP="0057619F">
      <w:r>
        <w:rPr>
          <w:rFonts w:hint="eastAsia"/>
        </w:rPr>
        <w:t>資料來源：</w:t>
      </w:r>
      <w:hyperlink r:id="rId18" w:history="1">
        <w:r w:rsidR="00730D4D" w:rsidRPr="00737D10">
          <w:rPr>
            <w:rStyle w:val="a4"/>
          </w:rPr>
          <w:t>https://www.census.gov/</w:t>
        </w:r>
      </w:hyperlink>
    </w:p>
    <w:p w:rsidR="0057619F" w:rsidRDefault="0057619F" w:rsidP="0057619F"/>
    <w:p w:rsidR="0057619F" w:rsidRDefault="0057619F" w:rsidP="0057619F">
      <w:pPr>
        <w:pStyle w:val="a3"/>
        <w:numPr>
          <w:ilvl w:val="0"/>
          <w:numId w:val="1"/>
        </w:numPr>
        <w:ind w:leftChars="0"/>
      </w:pPr>
      <w:r>
        <w:rPr>
          <w:rFonts w:hint="eastAsia"/>
        </w:rPr>
        <w:t>躉售存貨：</w:t>
      </w:r>
    </w:p>
    <w:p w:rsidR="0057619F" w:rsidRDefault="0057619F" w:rsidP="009A66A2">
      <w:pPr>
        <w:jc w:val="both"/>
      </w:pPr>
      <w:r>
        <w:rPr>
          <w:rFonts w:hint="eastAsia"/>
        </w:rPr>
        <w:t>說明：</w:t>
      </w:r>
      <w:r w:rsidR="009A66A2" w:rsidRPr="009A66A2">
        <w:rPr>
          <w:rFonts w:hint="eastAsia"/>
        </w:rPr>
        <w:t>躉售存貨與躉售銷售</w:t>
      </w:r>
      <w:r w:rsidR="009A66A2">
        <w:rPr>
          <w:rFonts w:hint="eastAsia"/>
        </w:rPr>
        <w:t>，是</w:t>
      </w:r>
      <w:r w:rsidR="009A66A2" w:rsidRPr="009A66A2">
        <w:rPr>
          <w:rFonts w:hint="eastAsia"/>
        </w:rPr>
        <w:t>由</w:t>
      </w:r>
      <w:r w:rsidR="009A66A2">
        <w:rPr>
          <w:rFonts w:hint="eastAsia"/>
        </w:rPr>
        <w:t>美國</w:t>
      </w:r>
      <w:r w:rsidR="009A66A2" w:rsidRPr="009A66A2">
        <w:rPr>
          <w:rFonts w:hint="eastAsia"/>
        </w:rPr>
        <w:t>人口普查局依據企業提供的每月商品批發銷售，月底存貨的金額數據提供相關數據，每月</w:t>
      </w:r>
      <w:r w:rsidR="009A66A2" w:rsidRPr="009A66A2">
        <w:rPr>
          <w:rFonts w:hint="eastAsia"/>
        </w:rPr>
        <w:t>10</w:t>
      </w:r>
      <w:r w:rsidR="009A66A2" w:rsidRPr="009A66A2">
        <w:rPr>
          <w:rFonts w:hint="eastAsia"/>
        </w:rPr>
        <w:t>日前後公佈兩個月前的數據，亦即提供的是六</w:t>
      </w:r>
      <w:proofErr w:type="gramStart"/>
      <w:r w:rsidR="009A66A2" w:rsidRPr="009A66A2">
        <w:rPr>
          <w:rFonts w:hint="eastAsia"/>
        </w:rPr>
        <w:t>週</w:t>
      </w:r>
      <w:proofErr w:type="gramEnd"/>
      <w:r w:rsidR="009A66A2" w:rsidRPr="009A66A2">
        <w:rPr>
          <w:rFonts w:hint="eastAsia"/>
        </w:rPr>
        <w:t>前存貨或銷售狀況。躉售存貨與躉售銷售數字之變化是總體經濟很重要的一環，存貨與銷售的消長，可以作為觀察現在處於經濟循環哪個階段的重要依據。</w:t>
      </w:r>
    </w:p>
    <w:p w:rsidR="0057619F" w:rsidRDefault="0057619F" w:rsidP="0057619F">
      <w:r>
        <w:rPr>
          <w:rFonts w:hint="eastAsia"/>
        </w:rPr>
        <w:t>資料來源：</w:t>
      </w:r>
      <w:hyperlink r:id="rId19" w:history="1">
        <w:r w:rsidR="00730D4D" w:rsidRPr="00737D10">
          <w:rPr>
            <w:rStyle w:val="a4"/>
          </w:rPr>
          <w:t>https://www.census.gov/</w:t>
        </w:r>
      </w:hyperlink>
    </w:p>
    <w:p w:rsidR="0057619F" w:rsidRPr="0079616B" w:rsidRDefault="0057619F" w:rsidP="0079616B">
      <w:pPr>
        <w:jc w:val="both"/>
        <w:rPr>
          <w:rFonts w:ascii="標楷體" w:hAnsi="標楷體"/>
          <w:szCs w:val="24"/>
        </w:rPr>
      </w:pPr>
    </w:p>
    <w:p w:rsidR="00060919" w:rsidRPr="0079616B" w:rsidRDefault="00060919" w:rsidP="0079616B">
      <w:pPr>
        <w:pStyle w:val="a3"/>
        <w:widowControl/>
        <w:numPr>
          <w:ilvl w:val="0"/>
          <w:numId w:val="1"/>
        </w:numPr>
        <w:ind w:leftChars="0"/>
        <w:jc w:val="both"/>
        <w:rPr>
          <w:rFonts w:ascii="標楷體" w:hAnsi="標楷體"/>
          <w:color w:val="000000"/>
          <w:kern w:val="0"/>
          <w:szCs w:val="24"/>
        </w:rPr>
      </w:pPr>
      <w:r w:rsidRPr="0079616B">
        <w:rPr>
          <w:rFonts w:ascii="標楷體" w:hAnsi="標楷體"/>
          <w:color w:val="000000"/>
          <w:kern w:val="0"/>
          <w:szCs w:val="24"/>
        </w:rPr>
        <w:t>美國-10年減兩年公債</w:t>
      </w:r>
      <w:proofErr w:type="gramStart"/>
      <w:r w:rsidRPr="0079616B">
        <w:rPr>
          <w:rFonts w:ascii="標楷體" w:hAnsi="標楷體"/>
          <w:color w:val="000000"/>
          <w:kern w:val="0"/>
          <w:szCs w:val="24"/>
        </w:rPr>
        <w:t>殖</w:t>
      </w:r>
      <w:proofErr w:type="gramEnd"/>
      <w:r w:rsidRPr="0079616B">
        <w:rPr>
          <w:rFonts w:ascii="標楷體" w:hAnsi="標楷體"/>
          <w:color w:val="000000"/>
          <w:kern w:val="0"/>
          <w:szCs w:val="24"/>
        </w:rPr>
        <w:t>利率:</w:t>
      </w:r>
    </w:p>
    <w:p w:rsidR="00060919" w:rsidRPr="0079616B" w:rsidRDefault="00060919" w:rsidP="0079616B">
      <w:pPr>
        <w:widowControl/>
        <w:jc w:val="both"/>
        <w:rPr>
          <w:rFonts w:ascii="標楷體" w:hAnsi="標楷體"/>
          <w:color w:val="000000"/>
          <w:kern w:val="0"/>
          <w:szCs w:val="24"/>
        </w:rPr>
      </w:pPr>
      <w:r w:rsidRPr="0079616B">
        <w:rPr>
          <w:rFonts w:ascii="標楷體" w:hAnsi="標楷體"/>
          <w:szCs w:val="24"/>
        </w:rPr>
        <w:t>說明：</w:t>
      </w:r>
      <w:r w:rsidRPr="00060919">
        <w:rPr>
          <w:rFonts w:ascii="標楷體" w:hAnsi="標楷體"/>
          <w:color w:val="000000"/>
          <w:kern w:val="0"/>
          <w:szCs w:val="24"/>
        </w:rPr>
        <w:t>長天期公債</w:t>
      </w:r>
      <w:proofErr w:type="gramStart"/>
      <w:r w:rsidRPr="00060919">
        <w:rPr>
          <w:rFonts w:ascii="標楷體" w:hAnsi="標楷體"/>
          <w:color w:val="000000"/>
          <w:kern w:val="0"/>
          <w:szCs w:val="24"/>
        </w:rPr>
        <w:t>殖</w:t>
      </w:r>
      <w:proofErr w:type="gramEnd"/>
      <w:r w:rsidRPr="00060919">
        <w:rPr>
          <w:rFonts w:ascii="標楷體" w:hAnsi="標楷體"/>
          <w:color w:val="000000"/>
          <w:kern w:val="0"/>
          <w:szCs w:val="24"/>
        </w:rPr>
        <w:t>利率常被拿來檢視該國景氣通膨狀況，短天期則常被拿來預測該國利率決策。兩者利差則可透露美國景氣位置。</w:t>
      </w:r>
    </w:p>
    <w:p w:rsidR="0079616B" w:rsidRDefault="00060919" w:rsidP="0079616B">
      <w:pPr>
        <w:widowControl/>
        <w:jc w:val="both"/>
        <w:rPr>
          <w:rFonts w:ascii="標楷體" w:hAnsi="標楷體"/>
          <w:szCs w:val="24"/>
        </w:rPr>
      </w:pPr>
      <w:r w:rsidRPr="0079616B">
        <w:rPr>
          <w:rFonts w:ascii="標楷體" w:hAnsi="標楷體"/>
          <w:szCs w:val="24"/>
        </w:rPr>
        <w:t>資料來源：</w:t>
      </w:r>
    </w:p>
    <w:p w:rsidR="0079616B" w:rsidRDefault="0079616B" w:rsidP="0079616B">
      <w:pPr>
        <w:widowControl/>
        <w:jc w:val="both"/>
        <w:rPr>
          <w:rFonts w:ascii="標楷體" w:hAnsi="標楷體"/>
          <w:color w:val="000000"/>
          <w:kern w:val="0"/>
          <w:szCs w:val="24"/>
        </w:rPr>
      </w:pPr>
      <w:hyperlink r:id="rId20" w:history="1">
        <w:r w:rsidRPr="008E65E3">
          <w:rPr>
            <w:rStyle w:val="a4"/>
            <w:rFonts w:ascii="標楷體" w:hAnsi="標楷體" w:hint="eastAsia"/>
            <w:kern w:val="0"/>
            <w:szCs w:val="24"/>
          </w:rPr>
          <w:t>https://www.treasury.gov/resource-center/data-chart-center/interest-rates/Pages/TextView.aspx?data=yield</w:t>
        </w:r>
      </w:hyperlink>
    </w:p>
    <w:p w:rsidR="00060919" w:rsidRPr="0079616B" w:rsidRDefault="00060919" w:rsidP="0079616B">
      <w:pPr>
        <w:widowControl/>
        <w:jc w:val="both"/>
        <w:rPr>
          <w:rFonts w:ascii="標楷體" w:hAnsi="標楷體"/>
          <w:color w:val="000000"/>
          <w:kern w:val="0"/>
          <w:szCs w:val="24"/>
        </w:rPr>
      </w:pPr>
    </w:p>
    <w:p w:rsidR="00060919" w:rsidRPr="0079616B" w:rsidRDefault="00060919" w:rsidP="0079616B">
      <w:pPr>
        <w:pStyle w:val="a3"/>
        <w:widowControl/>
        <w:numPr>
          <w:ilvl w:val="0"/>
          <w:numId w:val="1"/>
        </w:numPr>
        <w:ind w:leftChars="0"/>
        <w:jc w:val="both"/>
        <w:rPr>
          <w:rFonts w:ascii="標楷體" w:hAnsi="標楷體"/>
          <w:color w:val="000000"/>
          <w:kern w:val="0"/>
          <w:szCs w:val="24"/>
        </w:rPr>
      </w:pPr>
      <w:r w:rsidRPr="0079616B">
        <w:rPr>
          <w:rFonts w:ascii="標楷體" w:hAnsi="標楷體"/>
          <w:color w:val="000000"/>
          <w:kern w:val="0"/>
          <w:szCs w:val="24"/>
        </w:rPr>
        <w:t>美德利差:</w:t>
      </w:r>
    </w:p>
    <w:p w:rsidR="00060919" w:rsidRPr="0079616B" w:rsidRDefault="0079616B" w:rsidP="0079616B">
      <w:pPr>
        <w:widowControl/>
        <w:jc w:val="both"/>
        <w:rPr>
          <w:rFonts w:ascii="標楷體" w:hAnsi="標楷體"/>
          <w:color w:val="333333"/>
          <w:kern w:val="0"/>
          <w:szCs w:val="24"/>
        </w:rPr>
      </w:pPr>
      <w:r w:rsidRPr="0079616B">
        <w:rPr>
          <w:rFonts w:ascii="標楷體" w:hAnsi="標楷體"/>
          <w:szCs w:val="24"/>
        </w:rPr>
        <w:t>說明：</w:t>
      </w:r>
      <w:r w:rsidR="00060919" w:rsidRPr="00060919">
        <w:rPr>
          <w:rFonts w:ascii="標楷體" w:hAnsi="標楷體"/>
          <w:color w:val="333333"/>
          <w:kern w:val="0"/>
          <w:szCs w:val="24"/>
        </w:rPr>
        <w:t>美德利差 = 美國10年期公債</w:t>
      </w:r>
      <w:proofErr w:type="gramStart"/>
      <w:r w:rsidR="00060919" w:rsidRPr="00060919">
        <w:rPr>
          <w:rFonts w:ascii="標楷體" w:hAnsi="標楷體"/>
          <w:color w:val="333333"/>
          <w:kern w:val="0"/>
          <w:szCs w:val="24"/>
        </w:rPr>
        <w:t>殖</w:t>
      </w:r>
      <w:proofErr w:type="gramEnd"/>
      <w:r w:rsidR="00060919" w:rsidRPr="00060919">
        <w:rPr>
          <w:rFonts w:ascii="標楷體" w:hAnsi="標楷體"/>
          <w:color w:val="333333"/>
          <w:kern w:val="0"/>
          <w:szCs w:val="24"/>
        </w:rPr>
        <w:t>利率-德國10年期公債</w:t>
      </w:r>
      <w:proofErr w:type="gramStart"/>
      <w:r w:rsidR="00060919" w:rsidRPr="00060919">
        <w:rPr>
          <w:rFonts w:ascii="標楷體" w:hAnsi="標楷體"/>
          <w:color w:val="333333"/>
          <w:kern w:val="0"/>
          <w:szCs w:val="24"/>
        </w:rPr>
        <w:t>殖</w:t>
      </w:r>
      <w:proofErr w:type="gramEnd"/>
      <w:r w:rsidR="00060919" w:rsidRPr="00060919">
        <w:rPr>
          <w:rFonts w:ascii="標楷體" w:hAnsi="標楷體"/>
          <w:color w:val="333333"/>
          <w:kern w:val="0"/>
          <w:szCs w:val="24"/>
        </w:rPr>
        <w:t>利率。</w:t>
      </w:r>
    </w:p>
    <w:p w:rsidR="0079616B" w:rsidRDefault="0079616B" w:rsidP="0079616B">
      <w:pPr>
        <w:widowControl/>
        <w:jc w:val="both"/>
        <w:rPr>
          <w:rFonts w:ascii="標楷體" w:hAnsi="標楷體"/>
          <w:szCs w:val="24"/>
        </w:rPr>
      </w:pPr>
      <w:r w:rsidRPr="0079616B">
        <w:rPr>
          <w:rFonts w:ascii="標楷體" w:hAnsi="標楷體"/>
          <w:szCs w:val="24"/>
        </w:rPr>
        <w:t>資料來源：</w:t>
      </w:r>
    </w:p>
    <w:p w:rsidR="00060919" w:rsidRDefault="0079616B" w:rsidP="0079616B">
      <w:pPr>
        <w:widowControl/>
        <w:jc w:val="both"/>
        <w:rPr>
          <w:rFonts w:ascii="標楷體" w:hAnsi="標楷體"/>
          <w:color w:val="000000"/>
          <w:kern w:val="0"/>
          <w:szCs w:val="24"/>
        </w:rPr>
      </w:pPr>
      <w:hyperlink r:id="rId21" w:history="1">
        <w:r w:rsidRPr="008E65E3">
          <w:rPr>
            <w:rStyle w:val="a4"/>
            <w:rFonts w:ascii="標楷體" w:hAnsi="標楷體" w:hint="eastAsia"/>
            <w:kern w:val="0"/>
            <w:szCs w:val="24"/>
          </w:rPr>
          <w:t>https://www.investing.com/rates-bonds/germany-10-year-bond-yield-historical-data</w:t>
        </w:r>
      </w:hyperlink>
    </w:p>
    <w:p w:rsidR="00060919" w:rsidRPr="0079616B" w:rsidRDefault="00060919" w:rsidP="0079616B">
      <w:pPr>
        <w:widowControl/>
        <w:jc w:val="both"/>
        <w:rPr>
          <w:rFonts w:ascii="標楷體" w:hAnsi="標楷體"/>
          <w:color w:val="000000"/>
          <w:kern w:val="0"/>
          <w:szCs w:val="24"/>
        </w:rPr>
      </w:pPr>
    </w:p>
    <w:p w:rsidR="00060919" w:rsidRPr="0079616B" w:rsidRDefault="00060919" w:rsidP="0079616B">
      <w:pPr>
        <w:pStyle w:val="a3"/>
        <w:widowControl/>
        <w:numPr>
          <w:ilvl w:val="0"/>
          <w:numId w:val="1"/>
        </w:numPr>
        <w:ind w:leftChars="0"/>
        <w:jc w:val="both"/>
        <w:rPr>
          <w:rFonts w:ascii="標楷體" w:hAnsi="標楷體"/>
          <w:color w:val="000000"/>
          <w:kern w:val="0"/>
          <w:szCs w:val="24"/>
        </w:rPr>
      </w:pPr>
      <w:r w:rsidRPr="0079616B">
        <w:rPr>
          <w:rFonts w:ascii="標楷體" w:hAnsi="標楷體"/>
          <w:color w:val="000000"/>
          <w:kern w:val="0"/>
          <w:szCs w:val="24"/>
        </w:rPr>
        <w:t>泰德利差(TED Spread):</w:t>
      </w:r>
    </w:p>
    <w:p w:rsidR="0025158A" w:rsidRPr="0079616B" w:rsidRDefault="0079616B" w:rsidP="0079616B">
      <w:pPr>
        <w:jc w:val="both"/>
        <w:rPr>
          <w:rFonts w:ascii="標楷體" w:hAnsi="標楷體"/>
          <w:szCs w:val="24"/>
        </w:rPr>
      </w:pPr>
      <w:r w:rsidRPr="0079616B">
        <w:rPr>
          <w:rFonts w:ascii="標楷體" w:hAnsi="標楷體"/>
          <w:szCs w:val="24"/>
        </w:rPr>
        <w:t>說明：</w:t>
      </w:r>
      <w:r w:rsidR="00060919" w:rsidRPr="0079616B">
        <w:rPr>
          <w:rFonts w:ascii="標楷體" w:hAnsi="標楷體"/>
          <w:szCs w:val="24"/>
        </w:rPr>
        <w:t xml:space="preserve">泰德利差，亦作TED利差，其實是一個音譯自英語“TED spread”的財經名詞，TED，全稱Treasury &amp; </w:t>
      </w:r>
      <w:proofErr w:type="spellStart"/>
      <w:r w:rsidR="00060919" w:rsidRPr="0079616B">
        <w:rPr>
          <w:rFonts w:ascii="標楷體" w:hAnsi="標楷體"/>
          <w:szCs w:val="24"/>
        </w:rPr>
        <w:t>EuroDollar</w:t>
      </w:r>
      <w:proofErr w:type="spellEnd"/>
      <w:r w:rsidR="00060919" w:rsidRPr="0079616B">
        <w:rPr>
          <w:rFonts w:ascii="標楷體" w:hAnsi="標楷體"/>
          <w:szCs w:val="24"/>
        </w:rPr>
        <w:t xml:space="preserve"> Spread。所以，</w:t>
      </w:r>
      <w:proofErr w:type="gramStart"/>
      <w:r w:rsidR="00060919" w:rsidRPr="0079616B">
        <w:rPr>
          <w:rFonts w:ascii="標楷體" w:hAnsi="標楷體"/>
          <w:szCs w:val="24"/>
        </w:rPr>
        <w:t>泰德價</w:t>
      </w:r>
      <w:proofErr w:type="gramEnd"/>
      <w:r w:rsidR="00060919" w:rsidRPr="0079616B">
        <w:rPr>
          <w:rFonts w:ascii="標楷體" w:hAnsi="標楷體"/>
          <w:szCs w:val="24"/>
        </w:rPr>
        <w:t xml:space="preserve"> 泰德利差其實是一個利用了美國和歐洲的利息差別而進行的對沖交易。</w:t>
      </w:r>
    </w:p>
    <w:p w:rsidR="00060919" w:rsidRPr="0079616B" w:rsidRDefault="0079616B" w:rsidP="0079616B">
      <w:pPr>
        <w:jc w:val="both"/>
        <w:rPr>
          <w:szCs w:val="24"/>
        </w:rPr>
      </w:pPr>
      <w:r w:rsidRPr="0079616B">
        <w:rPr>
          <w:szCs w:val="24"/>
        </w:rPr>
        <w:t>資料來源：</w:t>
      </w:r>
      <w:hyperlink r:id="rId22" w:history="1">
        <w:r w:rsidR="00060919" w:rsidRPr="0079616B">
          <w:rPr>
            <w:rStyle w:val="a4"/>
            <w:szCs w:val="24"/>
          </w:rPr>
          <w:t>https://fred.stlouisfed.org/series/TEDRATE</w:t>
        </w:r>
      </w:hyperlink>
    </w:p>
    <w:p w:rsidR="00060919" w:rsidRPr="0079616B" w:rsidRDefault="00060919" w:rsidP="0079616B">
      <w:pPr>
        <w:jc w:val="both"/>
        <w:rPr>
          <w:szCs w:val="24"/>
        </w:rPr>
      </w:pPr>
    </w:p>
    <w:p w:rsidR="00060919" w:rsidRPr="0079616B" w:rsidRDefault="00060919" w:rsidP="0079616B">
      <w:pPr>
        <w:pStyle w:val="a3"/>
        <w:numPr>
          <w:ilvl w:val="0"/>
          <w:numId w:val="1"/>
        </w:numPr>
        <w:ind w:leftChars="0"/>
        <w:jc w:val="both"/>
        <w:rPr>
          <w:szCs w:val="24"/>
        </w:rPr>
      </w:pPr>
      <w:r w:rsidRPr="0079616B">
        <w:rPr>
          <w:szCs w:val="24"/>
        </w:rPr>
        <w:t>美國信用風險利差</w:t>
      </w:r>
      <w:r w:rsidRPr="0079616B">
        <w:rPr>
          <w:szCs w:val="24"/>
        </w:rPr>
        <w:t>:</w:t>
      </w:r>
    </w:p>
    <w:p w:rsidR="0025158A" w:rsidRPr="0079616B" w:rsidRDefault="0079616B" w:rsidP="0079616B">
      <w:pPr>
        <w:jc w:val="both"/>
        <w:rPr>
          <w:szCs w:val="24"/>
        </w:rPr>
      </w:pPr>
      <w:r w:rsidRPr="0079616B">
        <w:rPr>
          <w:szCs w:val="24"/>
        </w:rPr>
        <w:t>說明：</w:t>
      </w:r>
      <w:r w:rsidR="00060919" w:rsidRPr="0079616B">
        <w:rPr>
          <w:szCs w:val="24"/>
        </w:rPr>
        <w:t>MM</w:t>
      </w:r>
      <w:r w:rsidR="00060919" w:rsidRPr="0079616B">
        <w:rPr>
          <w:szCs w:val="24"/>
        </w:rPr>
        <w:t>信用風險利差</w:t>
      </w:r>
      <w:r w:rsidR="00060919" w:rsidRPr="0079616B">
        <w:rPr>
          <w:szCs w:val="24"/>
        </w:rPr>
        <w:t>=</w:t>
      </w:r>
      <w:r w:rsidR="00060919" w:rsidRPr="0079616B">
        <w:rPr>
          <w:szCs w:val="24"/>
        </w:rPr>
        <w:t>美林</w:t>
      </w:r>
      <w:r w:rsidR="00060919" w:rsidRPr="0079616B">
        <w:rPr>
          <w:szCs w:val="24"/>
        </w:rPr>
        <w:t>CCC</w:t>
      </w:r>
      <w:r w:rsidR="00060919" w:rsidRPr="0079616B">
        <w:rPr>
          <w:szCs w:val="24"/>
        </w:rPr>
        <w:t>級高收益債券</w:t>
      </w:r>
      <w:proofErr w:type="gramStart"/>
      <w:r w:rsidR="00060919" w:rsidRPr="0079616B">
        <w:rPr>
          <w:szCs w:val="24"/>
        </w:rPr>
        <w:t>殖</w:t>
      </w:r>
      <w:proofErr w:type="gramEnd"/>
      <w:r w:rsidR="00060919" w:rsidRPr="0079616B">
        <w:rPr>
          <w:szCs w:val="24"/>
        </w:rPr>
        <w:t>利率</w:t>
      </w:r>
      <w:r w:rsidR="00060919" w:rsidRPr="0079616B">
        <w:rPr>
          <w:szCs w:val="24"/>
        </w:rPr>
        <w:t>-</w:t>
      </w:r>
      <w:r w:rsidR="00060919" w:rsidRPr="0079616B">
        <w:rPr>
          <w:szCs w:val="24"/>
        </w:rPr>
        <w:t>美國</w:t>
      </w:r>
      <w:r w:rsidR="00060919" w:rsidRPr="0079616B">
        <w:rPr>
          <w:szCs w:val="24"/>
        </w:rPr>
        <w:t>10</w:t>
      </w:r>
      <w:r w:rsidR="00060919" w:rsidRPr="0079616B">
        <w:rPr>
          <w:szCs w:val="24"/>
        </w:rPr>
        <w:t>年期政府公債</w:t>
      </w:r>
      <w:proofErr w:type="gramStart"/>
      <w:r w:rsidR="00060919" w:rsidRPr="0079616B">
        <w:rPr>
          <w:szCs w:val="24"/>
        </w:rPr>
        <w:t>殖</w:t>
      </w:r>
      <w:proofErr w:type="gramEnd"/>
      <w:r w:rsidR="00060919" w:rsidRPr="0079616B">
        <w:rPr>
          <w:szCs w:val="24"/>
        </w:rPr>
        <w:t>利率</w:t>
      </w:r>
      <w:r w:rsidR="00060919" w:rsidRPr="0079616B">
        <w:rPr>
          <w:szCs w:val="24"/>
        </w:rPr>
        <w:t>(</w:t>
      </w:r>
      <w:r w:rsidR="00060919" w:rsidRPr="0079616B">
        <w:rPr>
          <w:szCs w:val="24"/>
        </w:rPr>
        <w:t>無風險利率</w:t>
      </w:r>
      <w:r w:rsidR="00060919" w:rsidRPr="0079616B">
        <w:rPr>
          <w:szCs w:val="24"/>
        </w:rPr>
        <w:t>)</w:t>
      </w:r>
      <w:r w:rsidR="00060919" w:rsidRPr="0079616B">
        <w:rPr>
          <w:szCs w:val="24"/>
        </w:rPr>
        <w:t>，此指標反映市場對未來企業違約風險的預期。</w:t>
      </w:r>
    </w:p>
    <w:p w:rsidR="0025158A" w:rsidRPr="0079616B" w:rsidRDefault="0079616B" w:rsidP="0079616B">
      <w:pPr>
        <w:jc w:val="both"/>
        <w:rPr>
          <w:szCs w:val="24"/>
        </w:rPr>
      </w:pPr>
      <w:r w:rsidRPr="0079616B">
        <w:rPr>
          <w:szCs w:val="24"/>
        </w:rPr>
        <w:t>資料來源：</w:t>
      </w:r>
      <w:hyperlink r:id="rId23" w:history="1">
        <w:r w:rsidR="00060919" w:rsidRPr="0079616B">
          <w:rPr>
            <w:rStyle w:val="a4"/>
            <w:szCs w:val="24"/>
          </w:rPr>
          <w:t>https://fred.stlouisfed.org/series/BAMLH0A3HYCEY</w:t>
        </w:r>
      </w:hyperlink>
    </w:p>
    <w:p w:rsidR="00060919" w:rsidRPr="0079616B" w:rsidRDefault="00060919" w:rsidP="0079616B">
      <w:pPr>
        <w:jc w:val="both"/>
        <w:rPr>
          <w:szCs w:val="24"/>
        </w:rPr>
      </w:pPr>
    </w:p>
    <w:p w:rsidR="00060919" w:rsidRPr="0079616B" w:rsidRDefault="00060919" w:rsidP="0079616B">
      <w:pPr>
        <w:pStyle w:val="a3"/>
        <w:numPr>
          <w:ilvl w:val="0"/>
          <w:numId w:val="1"/>
        </w:numPr>
        <w:ind w:leftChars="0"/>
        <w:jc w:val="both"/>
        <w:rPr>
          <w:szCs w:val="24"/>
        </w:rPr>
      </w:pPr>
      <w:r w:rsidRPr="0079616B">
        <w:rPr>
          <w:szCs w:val="24"/>
        </w:rPr>
        <w:t>巴菲特指標</w:t>
      </w:r>
      <w:r w:rsidRPr="0079616B">
        <w:rPr>
          <w:szCs w:val="24"/>
        </w:rPr>
        <w:t>:</w:t>
      </w:r>
      <w:bookmarkStart w:id="0" w:name="_GoBack"/>
      <w:bookmarkEnd w:id="0"/>
    </w:p>
    <w:p w:rsidR="00060919" w:rsidRPr="0079616B" w:rsidRDefault="0079616B" w:rsidP="0079616B">
      <w:pPr>
        <w:jc w:val="both"/>
        <w:rPr>
          <w:szCs w:val="24"/>
        </w:rPr>
      </w:pPr>
      <w:r w:rsidRPr="0079616B">
        <w:rPr>
          <w:szCs w:val="24"/>
        </w:rPr>
        <w:t>說明：</w:t>
      </w:r>
      <w:proofErr w:type="gramStart"/>
      <w:r w:rsidR="00060919" w:rsidRPr="0079616B">
        <w:rPr>
          <w:szCs w:val="24"/>
        </w:rPr>
        <w:t>股神巴菲特</w:t>
      </w:r>
      <w:proofErr w:type="gramEnd"/>
      <w:r w:rsidR="00060919" w:rsidRPr="0079616B">
        <w:rPr>
          <w:szCs w:val="24"/>
        </w:rPr>
        <w:t>於</w:t>
      </w:r>
      <w:r w:rsidR="00060919" w:rsidRPr="0079616B">
        <w:rPr>
          <w:szCs w:val="24"/>
        </w:rPr>
        <w:t>2001</w:t>
      </w:r>
      <w:r w:rsidR="00060919" w:rsidRPr="0079616B">
        <w:rPr>
          <w:szCs w:val="24"/>
        </w:rPr>
        <w:t>年</w:t>
      </w:r>
      <w:r w:rsidR="00060919" w:rsidRPr="0079616B">
        <w:rPr>
          <w:szCs w:val="24"/>
        </w:rPr>
        <w:t>12</w:t>
      </w:r>
      <w:r w:rsidR="00060919" w:rsidRPr="0079616B">
        <w:rPr>
          <w:szCs w:val="24"/>
        </w:rPr>
        <w:t>月時，在富士比雜誌的一篇專文中提到：</w:t>
      </w:r>
      <w:r w:rsidR="00060919" w:rsidRPr="0079616B">
        <w:rPr>
          <w:szCs w:val="24"/>
        </w:rPr>
        <w:t xml:space="preserve"> </w:t>
      </w:r>
      <w:r w:rsidR="00060919" w:rsidRPr="0079616B">
        <w:rPr>
          <w:szCs w:val="24"/>
        </w:rPr>
        <w:t>用股市總市值和</w:t>
      </w:r>
      <w:r w:rsidR="00060919" w:rsidRPr="0079616B">
        <w:rPr>
          <w:szCs w:val="24"/>
        </w:rPr>
        <w:t>GNP</w:t>
      </w:r>
      <w:r w:rsidR="00060919" w:rsidRPr="0079616B">
        <w:rPr>
          <w:szCs w:val="24"/>
        </w:rPr>
        <w:t>的比值，可作為判斷整體股市是否過高或是過低，</w:t>
      </w:r>
      <w:r w:rsidR="00060919" w:rsidRPr="0079616B">
        <w:rPr>
          <w:szCs w:val="24"/>
        </w:rPr>
        <w:t xml:space="preserve"> </w:t>
      </w:r>
      <w:r w:rsidR="00060919" w:rsidRPr="0079616B">
        <w:rPr>
          <w:szCs w:val="24"/>
        </w:rPr>
        <w:t>因此被泛稱為巴菲</w:t>
      </w:r>
      <w:proofErr w:type="gramStart"/>
      <w:r w:rsidR="00060919" w:rsidRPr="0079616B">
        <w:rPr>
          <w:szCs w:val="24"/>
        </w:rPr>
        <w:t>特</w:t>
      </w:r>
      <w:proofErr w:type="gramEnd"/>
      <w:r w:rsidR="00060919" w:rsidRPr="0079616B">
        <w:rPr>
          <w:szCs w:val="24"/>
        </w:rPr>
        <w:t>指標。</w:t>
      </w:r>
    </w:p>
    <w:p w:rsidR="00060919" w:rsidRPr="0079616B" w:rsidRDefault="0079616B" w:rsidP="0079616B">
      <w:pPr>
        <w:jc w:val="both"/>
        <w:rPr>
          <w:szCs w:val="24"/>
        </w:rPr>
      </w:pPr>
      <w:r w:rsidRPr="0079616B">
        <w:rPr>
          <w:szCs w:val="24"/>
        </w:rPr>
        <w:t>資料來源：</w:t>
      </w:r>
      <w:hyperlink r:id="rId24" w:history="1">
        <w:r w:rsidR="00060919" w:rsidRPr="0079616B">
          <w:rPr>
            <w:rStyle w:val="a4"/>
            <w:szCs w:val="24"/>
          </w:rPr>
          <w:t>https://wilshire.com/</w:t>
        </w:r>
      </w:hyperlink>
    </w:p>
    <w:p w:rsidR="00060919" w:rsidRPr="0079616B" w:rsidRDefault="00060919" w:rsidP="0079616B">
      <w:pPr>
        <w:jc w:val="both"/>
        <w:rPr>
          <w:szCs w:val="24"/>
        </w:rPr>
      </w:pPr>
    </w:p>
    <w:p w:rsidR="00060919" w:rsidRPr="0079616B" w:rsidRDefault="00060919" w:rsidP="0079616B">
      <w:pPr>
        <w:pStyle w:val="a3"/>
        <w:numPr>
          <w:ilvl w:val="0"/>
          <w:numId w:val="1"/>
        </w:numPr>
        <w:ind w:leftChars="0"/>
        <w:jc w:val="both"/>
        <w:rPr>
          <w:szCs w:val="24"/>
        </w:rPr>
      </w:pPr>
      <w:r w:rsidRPr="0079616B">
        <w:rPr>
          <w:szCs w:val="24"/>
        </w:rPr>
        <w:t>CBOE put/call ratio:</w:t>
      </w:r>
    </w:p>
    <w:p w:rsidR="00060919" w:rsidRPr="0079616B" w:rsidRDefault="0079616B" w:rsidP="0079616B">
      <w:pPr>
        <w:jc w:val="both"/>
        <w:rPr>
          <w:szCs w:val="24"/>
        </w:rPr>
      </w:pPr>
      <w:r w:rsidRPr="0079616B">
        <w:rPr>
          <w:szCs w:val="24"/>
        </w:rPr>
        <w:t>說明：</w:t>
      </w:r>
      <w:r w:rsidR="00060919" w:rsidRPr="0079616B">
        <w:rPr>
          <w:szCs w:val="24"/>
        </w:rPr>
        <w:t>此為</w:t>
      </w:r>
      <w:r w:rsidR="00060919" w:rsidRPr="0079616B">
        <w:rPr>
          <w:szCs w:val="24"/>
        </w:rPr>
        <w:t>CBOE</w:t>
      </w:r>
      <w:r w:rsidR="00060919" w:rsidRPr="0079616B">
        <w:rPr>
          <w:szCs w:val="24"/>
        </w:rPr>
        <w:t>公布的</w:t>
      </w:r>
      <w:r w:rsidR="00060919" w:rsidRPr="0079616B">
        <w:rPr>
          <w:szCs w:val="24"/>
        </w:rPr>
        <w:t>Options Total Put/Call ratio (</w:t>
      </w:r>
      <w:r w:rsidR="00060919" w:rsidRPr="0079616B">
        <w:rPr>
          <w:szCs w:val="24"/>
        </w:rPr>
        <w:t>成交量</w:t>
      </w:r>
      <w:r w:rsidR="00060919" w:rsidRPr="0079616B">
        <w:rPr>
          <w:szCs w:val="24"/>
        </w:rPr>
        <w:t xml:space="preserve">) </w:t>
      </w:r>
      <w:r w:rsidR="00060919" w:rsidRPr="0079616B">
        <w:rPr>
          <w:szCs w:val="24"/>
        </w:rPr>
        <w:t>，包含指數</w:t>
      </w:r>
      <w:r w:rsidR="00060919" w:rsidRPr="0079616B">
        <w:rPr>
          <w:szCs w:val="24"/>
        </w:rPr>
        <w:t>(Index)</w:t>
      </w:r>
      <w:r w:rsidR="00060919" w:rsidRPr="0079616B">
        <w:rPr>
          <w:szCs w:val="24"/>
        </w:rPr>
        <w:t>與權益</w:t>
      </w:r>
      <w:r w:rsidR="00060919" w:rsidRPr="0079616B">
        <w:rPr>
          <w:szCs w:val="24"/>
        </w:rPr>
        <w:t>(Equity)</w:t>
      </w:r>
      <w:r w:rsidR="00060919" w:rsidRPr="0079616B">
        <w:rPr>
          <w:szCs w:val="24"/>
        </w:rPr>
        <w:t>。美國喜歡用該指標來觀察短線市場對股市樂觀與悲觀的態度。當該指標數值達極高水準時，顯示市場過度悲觀，行情可能轉而上漲，反之亦然。</w:t>
      </w:r>
    </w:p>
    <w:p w:rsidR="00060919" w:rsidRPr="0079616B" w:rsidRDefault="0079616B" w:rsidP="0079616B">
      <w:pPr>
        <w:jc w:val="both"/>
        <w:rPr>
          <w:szCs w:val="24"/>
        </w:rPr>
      </w:pPr>
      <w:r w:rsidRPr="0079616B">
        <w:rPr>
          <w:szCs w:val="24"/>
        </w:rPr>
        <w:t>資料來源：</w:t>
      </w:r>
      <w:hyperlink r:id="rId25" w:history="1">
        <w:r w:rsidR="00060919" w:rsidRPr="0079616B">
          <w:rPr>
            <w:rStyle w:val="a4"/>
            <w:szCs w:val="24"/>
          </w:rPr>
          <w:t>http://www.cboe.com/</w:t>
        </w:r>
      </w:hyperlink>
    </w:p>
    <w:p w:rsidR="00060919" w:rsidRPr="0079616B" w:rsidRDefault="00060919" w:rsidP="0079616B">
      <w:pPr>
        <w:jc w:val="both"/>
        <w:rPr>
          <w:szCs w:val="24"/>
        </w:rPr>
      </w:pPr>
    </w:p>
    <w:p w:rsidR="00060919" w:rsidRPr="0079616B" w:rsidRDefault="00060919" w:rsidP="0079616B">
      <w:pPr>
        <w:pStyle w:val="a3"/>
        <w:numPr>
          <w:ilvl w:val="0"/>
          <w:numId w:val="1"/>
        </w:numPr>
        <w:ind w:leftChars="0"/>
        <w:jc w:val="both"/>
        <w:rPr>
          <w:szCs w:val="24"/>
        </w:rPr>
      </w:pPr>
      <w:r w:rsidRPr="0079616B">
        <w:rPr>
          <w:szCs w:val="24"/>
        </w:rPr>
        <w:t>FINRA</w:t>
      </w:r>
      <w:r w:rsidRPr="0079616B">
        <w:rPr>
          <w:szCs w:val="24"/>
        </w:rPr>
        <w:t>投資人借貸指數</w:t>
      </w:r>
      <w:r w:rsidRPr="0079616B">
        <w:rPr>
          <w:szCs w:val="24"/>
        </w:rPr>
        <w:t>:</w:t>
      </w:r>
    </w:p>
    <w:p w:rsidR="00060919" w:rsidRPr="0079616B" w:rsidRDefault="0079616B" w:rsidP="0079616B">
      <w:pPr>
        <w:jc w:val="both"/>
        <w:rPr>
          <w:szCs w:val="24"/>
        </w:rPr>
      </w:pPr>
      <w:r w:rsidRPr="0079616B">
        <w:rPr>
          <w:szCs w:val="24"/>
        </w:rPr>
        <w:t>說明：</w:t>
      </w:r>
      <w:r w:rsidR="00060919" w:rsidRPr="0079616B">
        <w:rPr>
          <w:szCs w:val="24"/>
        </w:rPr>
        <w:t>此數字為</w:t>
      </w:r>
      <w:r w:rsidR="00060919" w:rsidRPr="0079616B">
        <w:rPr>
          <w:szCs w:val="24"/>
        </w:rPr>
        <w:t>FINRA</w:t>
      </w:r>
      <w:r w:rsidR="00060919" w:rsidRPr="0079616B">
        <w:rPr>
          <w:szCs w:val="24"/>
        </w:rPr>
        <w:t>中，</w:t>
      </w:r>
      <w:r w:rsidR="00060919" w:rsidRPr="0079616B">
        <w:rPr>
          <w:szCs w:val="24"/>
        </w:rPr>
        <w:t>Free credit cash accounts(</w:t>
      </w:r>
      <w:r w:rsidR="00060919" w:rsidRPr="0079616B">
        <w:rPr>
          <w:szCs w:val="24"/>
        </w:rPr>
        <w:t>一般帳戶的閒置資金</w:t>
      </w:r>
      <w:r w:rsidR="00060919" w:rsidRPr="0079616B">
        <w:rPr>
          <w:szCs w:val="24"/>
        </w:rPr>
        <w:t>) + Credit balances in margin accounts (</w:t>
      </w:r>
      <w:r w:rsidR="00060919" w:rsidRPr="0079616B">
        <w:rPr>
          <w:szCs w:val="24"/>
        </w:rPr>
        <w:t>信用交易帳戶的閒置資金</w:t>
      </w:r>
      <w:r w:rsidR="00060919" w:rsidRPr="0079616B">
        <w:rPr>
          <w:szCs w:val="24"/>
        </w:rPr>
        <w:t>) - Margin debt (</w:t>
      </w:r>
      <w:r w:rsidR="00060919" w:rsidRPr="0079616B">
        <w:rPr>
          <w:szCs w:val="24"/>
        </w:rPr>
        <w:t>所有融資戶向證券公司借錢投資的負債總額</w:t>
      </w:r>
      <w:r w:rsidR="00060919" w:rsidRPr="0079616B">
        <w:rPr>
          <w:szCs w:val="24"/>
        </w:rPr>
        <w:t xml:space="preserve">) </w:t>
      </w:r>
      <w:r w:rsidR="00060919" w:rsidRPr="0079616B">
        <w:rPr>
          <w:szCs w:val="24"/>
        </w:rPr>
        <w:t>所編製而成的投資人借貸指數。</w:t>
      </w:r>
    </w:p>
    <w:p w:rsidR="00060919" w:rsidRPr="0079616B" w:rsidRDefault="0079616B" w:rsidP="0079616B">
      <w:pPr>
        <w:jc w:val="both"/>
        <w:rPr>
          <w:szCs w:val="24"/>
        </w:rPr>
      </w:pPr>
      <w:r w:rsidRPr="0079616B">
        <w:rPr>
          <w:szCs w:val="24"/>
        </w:rPr>
        <w:t>資料來源：</w:t>
      </w:r>
      <w:hyperlink r:id="rId26" w:history="1">
        <w:r w:rsidR="00060919" w:rsidRPr="0079616B">
          <w:rPr>
            <w:rStyle w:val="a4"/>
            <w:szCs w:val="24"/>
          </w:rPr>
          <w:t>http://www.finra.org/investors/margin-statistics</w:t>
        </w:r>
      </w:hyperlink>
    </w:p>
    <w:p w:rsidR="00060919" w:rsidRPr="0079616B" w:rsidRDefault="00060919" w:rsidP="0079616B">
      <w:pPr>
        <w:jc w:val="both"/>
        <w:rPr>
          <w:szCs w:val="24"/>
        </w:rPr>
      </w:pPr>
    </w:p>
    <w:p w:rsidR="00060919" w:rsidRPr="0079616B" w:rsidRDefault="00060919" w:rsidP="0079616B">
      <w:pPr>
        <w:pStyle w:val="a3"/>
        <w:numPr>
          <w:ilvl w:val="0"/>
          <w:numId w:val="1"/>
        </w:numPr>
        <w:ind w:leftChars="0"/>
        <w:jc w:val="both"/>
        <w:rPr>
          <w:szCs w:val="24"/>
        </w:rPr>
      </w:pPr>
      <w:r w:rsidRPr="0079616B">
        <w:rPr>
          <w:szCs w:val="24"/>
        </w:rPr>
        <w:t>美國</w:t>
      </w:r>
      <w:r w:rsidRPr="0079616B">
        <w:rPr>
          <w:szCs w:val="24"/>
        </w:rPr>
        <w:t>-</w:t>
      </w:r>
      <w:r w:rsidRPr="0079616B">
        <w:rPr>
          <w:szCs w:val="24"/>
        </w:rPr>
        <w:t>銀行資金緊縮與企業貸款需求</w:t>
      </w:r>
      <w:r w:rsidRPr="0079616B">
        <w:rPr>
          <w:szCs w:val="24"/>
        </w:rPr>
        <w:t>:</w:t>
      </w:r>
    </w:p>
    <w:p w:rsidR="00060919" w:rsidRPr="0079616B" w:rsidRDefault="0079616B" w:rsidP="0079616B">
      <w:pPr>
        <w:jc w:val="both"/>
        <w:rPr>
          <w:szCs w:val="24"/>
        </w:rPr>
      </w:pPr>
      <w:r w:rsidRPr="0079616B">
        <w:rPr>
          <w:szCs w:val="24"/>
        </w:rPr>
        <w:t>說明：</w:t>
      </w:r>
      <w:r w:rsidR="00060919" w:rsidRPr="0079616B">
        <w:rPr>
          <w:szCs w:val="24"/>
        </w:rPr>
        <w:t>Fed</w:t>
      </w:r>
      <w:r w:rsidR="00060919" w:rsidRPr="0079616B">
        <w:rPr>
          <w:szCs w:val="24"/>
        </w:rPr>
        <w:t>為了更準確了解企業活動向銀行申請貸款的需求變化，對於</w:t>
      </w:r>
      <w:r w:rsidR="00060919" w:rsidRPr="0079616B">
        <w:rPr>
          <w:szCs w:val="24"/>
        </w:rPr>
        <w:t>70</w:t>
      </w:r>
      <w:r w:rsidR="00060919" w:rsidRPr="0079616B">
        <w:rPr>
          <w:szCs w:val="24"/>
        </w:rPr>
        <w:t>家國內銀行與</w:t>
      </w:r>
      <w:r w:rsidR="00060919" w:rsidRPr="0079616B">
        <w:rPr>
          <w:szCs w:val="24"/>
        </w:rPr>
        <w:t>23</w:t>
      </w:r>
      <w:r w:rsidR="00060919" w:rsidRPr="0079616B">
        <w:rPr>
          <w:szCs w:val="24"/>
        </w:rPr>
        <w:t>間位於美國的外國銀行分支機構進行調查，調查內容包括放貸標準與條款變動、放貸供給和需求變動。國內銀行緊縮企業貸款標準淨比例＝全部緊縮比例</w:t>
      </w:r>
      <w:r w:rsidR="00060919" w:rsidRPr="0079616B">
        <w:rPr>
          <w:szCs w:val="24"/>
        </w:rPr>
        <w:t xml:space="preserve"> - </w:t>
      </w:r>
      <w:r w:rsidR="00060919" w:rsidRPr="0079616B">
        <w:rPr>
          <w:szCs w:val="24"/>
        </w:rPr>
        <w:t>全部寬鬆比例。企業向銀行申請貸款淨需求比例＝全部增加需求比例</w:t>
      </w:r>
      <w:r w:rsidR="00060919" w:rsidRPr="0079616B">
        <w:rPr>
          <w:szCs w:val="24"/>
        </w:rPr>
        <w:t xml:space="preserve"> - </w:t>
      </w:r>
      <w:r w:rsidR="00060919" w:rsidRPr="0079616B">
        <w:rPr>
          <w:szCs w:val="24"/>
        </w:rPr>
        <w:t>全部減少需求比例。當景氣出現衰退前兆時，因為大環境不好，沒有好的投資與生產標的，致使企業申請貸款需求低迷（藍線往下），同時伴隨的是銀行資金的緊縮（紅線往上），兩項指標會出現交叉走勢，當出現該狀況時即需留意。</w:t>
      </w:r>
    </w:p>
    <w:p w:rsidR="00060919" w:rsidRPr="0079616B" w:rsidRDefault="0079616B" w:rsidP="0079616B">
      <w:pPr>
        <w:jc w:val="both"/>
        <w:rPr>
          <w:szCs w:val="24"/>
        </w:rPr>
      </w:pPr>
      <w:r w:rsidRPr="0079616B">
        <w:rPr>
          <w:szCs w:val="24"/>
        </w:rPr>
        <w:t>資料來源：</w:t>
      </w:r>
      <w:hyperlink r:id="rId27" w:history="1">
        <w:r w:rsidR="003964BB" w:rsidRPr="0079616B">
          <w:rPr>
            <w:rStyle w:val="a4"/>
            <w:szCs w:val="24"/>
          </w:rPr>
          <w:t>https://www.federalreserve.gov/</w:t>
        </w:r>
      </w:hyperlink>
    </w:p>
    <w:p w:rsidR="003964BB" w:rsidRPr="0079616B" w:rsidRDefault="003964BB" w:rsidP="0079616B">
      <w:pPr>
        <w:jc w:val="both"/>
        <w:rPr>
          <w:szCs w:val="24"/>
        </w:rPr>
      </w:pPr>
    </w:p>
    <w:sectPr w:rsidR="003964BB" w:rsidRPr="0079616B" w:rsidSect="00F4560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altName w:val="新細明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47D79"/>
    <w:multiLevelType w:val="hybridMultilevel"/>
    <w:tmpl w:val="948E9038"/>
    <w:lvl w:ilvl="0" w:tplc="6E7297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58A"/>
    <w:rsid w:val="00043990"/>
    <w:rsid w:val="00047CB7"/>
    <w:rsid w:val="00060919"/>
    <w:rsid w:val="000D23D1"/>
    <w:rsid w:val="00140A66"/>
    <w:rsid w:val="0025158A"/>
    <w:rsid w:val="002533BE"/>
    <w:rsid w:val="002F4E62"/>
    <w:rsid w:val="003964BB"/>
    <w:rsid w:val="00423A8B"/>
    <w:rsid w:val="00461E04"/>
    <w:rsid w:val="0057619F"/>
    <w:rsid w:val="00623991"/>
    <w:rsid w:val="006E3133"/>
    <w:rsid w:val="00730D4D"/>
    <w:rsid w:val="007401C7"/>
    <w:rsid w:val="0079616B"/>
    <w:rsid w:val="00811351"/>
    <w:rsid w:val="008B6477"/>
    <w:rsid w:val="009A66A2"/>
    <w:rsid w:val="009D6AD4"/>
    <w:rsid w:val="00AA4535"/>
    <w:rsid w:val="00AF176C"/>
    <w:rsid w:val="00C8037A"/>
    <w:rsid w:val="00D50881"/>
    <w:rsid w:val="00DF5FED"/>
    <w:rsid w:val="00E51203"/>
    <w:rsid w:val="00F34CB1"/>
    <w:rsid w:val="00F45607"/>
    <w:rsid w:val="00FC5295"/>
    <w:rsid w:val="00FE7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docId w15:val="{965C9430-4C5F-4C24-8BFA-625C5D41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
    <w:qFormat/>
    <w:rsid w:val="00623991"/>
  </w:style>
  <w:style w:type="paragraph" w:styleId="a3">
    <w:name w:val="List Paragraph"/>
    <w:basedOn w:val="a"/>
    <w:uiPriority w:val="34"/>
    <w:qFormat/>
    <w:rsid w:val="0057619F"/>
    <w:pPr>
      <w:ind w:leftChars="200" w:left="480"/>
    </w:pPr>
  </w:style>
  <w:style w:type="character" w:styleId="a4">
    <w:name w:val="Hyperlink"/>
    <w:basedOn w:val="a0"/>
    <w:uiPriority w:val="99"/>
    <w:unhideWhenUsed/>
    <w:rsid w:val="000D23D1"/>
    <w:rPr>
      <w:color w:val="0563C1" w:themeColor="hyperlink"/>
      <w:u w:val="single"/>
    </w:rPr>
  </w:style>
  <w:style w:type="character" w:customStyle="1" w:styleId="UnresolvedMention">
    <w:name w:val="Unresolved Mention"/>
    <w:basedOn w:val="a0"/>
    <w:uiPriority w:val="99"/>
    <w:rsid w:val="000D23D1"/>
    <w:rPr>
      <w:color w:val="605E5C"/>
      <w:shd w:val="clear" w:color="auto" w:fill="E1DFDD"/>
    </w:rPr>
  </w:style>
  <w:style w:type="character" w:styleId="a5">
    <w:name w:val="FollowedHyperlink"/>
    <w:basedOn w:val="a0"/>
    <w:uiPriority w:val="99"/>
    <w:semiHidden/>
    <w:unhideWhenUsed/>
    <w:rsid w:val="00043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3629">
      <w:bodyDiv w:val="1"/>
      <w:marLeft w:val="0"/>
      <w:marRight w:val="0"/>
      <w:marTop w:val="0"/>
      <w:marBottom w:val="0"/>
      <w:divBdr>
        <w:top w:val="none" w:sz="0" w:space="0" w:color="auto"/>
        <w:left w:val="none" w:sz="0" w:space="0" w:color="auto"/>
        <w:bottom w:val="none" w:sz="0" w:space="0" w:color="auto"/>
        <w:right w:val="none" w:sz="0" w:space="0" w:color="auto"/>
      </w:divBdr>
    </w:div>
    <w:div w:id="169757660">
      <w:bodyDiv w:val="1"/>
      <w:marLeft w:val="0"/>
      <w:marRight w:val="0"/>
      <w:marTop w:val="0"/>
      <w:marBottom w:val="0"/>
      <w:divBdr>
        <w:top w:val="none" w:sz="0" w:space="0" w:color="auto"/>
        <w:left w:val="none" w:sz="0" w:space="0" w:color="auto"/>
        <w:bottom w:val="none" w:sz="0" w:space="0" w:color="auto"/>
        <w:right w:val="none" w:sz="0" w:space="0" w:color="auto"/>
      </w:divBdr>
    </w:div>
    <w:div w:id="334457615">
      <w:bodyDiv w:val="1"/>
      <w:marLeft w:val="0"/>
      <w:marRight w:val="0"/>
      <w:marTop w:val="0"/>
      <w:marBottom w:val="0"/>
      <w:divBdr>
        <w:top w:val="none" w:sz="0" w:space="0" w:color="auto"/>
        <w:left w:val="none" w:sz="0" w:space="0" w:color="auto"/>
        <w:bottom w:val="none" w:sz="0" w:space="0" w:color="auto"/>
        <w:right w:val="none" w:sz="0" w:space="0" w:color="auto"/>
      </w:divBdr>
    </w:div>
    <w:div w:id="444738411">
      <w:bodyDiv w:val="1"/>
      <w:marLeft w:val="0"/>
      <w:marRight w:val="0"/>
      <w:marTop w:val="0"/>
      <w:marBottom w:val="0"/>
      <w:divBdr>
        <w:top w:val="none" w:sz="0" w:space="0" w:color="auto"/>
        <w:left w:val="none" w:sz="0" w:space="0" w:color="auto"/>
        <w:bottom w:val="none" w:sz="0" w:space="0" w:color="auto"/>
        <w:right w:val="none" w:sz="0" w:space="0" w:color="auto"/>
      </w:divBdr>
    </w:div>
    <w:div w:id="451286542">
      <w:bodyDiv w:val="1"/>
      <w:marLeft w:val="0"/>
      <w:marRight w:val="0"/>
      <w:marTop w:val="0"/>
      <w:marBottom w:val="0"/>
      <w:divBdr>
        <w:top w:val="none" w:sz="0" w:space="0" w:color="auto"/>
        <w:left w:val="none" w:sz="0" w:space="0" w:color="auto"/>
        <w:bottom w:val="none" w:sz="0" w:space="0" w:color="auto"/>
        <w:right w:val="none" w:sz="0" w:space="0" w:color="auto"/>
      </w:divBdr>
    </w:div>
    <w:div w:id="993139474">
      <w:bodyDiv w:val="1"/>
      <w:marLeft w:val="0"/>
      <w:marRight w:val="0"/>
      <w:marTop w:val="0"/>
      <w:marBottom w:val="0"/>
      <w:divBdr>
        <w:top w:val="none" w:sz="0" w:space="0" w:color="auto"/>
        <w:left w:val="none" w:sz="0" w:space="0" w:color="auto"/>
        <w:bottom w:val="none" w:sz="0" w:space="0" w:color="auto"/>
        <w:right w:val="none" w:sz="0" w:space="0" w:color="auto"/>
      </w:divBdr>
    </w:div>
    <w:div w:id="1503201179">
      <w:bodyDiv w:val="1"/>
      <w:marLeft w:val="0"/>
      <w:marRight w:val="0"/>
      <w:marTop w:val="0"/>
      <w:marBottom w:val="0"/>
      <w:divBdr>
        <w:top w:val="none" w:sz="0" w:space="0" w:color="auto"/>
        <w:left w:val="none" w:sz="0" w:space="0" w:color="auto"/>
        <w:bottom w:val="none" w:sz="0" w:space="0" w:color="auto"/>
        <w:right w:val="none" w:sz="0" w:space="0" w:color="auto"/>
      </w:divBdr>
    </w:div>
    <w:div w:id="1796364198">
      <w:bodyDiv w:val="1"/>
      <w:marLeft w:val="0"/>
      <w:marRight w:val="0"/>
      <w:marTop w:val="0"/>
      <w:marBottom w:val="0"/>
      <w:divBdr>
        <w:top w:val="none" w:sz="0" w:space="0" w:color="auto"/>
        <w:left w:val="none" w:sz="0" w:space="0" w:color="auto"/>
        <w:bottom w:val="none" w:sz="0" w:space="0" w:color="auto"/>
        <w:right w:val="none" w:sz="0" w:space="0" w:color="auto"/>
      </w:divBdr>
    </w:div>
    <w:div w:id="193254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supplymanagement.org/ISMReport/NonMfgROB.cfm?SSO=1" TargetMode="External"/><Relationship Id="rId13" Type="http://schemas.openxmlformats.org/officeDocument/2006/relationships/hyperlink" Target="https://www.eia.gov/" TargetMode="External"/><Relationship Id="rId18" Type="http://schemas.openxmlformats.org/officeDocument/2006/relationships/hyperlink" Target="https://www.census.gov/" TargetMode="External"/><Relationship Id="rId26" Type="http://schemas.openxmlformats.org/officeDocument/2006/relationships/hyperlink" Target="http://www.finra.org/investors/margin-statistics" TargetMode="External"/><Relationship Id="rId3" Type="http://schemas.openxmlformats.org/officeDocument/2006/relationships/settings" Target="settings.xml"/><Relationship Id="rId21" Type="http://schemas.openxmlformats.org/officeDocument/2006/relationships/hyperlink" Target="https://www.investing.com/rates-bonds/germany-10-year-bond-yield-historical-data" TargetMode="External"/><Relationship Id="rId7" Type="http://schemas.openxmlformats.org/officeDocument/2006/relationships/hyperlink" Target="https://www.instituteforsupplymanagement.org/ISMReport/MfgROB.cfm?SSO=1" TargetMode="External"/><Relationship Id="rId12" Type="http://schemas.openxmlformats.org/officeDocument/2006/relationships/hyperlink" Target="https://www.census.gov/manufacturing/m3/index.html" TargetMode="External"/><Relationship Id="rId17" Type="http://schemas.openxmlformats.org/officeDocument/2006/relationships/hyperlink" Target="https://www.federalreserve.gov/data.htm" TargetMode="External"/><Relationship Id="rId25" Type="http://schemas.openxmlformats.org/officeDocument/2006/relationships/hyperlink" Target="http://www.cboe.com/" TargetMode="External"/><Relationship Id="rId2" Type="http://schemas.openxmlformats.org/officeDocument/2006/relationships/styles" Target="styles.xml"/><Relationship Id="rId16" Type="http://schemas.openxmlformats.org/officeDocument/2006/relationships/hyperlink" Target="https://www.census.gov/" TargetMode="External"/><Relationship Id="rId20" Type="http://schemas.openxmlformats.org/officeDocument/2006/relationships/hyperlink" Target="https://www.treasury.gov/resource-center/data-chart-center/interest-rates/Pages/TextView.aspx?data=yiel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s.gov/cpi/data.htm" TargetMode="External"/><Relationship Id="rId11" Type="http://schemas.openxmlformats.org/officeDocument/2006/relationships/hyperlink" Target="https://www.federalreserve.gov/releases/g17/Current/default.htm" TargetMode="External"/><Relationship Id="rId24" Type="http://schemas.openxmlformats.org/officeDocument/2006/relationships/hyperlink" Target="https://wilshire.com/" TargetMode="External"/><Relationship Id="rId5" Type="http://schemas.openxmlformats.org/officeDocument/2006/relationships/hyperlink" Target="https://www.bls.gov/ppi/data.htm" TargetMode="External"/><Relationship Id="rId15" Type="http://schemas.openxmlformats.org/officeDocument/2006/relationships/hyperlink" Target="https://www.bls.gov/data/" TargetMode="External"/><Relationship Id="rId23" Type="http://schemas.openxmlformats.org/officeDocument/2006/relationships/hyperlink" Target="https://fred.stlouisfed.org/series/BAMLH0A3HYCEY" TargetMode="External"/><Relationship Id="rId28" Type="http://schemas.openxmlformats.org/officeDocument/2006/relationships/fontTable" Target="fontTable.xml"/><Relationship Id="rId10" Type="http://schemas.openxmlformats.org/officeDocument/2006/relationships/hyperlink" Target="https://www.bls.gov/bls/proghome.htm" TargetMode="External"/><Relationship Id="rId19"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s://www.federalreserve.gov/econresdata/notes/feds-notes/2014/updating-the-labor-market-conditions-index-20141001.html" TargetMode="External"/><Relationship Id="rId14" Type="http://schemas.openxmlformats.org/officeDocument/2006/relationships/hyperlink" Target="https://oui.doleta.gov/unemploy/DataDashboard.asp" TargetMode="External"/><Relationship Id="rId22" Type="http://schemas.openxmlformats.org/officeDocument/2006/relationships/hyperlink" Target="https://fred.stlouisfed.org/series/TEDRATE" TargetMode="External"/><Relationship Id="rId27" Type="http://schemas.openxmlformats.org/officeDocument/2006/relationships/hyperlink" Target="https://www.federalreserve.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黃麒儒</dc:creator>
  <cp:keywords/>
  <dc:description/>
  <cp:lastModifiedBy>林毓祥</cp:lastModifiedBy>
  <cp:revision>19</cp:revision>
  <dcterms:created xsi:type="dcterms:W3CDTF">2019-02-26T02:03:00Z</dcterms:created>
  <dcterms:modified xsi:type="dcterms:W3CDTF">2019-03-14T09:28:00Z</dcterms:modified>
</cp:coreProperties>
</file>