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E9" w:rsidRPr="000E664F" w:rsidRDefault="005E05E9" w:rsidP="00FC2E65">
      <w:pPr>
        <w:pStyle w:val="a3"/>
        <w:numPr>
          <w:ilvl w:val="0"/>
          <w:numId w:val="2"/>
        </w:numPr>
        <w:spacing w:afterLines="50" w:after="156" w:line="288" w:lineRule="auto"/>
        <w:ind w:firstLineChars="0"/>
        <w:jc w:val="center"/>
        <w:rPr>
          <w:b/>
          <w:sz w:val="24"/>
        </w:rPr>
      </w:pPr>
      <w:r w:rsidRPr="000E664F">
        <w:rPr>
          <w:b/>
          <w:sz w:val="24"/>
        </w:rPr>
        <w:t>策略</w:t>
      </w:r>
      <w:r w:rsidRPr="000E664F">
        <w:rPr>
          <w:rFonts w:hint="eastAsia"/>
          <w:b/>
          <w:sz w:val="24"/>
        </w:rPr>
        <w:t>构建方法：</w:t>
      </w:r>
    </w:p>
    <w:p w:rsidR="005E05E9" w:rsidRPr="000E664F" w:rsidRDefault="005E05E9" w:rsidP="00FC2E65">
      <w:pPr>
        <w:pStyle w:val="a3"/>
        <w:numPr>
          <w:ilvl w:val="0"/>
          <w:numId w:val="3"/>
        </w:numPr>
        <w:spacing w:afterLines="50" w:after="156" w:line="288" w:lineRule="auto"/>
        <w:ind w:firstLineChars="0"/>
        <w:rPr>
          <w:rFonts w:ascii="黑体" w:eastAsia="黑体" w:hAnsi="黑体"/>
          <w:sz w:val="24"/>
        </w:rPr>
      </w:pPr>
      <w:proofErr w:type="gramStart"/>
      <w:r w:rsidRPr="000E664F">
        <w:rPr>
          <w:rFonts w:ascii="黑体" w:eastAsia="黑体" w:hAnsi="黑体"/>
          <w:sz w:val="24"/>
        </w:rPr>
        <w:t>非</w:t>
      </w:r>
      <w:r w:rsidRPr="000E664F">
        <w:rPr>
          <w:rFonts w:ascii="黑体" w:eastAsia="黑体" w:hAnsi="黑体" w:hint="eastAsia"/>
          <w:sz w:val="24"/>
        </w:rPr>
        <w:t>行业</w:t>
      </w:r>
      <w:proofErr w:type="gramEnd"/>
      <w:r w:rsidRPr="000E664F">
        <w:rPr>
          <w:rFonts w:ascii="黑体" w:eastAsia="黑体" w:hAnsi="黑体" w:hint="eastAsia"/>
          <w:sz w:val="24"/>
        </w:rPr>
        <w:t>中性：</w:t>
      </w:r>
    </w:p>
    <w:p w:rsidR="005E05E9" w:rsidRDefault="005E05E9" w:rsidP="00FC2E65">
      <w:pPr>
        <w:spacing w:afterLines="50" w:after="156" w:line="288" w:lineRule="auto"/>
        <w:ind w:firstLineChars="200" w:firstLine="420"/>
      </w:pPr>
      <w:r>
        <w:rPr>
          <w:rFonts w:hint="eastAsia"/>
        </w:rPr>
        <w:t>剔除</w:t>
      </w:r>
      <w:r>
        <w:rPr>
          <w:rFonts w:hint="eastAsia"/>
        </w:rPr>
        <w:t>ST</w:t>
      </w:r>
      <w:r>
        <w:rPr>
          <w:rFonts w:hint="eastAsia"/>
        </w:rPr>
        <w:t>股，</w:t>
      </w:r>
      <w:r>
        <w:t>剔除</w:t>
      </w:r>
      <w:r>
        <w:rPr>
          <w:rFonts w:hint="eastAsia"/>
        </w:rPr>
        <w:t>过去</w:t>
      </w:r>
      <w:r>
        <w:rPr>
          <w:rFonts w:hint="eastAsia"/>
        </w:rPr>
        <w:t>20</w:t>
      </w:r>
      <w:r>
        <w:rPr>
          <w:rFonts w:hint="eastAsia"/>
        </w:rPr>
        <w:t>个交易日没有连续交易的股票。</w:t>
      </w:r>
      <w:r>
        <w:rPr>
          <w:rFonts w:hint="eastAsia"/>
        </w:rPr>
        <w:t>根据各股票在各因子上的排序，</w:t>
      </w:r>
      <w:r>
        <w:t>将</w:t>
      </w:r>
      <w:r>
        <w:rPr>
          <w:rFonts w:hint="eastAsia"/>
        </w:rPr>
        <w:t>序号进行加权平均：</w:t>
      </w:r>
    </w:p>
    <w:p w:rsidR="005E05E9" w:rsidRDefault="005E05E9" w:rsidP="00FC2E65">
      <w:pPr>
        <w:spacing w:afterLines="50" w:after="156" w:line="288" w:lineRule="auto"/>
        <w:jc w:val="center"/>
        <w:rPr>
          <w:rFonts w:hint="eastAsia"/>
        </w:rPr>
      </w:pPr>
      <w:r>
        <w:t>1.5*R</w:t>
      </w:r>
      <w:r>
        <w:rPr>
          <w:rFonts w:hint="eastAsia"/>
        </w:rPr>
        <w:t>ank(</w:t>
      </w:r>
      <w:r>
        <w:rPr>
          <w:rFonts w:hint="eastAsia"/>
        </w:rPr>
        <w:t>行业动量</w:t>
      </w:r>
      <w:r>
        <w:rPr>
          <w:rFonts w:hint="eastAsia"/>
        </w:rPr>
        <w:t>)+</w:t>
      </w:r>
      <w:r>
        <w:t>1.5*</w:t>
      </w:r>
      <w:r>
        <w:rPr>
          <w:rFonts w:hint="eastAsia"/>
        </w:rPr>
        <w:t>rank(</w:t>
      </w:r>
      <w:r>
        <w:rPr>
          <w:rFonts w:hint="eastAsia"/>
        </w:rPr>
        <w:t>行业内反转</w:t>
      </w:r>
      <w:r>
        <w:rPr>
          <w:rFonts w:hint="eastAsia"/>
        </w:rPr>
        <w:t>)</w:t>
      </w:r>
      <w:r>
        <w:t>+3*</w:t>
      </w:r>
      <w:proofErr w:type="gramStart"/>
      <w:r>
        <w:rPr>
          <w:rFonts w:hint="eastAsia"/>
        </w:rPr>
        <w:t>一致目</w:t>
      </w:r>
      <w:proofErr w:type="gramEnd"/>
      <w:r>
        <w:rPr>
          <w:rFonts w:hint="eastAsia"/>
        </w:rPr>
        <w:t>标价</w:t>
      </w:r>
      <w:r>
        <w:rPr>
          <w:rFonts w:hint="eastAsia"/>
        </w:rPr>
        <w:t>+</w:t>
      </w:r>
      <w:r>
        <w:t>2*</w:t>
      </w:r>
      <w:r>
        <w:t>流动性</w:t>
      </w:r>
      <w:r>
        <w:rPr>
          <w:rFonts w:hint="eastAsia"/>
        </w:rPr>
        <w:t>+</w:t>
      </w:r>
      <w:r>
        <w:t>1*</w:t>
      </w:r>
      <w:r>
        <w:t>非</w:t>
      </w:r>
      <w:r>
        <w:rPr>
          <w:rFonts w:hint="eastAsia"/>
        </w:rPr>
        <w:t>系统性风险</w:t>
      </w:r>
    </w:p>
    <w:p w:rsidR="005E05E9" w:rsidRPr="005E05E9" w:rsidRDefault="005E05E9" w:rsidP="00FC2E65">
      <w:pPr>
        <w:spacing w:afterLines="50" w:after="156" w:line="288" w:lineRule="auto"/>
        <w:ind w:firstLineChars="200" w:firstLine="420"/>
        <w:rPr>
          <w:rFonts w:hint="eastAsia"/>
        </w:rPr>
      </w:pPr>
      <w:r>
        <w:t>得到</w:t>
      </w:r>
      <w:r>
        <w:rPr>
          <w:rFonts w:hint="eastAsia"/>
        </w:rPr>
        <w:t>最终因子得分并进行排序。在</w:t>
      </w:r>
      <w:r>
        <w:rPr>
          <w:rFonts w:hint="eastAsia"/>
        </w:rPr>
        <w:t>第一天</w:t>
      </w:r>
      <w:r>
        <w:rPr>
          <w:rFonts w:hint="eastAsia"/>
        </w:rPr>
        <w:t>，</w:t>
      </w:r>
      <w:r>
        <w:rPr>
          <w:rFonts w:hint="eastAsia"/>
        </w:rPr>
        <w:t>在前一日</w:t>
      </w:r>
      <w:proofErr w:type="gramStart"/>
      <w:r>
        <w:rPr>
          <w:rFonts w:hint="eastAsia"/>
        </w:rPr>
        <w:t>未涨停跌停</w:t>
      </w:r>
      <w:proofErr w:type="gramEnd"/>
      <w:r>
        <w:rPr>
          <w:rFonts w:hint="eastAsia"/>
        </w:rPr>
        <w:t>的股票中选出</w:t>
      </w:r>
      <w:r>
        <w:rPr>
          <w:rFonts w:hint="eastAsia"/>
        </w:rPr>
        <w:t>排名最靠前</w:t>
      </w:r>
      <w:r>
        <w:rPr>
          <w:rFonts w:hint="eastAsia"/>
        </w:rPr>
        <w:t>的</w:t>
      </w:r>
      <w:r>
        <w:rPr>
          <w:rFonts w:hint="eastAsia"/>
        </w:rPr>
        <w:t>25</w:t>
      </w:r>
      <w:r>
        <w:rPr>
          <w:rFonts w:hint="eastAsia"/>
        </w:rPr>
        <w:t>支标的股票。</w:t>
      </w:r>
      <w:r>
        <w:t>在</w:t>
      </w:r>
      <w:r>
        <w:rPr>
          <w:rFonts w:hint="eastAsia"/>
        </w:rPr>
        <w:t>随后的每一交易日中，</w:t>
      </w:r>
      <w:r>
        <w:t>剔除</w:t>
      </w:r>
      <w:r>
        <w:rPr>
          <w:rFonts w:hint="eastAsia"/>
        </w:rPr>
        <w:t>已有持仓中当天排名最后</w:t>
      </w:r>
      <w:r>
        <w:rPr>
          <w:rFonts w:hint="eastAsia"/>
        </w:rPr>
        <w:t>2</w:t>
      </w:r>
      <w:r>
        <w:rPr>
          <w:rFonts w:hint="eastAsia"/>
        </w:rPr>
        <w:t>位的股票，</w:t>
      </w:r>
      <w:r>
        <w:t>从</w:t>
      </w:r>
      <w:r>
        <w:rPr>
          <w:rFonts w:hint="eastAsia"/>
        </w:rPr>
        <w:t>未持仓的且前一交易日未涨停</w:t>
      </w:r>
      <w:r>
        <w:rPr>
          <w:rFonts w:hint="eastAsia"/>
        </w:rPr>
        <w:t>/</w:t>
      </w:r>
      <w:r>
        <w:rPr>
          <w:rFonts w:hint="eastAsia"/>
        </w:rPr>
        <w:t>跌停的股票池中选出新的排名第一位的股票进行补位。</w:t>
      </w:r>
    </w:p>
    <w:p w:rsidR="005E05E9" w:rsidRPr="000E664F" w:rsidRDefault="005E05E9" w:rsidP="00FC2E65">
      <w:pPr>
        <w:pStyle w:val="a3"/>
        <w:numPr>
          <w:ilvl w:val="0"/>
          <w:numId w:val="3"/>
        </w:numPr>
        <w:spacing w:afterLines="50" w:after="156" w:line="288" w:lineRule="auto"/>
        <w:ind w:firstLineChars="0"/>
        <w:rPr>
          <w:rFonts w:ascii="黑体" w:eastAsia="黑体" w:hAnsi="黑体"/>
          <w:sz w:val="24"/>
        </w:rPr>
      </w:pPr>
      <w:r w:rsidRPr="000E664F">
        <w:rPr>
          <w:rFonts w:ascii="黑体" w:eastAsia="黑体" w:hAnsi="黑体" w:hint="eastAsia"/>
          <w:sz w:val="24"/>
        </w:rPr>
        <w:t>行业中性：</w:t>
      </w:r>
    </w:p>
    <w:p w:rsidR="005E05E9" w:rsidRDefault="005E05E9" w:rsidP="00FC2E65">
      <w:pPr>
        <w:spacing w:afterLines="50" w:after="156" w:line="288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最终因子排序同前</w:t>
      </w:r>
      <w:r w:rsidR="006749F4">
        <w:rPr>
          <w:rFonts w:hint="eastAsia"/>
        </w:rPr>
        <w:t>。</w:t>
      </w:r>
      <w:r w:rsidR="006749F4">
        <w:t>将</w:t>
      </w:r>
      <w:r w:rsidR="006749F4">
        <w:rPr>
          <w:rFonts w:hint="eastAsia"/>
        </w:rPr>
        <w:t>因子排序标准化成</w:t>
      </w:r>
      <w:r w:rsidR="006749F4">
        <w:rPr>
          <w:rFonts w:hint="eastAsia"/>
        </w:rPr>
        <w:t>[</w:t>
      </w:r>
      <w:r w:rsidR="006749F4">
        <w:t>0,1</w:t>
      </w:r>
      <w:r w:rsidR="006749F4">
        <w:rPr>
          <w:rFonts w:hint="eastAsia"/>
        </w:rPr>
        <w:t>]</w:t>
      </w:r>
      <w:r w:rsidR="006749F4">
        <w:rPr>
          <w:rFonts w:hint="eastAsia"/>
        </w:rPr>
        <w:t>区间内得分。</w:t>
      </w:r>
      <w:r w:rsidR="006749F4">
        <w:t>为了</w:t>
      </w:r>
      <w:r w:rsidR="006749F4">
        <w:rPr>
          <w:rFonts w:hint="eastAsia"/>
        </w:rPr>
        <w:t>控制换手率，</w:t>
      </w:r>
      <w:r w:rsidR="006749F4">
        <w:t>进行</w:t>
      </w:r>
      <w:r w:rsidR="006749F4">
        <w:rPr>
          <w:rFonts w:hint="eastAsia"/>
        </w:rPr>
        <w:t>如下处理，</w:t>
      </w:r>
      <w:r w:rsidR="006749F4">
        <w:t>当日</w:t>
      </w:r>
      <w:r w:rsidR="006749F4">
        <w:rPr>
          <w:rFonts w:hint="eastAsia"/>
        </w:rPr>
        <w:t>因子最终得分</w:t>
      </w:r>
      <w:r w:rsidR="006749F4">
        <w:rPr>
          <w:rFonts w:hint="eastAsia"/>
        </w:rPr>
        <w:t>=</w:t>
      </w:r>
      <w:r w:rsidR="006749F4">
        <w:t>前一日</w:t>
      </w:r>
      <w:r w:rsidR="006749F4">
        <w:rPr>
          <w:rFonts w:hint="eastAsia"/>
        </w:rPr>
        <w:t>因子最终得分</w:t>
      </w:r>
      <w:r w:rsidR="006749F4">
        <w:rPr>
          <w:rFonts w:hint="eastAsia"/>
        </w:rPr>
        <w:t>*0.92</w:t>
      </w:r>
      <w:r w:rsidR="006749F4">
        <w:t>+</w:t>
      </w:r>
      <w:r w:rsidR="006749F4">
        <w:rPr>
          <w:rFonts w:hint="eastAsia"/>
        </w:rPr>
        <w:t>当日得分</w:t>
      </w:r>
      <w:r w:rsidR="006749F4">
        <w:rPr>
          <w:rFonts w:hint="eastAsia"/>
        </w:rPr>
        <w:t>*0.08</w:t>
      </w:r>
      <w:r w:rsidR="00FC2E65">
        <w:rPr>
          <w:rFonts w:hint="eastAsia"/>
        </w:rPr>
        <w:t>。</w:t>
      </w:r>
      <w:r w:rsidR="00FC2E65">
        <w:t>根据</w:t>
      </w:r>
      <w:r w:rsidR="00FC2E65">
        <w:rPr>
          <w:rFonts w:hint="eastAsia"/>
        </w:rPr>
        <w:t>各期因子最终得分，</w:t>
      </w:r>
      <w:r w:rsidR="00FC2E65">
        <w:t>选出</w:t>
      </w:r>
      <w:r w:rsidR="00FC2E65">
        <w:rPr>
          <w:rFonts w:hint="eastAsia"/>
        </w:rPr>
        <w:t>排名前</w:t>
      </w:r>
      <w:r w:rsidR="00FC2E65">
        <w:rPr>
          <w:rFonts w:hint="eastAsia"/>
        </w:rPr>
        <w:t>400</w:t>
      </w:r>
      <w:r w:rsidR="00FC2E65">
        <w:rPr>
          <w:rFonts w:hint="eastAsia"/>
        </w:rPr>
        <w:t>位股票，并</w:t>
      </w:r>
      <w:proofErr w:type="gramStart"/>
      <w:r w:rsidR="00FC2E65">
        <w:t>使用</w:t>
      </w:r>
      <w:r w:rsidR="00FC2E65">
        <w:rPr>
          <w:rFonts w:hint="eastAsia"/>
        </w:rPr>
        <w:t>回测系统</w:t>
      </w:r>
      <w:proofErr w:type="gramEnd"/>
      <w:r w:rsidR="00FC2E65">
        <w:rPr>
          <w:rFonts w:hint="eastAsia"/>
        </w:rPr>
        <w:t>构建行业中性组合。</w:t>
      </w:r>
    </w:p>
    <w:p w:rsidR="005E05E9" w:rsidRDefault="005E05E9" w:rsidP="00FC2E65">
      <w:pPr>
        <w:pStyle w:val="a3"/>
        <w:numPr>
          <w:ilvl w:val="0"/>
          <w:numId w:val="2"/>
        </w:numPr>
        <w:spacing w:afterLines="50" w:after="156" w:line="288" w:lineRule="auto"/>
        <w:ind w:firstLineChars="0"/>
        <w:jc w:val="center"/>
        <w:rPr>
          <w:b/>
          <w:sz w:val="24"/>
        </w:rPr>
      </w:pPr>
      <w:r w:rsidRPr="000E664F">
        <w:rPr>
          <w:b/>
          <w:sz w:val="24"/>
        </w:rPr>
        <w:t>策略</w:t>
      </w:r>
      <w:r w:rsidR="00FC2E65" w:rsidRPr="000E664F">
        <w:rPr>
          <w:rFonts w:hint="eastAsia"/>
          <w:b/>
          <w:sz w:val="24"/>
        </w:rPr>
        <w:t>构建</w:t>
      </w:r>
      <w:r w:rsidRPr="000E664F">
        <w:rPr>
          <w:rFonts w:hint="eastAsia"/>
          <w:b/>
          <w:sz w:val="24"/>
        </w:rPr>
        <w:t>思想：</w:t>
      </w:r>
    </w:p>
    <w:p w:rsidR="005E05E9" w:rsidRDefault="005E05E9" w:rsidP="00FC2E65">
      <w:pPr>
        <w:spacing w:afterLines="50" w:after="156" w:line="288" w:lineRule="auto"/>
        <w:ind w:firstLineChars="200" w:firstLine="420"/>
      </w:pPr>
      <w:r>
        <w:rPr>
          <w:rFonts w:hint="eastAsia"/>
        </w:rPr>
        <w:t>构建该反转策略主要考虑三个方面的因素，</w:t>
      </w:r>
      <w:r>
        <w:t>三个</w:t>
      </w:r>
      <w:r>
        <w:rPr>
          <w:rFonts w:hint="eastAsia"/>
        </w:rPr>
        <w:t>因素拥有相同的总权重：</w:t>
      </w:r>
    </w:p>
    <w:p w:rsidR="005E05E9" w:rsidRPr="000E664F" w:rsidRDefault="005E05E9" w:rsidP="00FC2E65">
      <w:pPr>
        <w:pStyle w:val="a3"/>
        <w:numPr>
          <w:ilvl w:val="0"/>
          <w:numId w:val="1"/>
        </w:numPr>
        <w:spacing w:afterLines="50" w:after="156" w:line="288" w:lineRule="auto"/>
        <w:ind w:firstLineChars="0"/>
        <w:rPr>
          <w:rFonts w:ascii="黑体" w:eastAsia="黑体" w:hAnsi="黑体" w:hint="eastAsia"/>
          <w:sz w:val="24"/>
        </w:rPr>
      </w:pPr>
      <w:r w:rsidRPr="000E664F">
        <w:rPr>
          <w:rFonts w:ascii="黑体" w:eastAsia="黑体" w:hAnsi="黑体"/>
          <w:sz w:val="24"/>
        </w:rPr>
        <w:t>收益</w:t>
      </w:r>
      <w:r w:rsidRPr="000E664F">
        <w:rPr>
          <w:rFonts w:ascii="黑体" w:eastAsia="黑体" w:hAnsi="黑体" w:hint="eastAsia"/>
          <w:sz w:val="24"/>
        </w:rPr>
        <w:t>的反转：</w:t>
      </w:r>
    </w:p>
    <w:p w:rsidR="005E05E9" w:rsidRDefault="005E05E9" w:rsidP="00FC2E65">
      <w:pPr>
        <w:spacing w:afterLines="50" w:after="156" w:line="288" w:lineRule="auto"/>
        <w:ind w:firstLineChars="200" w:firstLine="420"/>
      </w:pPr>
      <w:r>
        <w:rPr>
          <w:rFonts w:hint="eastAsia"/>
        </w:rPr>
        <w:t>研究表明，短期</w:t>
      </w:r>
      <w:r>
        <w:t>收益</w:t>
      </w:r>
      <w:r>
        <w:rPr>
          <w:rFonts w:hint="eastAsia"/>
        </w:rPr>
        <w:t>的反转</w:t>
      </w:r>
      <w:r>
        <w:rPr>
          <w:rFonts w:hint="eastAsia"/>
        </w:rPr>
        <w:t>=</w:t>
      </w:r>
      <w:r>
        <w:t>行业</w:t>
      </w:r>
      <w:r>
        <w:rPr>
          <w:rFonts w:hint="eastAsia"/>
        </w:rPr>
        <w:t>间动量</w:t>
      </w:r>
      <w:r>
        <w:rPr>
          <w:rFonts w:hint="eastAsia"/>
        </w:rPr>
        <w:t>+</w:t>
      </w:r>
      <w:r>
        <w:t>行业内</w:t>
      </w:r>
      <w:r>
        <w:rPr>
          <w:rFonts w:hint="eastAsia"/>
        </w:rPr>
        <w:t>反转，而对行业间动量与行业内反转进行分解重组，</w:t>
      </w:r>
      <w:r>
        <w:t>能够</w:t>
      </w:r>
      <w:r>
        <w:rPr>
          <w:rFonts w:hint="eastAsia"/>
        </w:rPr>
        <w:t>在两个方面获取收益，</w:t>
      </w:r>
      <w:r>
        <w:t>同时</w:t>
      </w:r>
      <w:r>
        <w:rPr>
          <w:rFonts w:hint="eastAsia"/>
        </w:rPr>
        <w:t>减小风险。</w:t>
      </w:r>
    </w:p>
    <w:p w:rsidR="005E05E9" w:rsidRDefault="005E05E9" w:rsidP="00FC2E65">
      <w:pPr>
        <w:spacing w:afterLines="50" w:after="156" w:line="288" w:lineRule="auto"/>
        <w:ind w:firstLineChars="200" w:firstLine="420"/>
      </w:pPr>
      <w:r>
        <w:t>对于</w:t>
      </w:r>
      <w:r>
        <w:rPr>
          <w:rFonts w:hint="eastAsia"/>
        </w:rPr>
        <w:t>行业内收益反转的测度采用</w:t>
      </w:r>
      <w:proofErr w:type="gramStart"/>
      <w:r>
        <w:rPr>
          <w:rFonts w:hint="eastAsia"/>
        </w:rPr>
        <w:t>申万一级行业</w:t>
      </w:r>
      <w:proofErr w:type="gramEnd"/>
      <w:r>
        <w:rPr>
          <w:rFonts w:hint="eastAsia"/>
        </w:rPr>
        <w:t>调整后的股票收益，而行业间的动量则是以行业内股票等</w:t>
      </w:r>
      <w:proofErr w:type="gramStart"/>
      <w:r>
        <w:rPr>
          <w:rFonts w:hint="eastAsia"/>
        </w:rPr>
        <w:t>权平均</w:t>
      </w:r>
      <w:proofErr w:type="gramEnd"/>
      <w:r>
        <w:rPr>
          <w:rFonts w:hint="eastAsia"/>
        </w:rPr>
        <w:t>收益进行测度。</w:t>
      </w:r>
      <w:r>
        <w:t>收益</w:t>
      </w:r>
      <w:r>
        <w:rPr>
          <w:rFonts w:hint="eastAsia"/>
        </w:rPr>
        <w:t>均以过去</w:t>
      </w:r>
      <w:r>
        <w:rPr>
          <w:rFonts w:hint="eastAsia"/>
        </w:rPr>
        <w:t>10</w:t>
      </w:r>
      <w:r>
        <w:rPr>
          <w:rFonts w:hint="eastAsia"/>
        </w:rPr>
        <w:t>个交易日的累计收益计算</w:t>
      </w:r>
      <w:r>
        <w:rPr>
          <w:rFonts w:hint="eastAsia"/>
        </w:rPr>
        <w:t>。</w:t>
      </w:r>
    </w:p>
    <w:p w:rsidR="005E05E9" w:rsidRPr="000E664F" w:rsidRDefault="005E05E9" w:rsidP="00FC2E65">
      <w:pPr>
        <w:pStyle w:val="a3"/>
        <w:numPr>
          <w:ilvl w:val="0"/>
          <w:numId w:val="1"/>
        </w:numPr>
        <w:spacing w:afterLines="50" w:after="156" w:line="288" w:lineRule="auto"/>
        <w:ind w:firstLineChars="0"/>
        <w:rPr>
          <w:rFonts w:ascii="黑体" w:eastAsia="黑体" w:hAnsi="黑体"/>
          <w:sz w:val="24"/>
        </w:rPr>
      </w:pPr>
      <w:r w:rsidRPr="000E664F">
        <w:rPr>
          <w:rFonts w:ascii="黑体" w:eastAsia="黑体" w:hAnsi="黑体" w:hint="eastAsia"/>
          <w:sz w:val="24"/>
        </w:rPr>
        <w:t>收益反转</w:t>
      </w:r>
      <w:r w:rsidR="00FC2E65" w:rsidRPr="000E664F">
        <w:rPr>
          <w:rFonts w:ascii="黑体" w:eastAsia="黑体" w:hAnsi="黑体" w:hint="eastAsia"/>
          <w:sz w:val="24"/>
        </w:rPr>
        <w:t>的增强</w:t>
      </w:r>
      <w:r w:rsidRPr="000E664F">
        <w:rPr>
          <w:rFonts w:ascii="黑体" w:eastAsia="黑体" w:hAnsi="黑体" w:hint="eastAsia"/>
          <w:sz w:val="24"/>
        </w:rPr>
        <w:t>：</w:t>
      </w:r>
    </w:p>
    <w:p w:rsidR="000E664F" w:rsidRDefault="000E664F" w:rsidP="00FC2E65">
      <w:pPr>
        <w:spacing w:afterLines="50" w:after="156" w:line="288" w:lineRule="auto"/>
        <w:ind w:firstLineChars="200" w:firstLine="420"/>
      </w:pPr>
      <w:r>
        <w:rPr>
          <w:rFonts w:hint="eastAsia"/>
        </w:rPr>
        <w:t>流动性越差反转越强，且流动性越差收益率越高。因此，</w:t>
      </w:r>
      <w:r>
        <w:t>选用</w:t>
      </w:r>
      <w:r>
        <w:rPr>
          <w:rFonts w:hint="eastAsia"/>
        </w:rPr>
        <w:t>过去</w:t>
      </w:r>
      <w:r>
        <w:rPr>
          <w:rFonts w:hint="eastAsia"/>
        </w:rPr>
        <w:t>20</w:t>
      </w:r>
      <w:r>
        <w:rPr>
          <w:rFonts w:hint="eastAsia"/>
        </w:rPr>
        <w:t>个交易日交易数据计算的</w:t>
      </w:r>
      <w:proofErr w:type="spellStart"/>
      <w:r>
        <w:rPr>
          <w:rFonts w:hint="eastAsia"/>
        </w:rPr>
        <w:t>Amihud</w:t>
      </w:r>
      <w:proofErr w:type="spellEnd"/>
      <w:r>
        <w:rPr>
          <w:rFonts w:hint="eastAsia"/>
        </w:rPr>
        <w:t>非</w:t>
      </w:r>
      <w:r>
        <w:t>流动</w:t>
      </w:r>
      <w:r>
        <w:rPr>
          <w:rFonts w:hint="eastAsia"/>
        </w:rPr>
        <w:t>性指标（越大越好</w:t>
      </w:r>
      <w:r>
        <w:t>）</w:t>
      </w:r>
      <w:r>
        <w:rPr>
          <w:rFonts w:hint="eastAsia"/>
        </w:rPr>
        <w:t>作为流动性的度量；</w:t>
      </w:r>
    </w:p>
    <w:p w:rsidR="000E664F" w:rsidRDefault="000E664F" w:rsidP="00FC2E65">
      <w:pPr>
        <w:spacing w:afterLines="50" w:after="156" w:line="288" w:lineRule="auto"/>
        <w:ind w:firstLineChars="200" w:firstLine="420"/>
        <w:rPr>
          <w:rFonts w:hint="eastAsia"/>
        </w:rPr>
      </w:pPr>
      <w:r>
        <w:rPr>
          <w:rFonts w:hint="eastAsia"/>
        </w:rPr>
        <w:t>非系统性风险</w:t>
      </w:r>
      <w:r>
        <w:rPr>
          <w:rFonts w:hint="eastAsia"/>
        </w:rPr>
        <w:t>越大反转越强。</w:t>
      </w:r>
      <w:r>
        <w:t>采用</w:t>
      </w:r>
      <w:r>
        <w:rPr>
          <w:rFonts w:hint="eastAsia"/>
        </w:rPr>
        <w:t>过去</w:t>
      </w:r>
      <w:r>
        <w:rPr>
          <w:rFonts w:hint="eastAsia"/>
        </w:rPr>
        <w:t>20</w:t>
      </w:r>
      <w:r>
        <w:rPr>
          <w:rFonts w:hint="eastAsia"/>
        </w:rPr>
        <w:t>个交易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对万德全</w:t>
      </w:r>
      <w:r>
        <w:rPr>
          <w:rFonts w:hint="eastAsia"/>
        </w:rPr>
        <w:t>A</w:t>
      </w:r>
      <w:r>
        <w:rPr>
          <w:rFonts w:hint="eastAsia"/>
        </w:rPr>
        <w:t>指数收益率回归，</w:t>
      </w:r>
      <w:r>
        <w:t>残差</w:t>
      </w:r>
      <w:r>
        <w:rPr>
          <w:rFonts w:hint="eastAsia"/>
        </w:rPr>
        <w:t>的标准差作为股票的非系统性风险；</w:t>
      </w:r>
    </w:p>
    <w:p w:rsidR="000E664F" w:rsidRPr="000E664F" w:rsidRDefault="000E664F" w:rsidP="00FC2E65">
      <w:pPr>
        <w:spacing w:afterLines="50" w:after="156" w:line="288" w:lineRule="auto"/>
        <w:ind w:firstLineChars="200" w:firstLine="420"/>
        <w:rPr>
          <w:rFonts w:hint="eastAsia"/>
        </w:rPr>
      </w:pPr>
      <w:r>
        <w:rPr>
          <w:rFonts w:hint="eastAsia"/>
        </w:rPr>
        <w:t>由于流动性在反转、</w:t>
      </w:r>
      <w:r>
        <w:t>收益</w:t>
      </w:r>
      <w:r>
        <w:rPr>
          <w:rFonts w:hint="eastAsia"/>
        </w:rPr>
        <w:t>两方面对策略收益有帮助，</w:t>
      </w:r>
      <w:r>
        <w:t>而</w:t>
      </w:r>
      <w:r>
        <w:rPr>
          <w:rFonts w:hint="eastAsia"/>
        </w:rPr>
        <w:t>非系统风险只在反转强度上有共享，</w:t>
      </w:r>
      <w:r>
        <w:t>因此</w:t>
      </w:r>
      <w:r>
        <w:rPr>
          <w:rFonts w:hint="eastAsia"/>
        </w:rPr>
        <w:t>二者权重之比为</w:t>
      </w:r>
      <w:r>
        <w:rPr>
          <w:rFonts w:hint="eastAsia"/>
        </w:rPr>
        <w:t>2:1</w:t>
      </w:r>
      <w:r>
        <w:rPr>
          <w:rFonts w:hint="eastAsia"/>
        </w:rPr>
        <w:t>。</w:t>
      </w:r>
    </w:p>
    <w:p w:rsidR="005E05E9" w:rsidRPr="000E664F" w:rsidRDefault="005E05E9" w:rsidP="00FC2E65">
      <w:pPr>
        <w:pStyle w:val="a3"/>
        <w:numPr>
          <w:ilvl w:val="0"/>
          <w:numId w:val="1"/>
        </w:numPr>
        <w:spacing w:afterLines="50" w:after="156" w:line="288" w:lineRule="auto"/>
        <w:ind w:firstLineChars="0"/>
        <w:rPr>
          <w:rFonts w:ascii="黑体" w:eastAsia="黑体" w:hAnsi="黑体"/>
          <w:sz w:val="24"/>
        </w:rPr>
      </w:pPr>
      <w:r w:rsidRPr="000E664F">
        <w:rPr>
          <w:rFonts w:ascii="黑体" w:eastAsia="黑体" w:hAnsi="黑体" w:hint="eastAsia"/>
          <w:sz w:val="24"/>
        </w:rPr>
        <w:t>基本估值：</w:t>
      </w:r>
    </w:p>
    <w:p w:rsidR="005E05E9" w:rsidRDefault="005E05E9" w:rsidP="00FC2E65">
      <w:pPr>
        <w:spacing w:afterLines="50" w:after="156" w:line="288" w:lineRule="auto"/>
        <w:ind w:firstLineChars="200" w:firstLine="420"/>
      </w:pPr>
      <w:r>
        <w:rPr>
          <w:rFonts w:hint="eastAsia"/>
        </w:rPr>
        <w:t>主要是为股票的反转提供简单的基本面支持，减少选出因基本面急剧恶化导致下跌的股票的可能性。</w:t>
      </w:r>
      <w:r>
        <w:t>采用</w:t>
      </w:r>
      <w:r>
        <w:rPr>
          <w:rFonts w:hint="eastAsia"/>
        </w:rPr>
        <w:t>WIND</w:t>
      </w:r>
      <w:r>
        <w:rPr>
          <w:rFonts w:hint="eastAsia"/>
        </w:rPr>
        <w:t>的分析</w:t>
      </w:r>
      <w:proofErr w:type="gramStart"/>
      <w:r>
        <w:rPr>
          <w:rFonts w:hint="eastAsia"/>
        </w:rPr>
        <w:t>师最近</w:t>
      </w:r>
      <w:proofErr w:type="gramEnd"/>
      <w:r>
        <w:rPr>
          <w:rFonts w:hint="eastAsia"/>
        </w:rPr>
        <w:t>30</w:t>
      </w:r>
      <w:r>
        <w:rPr>
          <w:rFonts w:hint="eastAsia"/>
        </w:rPr>
        <w:t>日的预期价格</w:t>
      </w:r>
      <w:r w:rsidR="000E664F">
        <w:rPr>
          <w:rFonts w:hint="eastAsia"/>
        </w:rPr>
        <w:t>或朝阳永续</w:t>
      </w:r>
      <w:r w:rsidR="000E664F">
        <w:rPr>
          <w:rFonts w:hint="eastAsia"/>
        </w:rPr>
        <w:t>分析</w:t>
      </w:r>
      <w:proofErr w:type="gramStart"/>
      <w:r w:rsidR="000E664F">
        <w:rPr>
          <w:rFonts w:hint="eastAsia"/>
        </w:rPr>
        <w:t>师一致</w:t>
      </w:r>
      <w:proofErr w:type="gramEnd"/>
      <w:r w:rsidR="000E664F">
        <w:rPr>
          <w:rFonts w:hint="eastAsia"/>
        </w:rPr>
        <w:t>预期目标价</w:t>
      </w:r>
      <w:r>
        <w:rPr>
          <w:rFonts w:hint="eastAsia"/>
        </w:rPr>
        <w:t>，除以当日的实际价格，将其</w:t>
      </w:r>
      <w:r>
        <w:t>作为</w:t>
      </w:r>
      <w:r>
        <w:rPr>
          <w:rFonts w:hint="eastAsia"/>
        </w:rPr>
        <w:t>预期指标</w:t>
      </w:r>
      <w:r w:rsidR="000E664F">
        <w:rPr>
          <w:rFonts w:hint="eastAsia"/>
        </w:rPr>
        <w:t>（越大越好</w:t>
      </w:r>
      <w:r w:rsidR="000E664F">
        <w:t>）</w:t>
      </w:r>
      <w:r>
        <w:rPr>
          <w:rFonts w:hint="eastAsia"/>
        </w:rPr>
        <w:t>。</w:t>
      </w:r>
    </w:p>
    <w:p w:rsidR="000E664F" w:rsidRPr="000E664F" w:rsidRDefault="000E664F" w:rsidP="000E664F">
      <w:pPr>
        <w:pStyle w:val="a3"/>
        <w:numPr>
          <w:ilvl w:val="0"/>
          <w:numId w:val="2"/>
        </w:numPr>
        <w:spacing w:afterLines="50" w:after="156" w:line="288" w:lineRule="auto"/>
        <w:ind w:firstLineChars="0"/>
        <w:jc w:val="center"/>
        <w:rPr>
          <w:rFonts w:hint="eastAsia"/>
          <w:b/>
          <w:sz w:val="24"/>
        </w:rPr>
      </w:pPr>
      <w:r w:rsidRPr="000E664F">
        <w:rPr>
          <w:rFonts w:hint="eastAsia"/>
          <w:b/>
          <w:sz w:val="24"/>
        </w:rPr>
        <w:lastRenderedPageBreak/>
        <w:t>相关研究与理论支持</w:t>
      </w:r>
    </w:p>
    <w:p w:rsidR="007112E7" w:rsidRPr="007112E7" w:rsidRDefault="007112E7" w:rsidP="007112E7">
      <w:pPr>
        <w:pStyle w:val="a3"/>
        <w:numPr>
          <w:ilvl w:val="0"/>
          <w:numId w:val="4"/>
        </w:numPr>
        <w:spacing w:afterLines="50" w:after="156" w:line="288" w:lineRule="auto"/>
        <w:ind w:firstLineChars="0"/>
        <w:rPr>
          <w:rFonts w:ascii="黑体" w:eastAsia="黑体" w:hAnsi="黑体"/>
          <w:sz w:val="24"/>
          <w:szCs w:val="21"/>
        </w:rPr>
      </w:pPr>
      <w:r w:rsidRPr="007112E7">
        <w:rPr>
          <w:rFonts w:ascii="黑体" w:eastAsia="黑体" w:hAnsi="黑体" w:hint="eastAsia"/>
          <w:sz w:val="24"/>
          <w:szCs w:val="21"/>
        </w:rPr>
        <w:t>行业内反转：</w:t>
      </w:r>
    </w:p>
    <w:p w:rsidR="007112E7" w:rsidRDefault="007112E7" w:rsidP="007112E7">
      <w:pPr>
        <w:spacing w:afterLines="50" w:after="156" w:line="288" w:lineRule="auto"/>
        <w:ind w:firstLineChars="200" w:firstLine="420"/>
        <w:rPr>
          <w:rFonts w:ascii="Times New Roman" w:hAnsi="Times New Roman"/>
          <w:szCs w:val="21"/>
        </w:rPr>
      </w:pPr>
      <w:r w:rsidRPr="007112E7">
        <w:rPr>
          <w:rFonts w:ascii="Times New Roman" w:hAnsi="Times New Roman" w:hint="eastAsia"/>
          <w:szCs w:val="21"/>
        </w:rPr>
        <w:t>行业内信息的缓慢传播导致股票</w:t>
      </w:r>
      <w:proofErr w:type="gramStart"/>
      <w:r w:rsidRPr="007112E7">
        <w:rPr>
          <w:rFonts w:ascii="Times New Roman" w:hAnsi="Times New Roman" w:hint="eastAsia"/>
          <w:szCs w:val="21"/>
        </w:rPr>
        <w:t>间收益</w:t>
      </w:r>
      <w:proofErr w:type="gramEnd"/>
      <w:r w:rsidRPr="007112E7">
        <w:rPr>
          <w:rFonts w:ascii="Times New Roman" w:hAnsi="Times New Roman" w:hint="eastAsia"/>
          <w:szCs w:val="21"/>
        </w:rPr>
        <w:t>的领先滞后关系，表现出横截面收益的反转效应</w:t>
      </w:r>
      <w:r>
        <w:rPr>
          <w:rFonts w:ascii="Times New Roman" w:hAnsi="Times New Roman" w:hint="eastAsia"/>
          <w:szCs w:val="21"/>
        </w:rPr>
        <w:t>：</w:t>
      </w:r>
    </w:p>
    <w:p w:rsidR="007112E7" w:rsidRPr="007112E7" w:rsidRDefault="007112E7" w:rsidP="007112E7">
      <w:pPr>
        <w:spacing w:afterLines="50" w:after="156" w:line="288" w:lineRule="auto"/>
        <w:rPr>
          <w:rFonts w:ascii="Arial" w:hAnsi="Arial" w:cs="Arial"/>
          <w:color w:val="222222"/>
          <w:szCs w:val="21"/>
          <w:shd w:val="clear" w:color="auto" w:fill="FFFFFF"/>
        </w:rPr>
      </w:pPr>
      <w:proofErr w:type="spellStart"/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Hou</w:t>
      </w:r>
      <w:proofErr w:type="spellEnd"/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, K. (2007). Industry information diffusion and the lead-lag effect in stock returns.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Review of Financial Studies</w:t>
      </w: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,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20</w:t>
      </w: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(4), 1113-1138.</w:t>
      </w:r>
      <w:bookmarkStart w:id="0" w:name="_GoBack"/>
      <w:bookmarkEnd w:id="0"/>
    </w:p>
    <w:p w:rsidR="007112E7" w:rsidRDefault="007112E7" w:rsidP="007112E7">
      <w:pPr>
        <w:spacing w:afterLines="50" w:after="156" w:line="288" w:lineRule="auto"/>
        <w:ind w:firstLineChars="200" w:firstLine="420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投资者对于公司特有信息存在反应过度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：</w:t>
      </w:r>
    </w:p>
    <w:p w:rsidR="007112E7" w:rsidRPr="007112E7" w:rsidRDefault="007112E7" w:rsidP="007112E7">
      <w:pPr>
        <w:spacing w:afterLines="50" w:after="156" w:line="288" w:lineRule="auto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Da, Z., Liu, Q., &amp; Schaumburg, E. (2011). Decomposing short-term return reversal.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Available at SSRN 1551025</w:t>
      </w: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.</w:t>
      </w:r>
    </w:p>
    <w:p w:rsidR="007112E7" w:rsidRPr="007112E7" w:rsidRDefault="007112E7" w:rsidP="007112E7">
      <w:pPr>
        <w:pStyle w:val="a3"/>
        <w:numPr>
          <w:ilvl w:val="0"/>
          <w:numId w:val="4"/>
        </w:numPr>
        <w:spacing w:afterLines="50" w:after="156" w:line="288" w:lineRule="auto"/>
        <w:ind w:firstLineChars="0"/>
        <w:rPr>
          <w:rFonts w:ascii="黑体" w:eastAsia="黑体" w:hAnsi="黑体" w:cs="Arial"/>
          <w:color w:val="222222"/>
          <w:sz w:val="24"/>
          <w:szCs w:val="21"/>
          <w:shd w:val="clear" w:color="auto" w:fill="FFFFFF"/>
        </w:rPr>
      </w:pPr>
      <w:r w:rsidRPr="007112E7">
        <w:rPr>
          <w:rFonts w:ascii="黑体" w:eastAsia="黑体" w:hAnsi="黑体" w:cs="Arial" w:hint="eastAsia"/>
          <w:color w:val="222222"/>
          <w:sz w:val="24"/>
          <w:szCs w:val="21"/>
          <w:shd w:val="clear" w:color="auto" w:fill="FFFFFF"/>
        </w:rPr>
        <w:t>行业内反转与行业间动量：</w:t>
      </w:r>
    </w:p>
    <w:p w:rsidR="007112E7" w:rsidRPr="007112E7" w:rsidRDefault="007112E7" w:rsidP="007112E7">
      <w:pPr>
        <w:spacing w:afterLines="50" w:after="156" w:line="288" w:lineRule="auto"/>
        <w:ind w:firstLineChars="200" w:firstLine="420"/>
        <w:rPr>
          <w:rFonts w:ascii="Arial" w:hAnsi="Arial" w:cs="Arial"/>
          <w:color w:val="222222"/>
          <w:szCs w:val="21"/>
          <w:shd w:val="clear" w:color="auto" w:fill="FFFFFF"/>
        </w:rPr>
      </w:pP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传统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的反转收益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=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行业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内反转收益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—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行业间动量收益，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因而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在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构建组合的过程中，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可以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通过改变行业间动量收益的正负号对传统的反转效应进行分解重组。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此外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行业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内反转收益在震荡市中表现较好，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而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行业间动量在趋势比较明显的市场中比较较好，</w:t>
      </w:r>
      <w:r w:rsidRPr="007112E7">
        <w:rPr>
          <w:rFonts w:ascii="Arial" w:hAnsi="Arial" w:cs="Arial"/>
          <w:color w:val="222222"/>
          <w:szCs w:val="21"/>
          <w:shd w:val="clear" w:color="auto" w:fill="FFFFFF"/>
        </w:rPr>
        <w:t>二者</w:t>
      </w:r>
      <w:r w:rsidRPr="007112E7">
        <w:rPr>
          <w:rFonts w:ascii="Arial" w:hAnsi="Arial" w:cs="Arial" w:hint="eastAsia"/>
          <w:color w:val="222222"/>
          <w:szCs w:val="21"/>
          <w:shd w:val="clear" w:color="auto" w:fill="FFFFFF"/>
        </w:rPr>
        <w:t>可以起到很好的互补作用。</w:t>
      </w:r>
    </w:p>
    <w:p w:rsidR="007112E7" w:rsidRPr="007112E7" w:rsidRDefault="007112E7" w:rsidP="007112E7">
      <w:pPr>
        <w:pStyle w:val="a3"/>
        <w:numPr>
          <w:ilvl w:val="0"/>
          <w:numId w:val="4"/>
        </w:numPr>
        <w:spacing w:afterLines="50" w:after="156" w:line="288" w:lineRule="auto"/>
        <w:ind w:firstLineChars="0"/>
        <w:rPr>
          <w:rFonts w:ascii="黑体" w:eastAsia="黑体" w:hAnsi="黑体"/>
          <w:sz w:val="24"/>
          <w:szCs w:val="21"/>
        </w:rPr>
      </w:pPr>
      <w:r w:rsidRPr="007112E7">
        <w:rPr>
          <w:rFonts w:ascii="黑体" w:eastAsia="黑体" w:hAnsi="黑体" w:hint="eastAsia"/>
          <w:sz w:val="24"/>
          <w:szCs w:val="21"/>
        </w:rPr>
        <w:t>流动性与反转的相关机制：</w:t>
      </w:r>
    </w:p>
    <w:p w:rsidR="007112E7" w:rsidRPr="007112E7" w:rsidRDefault="007112E7" w:rsidP="007112E7">
      <w:pPr>
        <w:spacing w:afterLines="50" w:after="156" w:line="288" w:lineRule="auto"/>
        <w:ind w:firstLineChars="200" w:firstLine="420"/>
        <w:rPr>
          <w:rFonts w:ascii="Times New Roman" w:hAnsi="Times New Roman"/>
          <w:szCs w:val="21"/>
        </w:rPr>
      </w:pPr>
      <w:r w:rsidRPr="007112E7">
        <w:rPr>
          <w:rFonts w:ascii="Times New Roman" w:hAnsi="Times New Roman" w:hint="eastAsia"/>
          <w:szCs w:val="21"/>
        </w:rPr>
        <w:t>如果市场出现了外生的股票卖出压力，该卖出压力同时也会导致股票价格的下降。此时，做市商需要为市场提供相应的流动性并买入股票。</w:t>
      </w:r>
      <w:r w:rsidRPr="007112E7">
        <w:rPr>
          <w:rFonts w:ascii="Times New Roman" w:hAnsi="Times New Roman"/>
          <w:szCs w:val="21"/>
        </w:rPr>
        <w:t>做市商</w:t>
      </w:r>
      <w:r w:rsidRPr="007112E7">
        <w:rPr>
          <w:rFonts w:ascii="Times New Roman" w:hAnsi="Times New Roman" w:hint="eastAsia"/>
          <w:szCs w:val="21"/>
        </w:rPr>
        <w:t>买入股票增加其股票持仓的行为，</w:t>
      </w:r>
      <w:r w:rsidRPr="007112E7">
        <w:rPr>
          <w:rFonts w:ascii="Times New Roman" w:hAnsi="Times New Roman"/>
          <w:szCs w:val="21"/>
        </w:rPr>
        <w:t>需要</w:t>
      </w:r>
      <w:r w:rsidRPr="007112E7">
        <w:rPr>
          <w:rFonts w:ascii="Times New Roman" w:hAnsi="Times New Roman" w:hint="eastAsia"/>
          <w:szCs w:val="21"/>
        </w:rPr>
        <w:t>获得相应的期望收益上升以补偿其承担的存货风险。</w:t>
      </w:r>
      <w:r w:rsidRPr="007112E7">
        <w:rPr>
          <w:rFonts w:ascii="Times New Roman" w:hAnsi="Times New Roman"/>
          <w:szCs w:val="21"/>
        </w:rPr>
        <w:t>因而在</w:t>
      </w:r>
      <w:r w:rsidRPr="007112E7">
        <w:rPr>
          <w:rFonts w:ascii="Times New Roman" w:hAnsi="Times New Roman" w:hint="eastAsia"/>
          <w:szCs w:val="21"/>
        </w:rPr>
        <w:t>接下来的时间中，股票价格会相应的上升。</w:t>
      </w:r>
    </w:p>
    <w:p w:rsidR="007112E7" w:rsidRPr="007112E7" w:rsidRDefault="007112E7" w:rsidP="007112E7">
      <w:pPr>
        <w:spacing w:afterLines="50" w:after="156" w:line="288" w:lineRule="auto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proofErr w:type="spellStart"/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Avramov</w:t>
      </w:r>
      <w:proofErr w:type="spellEnd"/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, D., Chordia, T., &amp; Goyal, A. (2006). Liquidity and autocorrelations in individual stock returns.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The Journal of Finance</w:t>
      </w: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,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61</w:t>
      </w:r>
      <w:r w:rsidRPr="007112E7">
        <w:rPr>
          <w:rFonts w:ascii="Times New Roman" w:hAnsi="Times New Roman" w:cs="Times New Roman"/>
          <w:color w:val="222222"/>
          <w:szCs w:val="21"/>
          <w:shd w:val="clear" w:color="auto" w:fill="FFFFFF"/>
        </w:rPr>
        <w:t>(5), 2365-2394.</w:t>
      </w:r>
    </w:p>
    <w:p w:rsidR="007112E7" w:rsidRPr="007112E7" w:rsidRDefault="007112E7" w:rsidP="007112E7">
      <w:pPr>
        <w:pStyle w:val="a3"/>
        <w:numPr>
          <w:ilvl w:val="0"/>
          <w:numId w:val="4"/>
        </w:numPr>
        <w:spacing w:afterLines="50" w:after="156"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7112E7">
        <w:rPr>
          <w:rFonts w:ascii="黑体" w:eastAsia="黑体" w:hAnsi="黑体" w:hint="eastAsia"/>
          <w:sz w:val="24"/>
          <w:szCs w:val="24"/>
        </w:rPr>
        <w:t>非系统性风险与反转的相关机制：</w:t>
      </w:r>
    </w:p>
    <w:p w:rsidR="007112E7" w:rsidRDefault="007112E7" w:rsidP="007112E7">
      <w:pPr>
        <w:spacing w:afterLines="50" w:after="156" w:line="288" w:lineRule="auto"/>
        <w:ind w:firstLineChars="200" w:firstLine="420"/>
      </w:pPr>
      <w:r>
        <w:rPr>
          <w:rFonts w:hint="eastAsia"/>
        </w:rPr>
        <w:t>非系统性风险越高，</w:t>
      </w:r>
      <w:r>
        <w:t>表明</w:t>
      </w:r>
      <w:r>
        <w:rPr>
          <w:rFonts w:hint="eastAsia"/>
        </w:rPr>
        <w:t>股价中的公司特有信息含量也就越高，</w:t>
      </w:r>
      <w:r>
        <w:t>从而</w:t>
      </w:r>
      <w:r>
        <w:rPr>
          <w:rFonts w:hint="eastAsia"/>
        </w:rPr>
        <w:t>导致股票短期的反转效应也就越强。</w:t>
      </w:r>
    </w:p>
    <w:p w:rsidR="000F7FE5" w:rsidRPr="007112E7" w:rsidRDefault="007112E7" w:rsidP="007112E7">
      <w:pPr>
        <w:spacing w:afterLines="50" w:after="156" w:line="288" w:lineRule="auto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proofErr w:type="spellStart"/>
      <w:r w:rsidRPr="007112E7">
        <w:rPr>
          <w:rFonts w:ascii="Times New Roman" w:hAnsi="Times New Roman" w:cs="Times New Roman"/>
          <w:color w:val="222222"/>
          <w:szCs w:val="20"/>
          <w:shd w:val="clear" w:color="auto" w:fill="FFFFFF"/>
        </w:rPr>
        <w:t>Jegadeesh</w:t>
      </w:r>
      <w:proofErr w:type="spellEnd"/>
      <w:r w:rsidRPr="007112E7">
        <w:rPr>
          <w:rFonts w:ascii="Times New Roman" w:hAnsi="Times New Roman" w:cs="Times New Roman"/>
          <w:color w:val="222222"/>
          <w:szCs w:val="20"/>
          <w:shd w:val="clear" w:color="auto" w:fill="FFFFFF"/>
        </w:rPr>
        <w:t>, N., &amp; Titman, S. (1995). Overreaction, delayed reaction, and contrarian profits.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0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Review of Financial Studies</w:t>
      </w:r>
      <w:r w:rsidRPr="007112E7">
        <w:rPr>
          <w:rFonts w:ascii="Times New Roman" w:hAnsi="Times New Roman" w:cs="Times New Roman"/>
          <w:color w:val="222222"/>
          <w:szCs w:val="20"/>
          <w:shd w:val="clear" w:color="auto" w:fill="FFFFFF"/>
        </w:rPr>
        <w:t>,</w:t>
      </w:r>
      <w:r w:rsidRPr="007112E7">
        <w:rPr>
          <w:rStyle w:val="apple-converted-space"/>
          <w:rFonts w:ascii="Times New Roman" w:hAnsi="Times New Roman" w:cs="Times New Roman"/>
          <w:color w:val="222222"/>
          <w:szCs w:val="20"/>
          <w:shd w:val="clear" w:color="auto" w:fill="FFFFFF"/>
        </w:rPr>
        <w:t> </w:t>
      </w:r>
      <w:r w:rsidRPr="007112E7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8</w:t>
      </w:r>
      <w:r w:rsidRPr="007112E7">
        <w:rPr>
          <w:rFonts w:ascii="Times New Roman" w:hAnsi="Times New Roman" w:cs="Times New Roman"/>
          <w:color w:val="222222"/>
          <w:szCs w:val="20"/>
          <w:shd w:val="clear" w:color="auto" w:fill="FFFFFF"/>
        </w:rPr>
        <w:t>(4), 973-993.</w:t>
      </w:r>
    </w:p>
    <w:sectPr w:rsidR="000F7FE5" w:rsidRPr="0071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F4434"/>
    <w:multiLevelType w:val="hybridMultilevel"/>
    <w:tmpl w:val="22CC4B8A"/>
    <w:lvl w:ilvl="0" w:tplc="BC06A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B4454"/>
    <w:multiLevelType w:val="hybridMultilevel"/>
    <w:tmpl w:val="33F4A2DE"/>
    <w:lvl w:ilvl="0" w:tplc="C19E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3332A"/>
    <w:multiLevelType w:val="hybridMultilevel"/>
    <w:tmpl w:val="9776308A"/>
    <w:lvl w:ilvl="0" w:tplc="BE7AF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8C1E89"/>
    <w:multiLevelType w:val="hybridMultilevel"/>
    <w:tmpl w:val="C19AAAD4"/>
    <w:lvl w:ilvl="0" w:tplc="D6C022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C7"/>
    <w:rsid w:val="000E664F"/>
    <w:rsid w:val="005E05E9"/>
    <w:rsid w:val="00637523"/>
    <w:rsid w:val="006749F4"/>
    <w:rsid w:val="007112E7"/>
    <w:rsid w:val="00712509"/>
    <w:rsid w:val="00BB35F6"/>
    <w:rsid w:val="00FC2E65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8F8F-E565-46A0-BB8D-E2BD4FA2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5E9"/>
    <w:pPr>
      <w:ind w:firstLineChars="200" w:firstLine="420"/>
    </w:pPr>
  </w:style>
  <w:style w:type="character" w:customStyle="1" w:styleId="apple-converted-space">
    <w:name w:val="apple-converted-space"/>
    <w:basedOn w:val="a0"/>
    <w:rsid w:val="0071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dcterms:created xsi:type="dcterms:W3CDTF">2016-09-02T06:21:00Z</dcterms:created>
  <dcterms:modified xsi:type="dcterms:W3CDTF">2016-09-02T06:47:00Z</dcterms:modified>
</cp:coreProperties>
</file>