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20"/>
      </w:pPr>
      <w:r>
        <w:rPr>
          <w:b/>
          <w:i w:val="0"/>
        </w:rPr>
        <w:t>Asunto: Descargos — Resolución (E) N°79/2026 — Invalidación Convocatoria CDPR Metropolitano 2026 "Semilla Inicia" — Proyecto 26INI-320104</w:t>
      </w:r>
    </w:p>
    <w:p>
      <w:pPr>
        <w:spacing w:after="320"/>
        <w:jc w:val="right"/>
      </w:pPr>
      <w:r>
        <w:rPr>
          <w:b w:val="0"/>
          <w:i w:val="0"/>
        </w:rPr>
        <w:t>Santiago, 13 de agosto de 2026</w:t>
      </w:r>
    </w:p>
    <w:p>
      <w:pPr>
        <w:spacing w:after="160"/>
      </w:pPr>
      <w:r>
        <w:rPr>
          <w:b w:val="0"/>
          <w:i w:val="0"/>
        </w:rPr>
        <w:t>Señora</w:t>
      </w:r>
    </w:p>
    <w:p>
      <w:pPr>
        <w:spacing w:after="160"/>
      </w:pPr>
      <w:r>
        <w:rPr>
          <w:b w:val="0"/>
          <w:i w:val="0"/>
        </w:rPr>
        <w:t>Camila Monckeberg Guzmán</w:t>
      </w:r>
    </w:p>
    <w:p>
      <w:pPr>
        <w:spacing w:after="160"/>
      </w:pPr>
      <w:r>
        <w:rPr>
          <w:b w:val="0"/>
          <w:i w:val="0"/>
        </w:rPr>
        <w:t>Directora Regional Metropolitana de Santiago</w:t>
      </w:r>
    </w:p>
    <w:p>
      <w:pPr>
        <w:spacing w:after="160"/>
      </w:pPr>
      <w:r>
        <w:rPr>
          <w:b w:val="0"/>
          <w:i w:val="0"/>
        </w:rPr>
        <w:t>CORFO</w:t>
      </w:r>
    </w:p>
    <w:p>
      <w:pPr>
        <w:spacing w:after="320"/>
      </w:pPr>
      <w:r>
        <w:rPr>
          <w:b w:val="0"/>
          <w:i w:val="0"/>
        </w:rPr>
        <w:t>PRESENTE</w:t>
      </w:r>
    </w:p>
    <w:p>
      <w:pPr>
        <w:spacing w:after="320"/>
      </w:pPr>
      <w:r>
        <w:rPr>
          <w:b/>
          <w:i w:val="0"/>
        </w:rPr>
        <w:t>REF.: Descargos en el marco del trámite de audiencia previa dispuesto por la Resolución Electrónica Exenta N°79, de 2026, que inicia el proceso de invalidación del análisis de admisibilidad, evaluación y adjudicación de la "Convocatoria CDPR Metropolitano 2026: Semilla Inicia", notificada con fecha 12-08-2026.</w:t>
      </w:r>
    </w:p>
    <w:p>
      <w:pPr>
        <w:spacing w:after="160"/>
      </w:pPr>
      <w:r>
        <w:rPr>
          <w:b w:val="0"/>
          <w:i w:val="0"/>
        </w:rPr>
        <w:t>De mi consideración:</w:t>
      </w:r>
    </w:p>
    <w:p>
      <w:pPr>
        <w:spacing w:after="320"/>
      </w:pPr>
      <w:r>
        <w:rPr>
          <w:b w:val="0"/>
          <w:i w:val="0"/>
        </w:rPr>
        <w:t>Mauricio Cárcamo Díaz, RUT 17.402.237-2, en calidad de Beneficiario postulante del proyecto "Kittypau Plataforma AIoT de monitoreo", código 26INI-320104, ID de postulación 970679, dentro del plazo conferido por el numeral 2° de la resolución individualizada en la referencia, vengo en formular los siguientes descargos:</w:t>
      </w:r>
    </w:p>
    <w:p>
      <w:pPr>
        <w:spacing w:after="200"/>
      </w:pPr>
      <w:r>
        <w:rPr>
          <w:b/>
          <w:i w:val="0"/>
        </w:rPr>
        <w:t>I. Antecedentes</w:t>
      </w:r>
    </w:p>
    <w:p>
      <w:pPr>
        <w:pStyle w:val="ListNumber"/>
        <w:spacing w:after="120"/>
      </w:pPr>
      <w:r>
        <w:t>Con fecha 29-05-2026 se presentó la postulación N°970679 al instrumento "Semilla Inicia", convocatoria CDPR Metropolitano 2026.</w:t>
      </w:r>
    </w:p>
    <w:p>
      <w:pPr>
        <w:pStyle w:val="ListNumber"/>
        <w:spacing w:after="120"/>
      </w:pPr>
      <w:r>
        <w:t xml:space="preserve">Mediante Carta Electrónica N°828, de 04-08-2026, se comunicó que el proyecto fue declarado </w:t>
      </w:r>
      <w:r>
        <w:rPr>
          <w:b/>
        </w:rPr>
        <w:t>no admisible en Fase 2</w:t>
      </w:r>
      <w:r>
        <w:t>, en aplicación del numeral 13.1 letra a) Fase 2, requisito N°1, referido al video de postulación. El fundamento fue el siguiente, transcrito del Informe de Admisibilidad adjunto a dicha carta:</w:t>
      </w:r>
    </w:p>
    <w:p>
      <w:pPr>
        <w:spacing w:after="200"/>
        <w:ind w:left="567"/>
      </w:pPr>
      <w:r>
        <w:rPr>
          <w:i/>
        </w:rPr>
        <w:t>"El video describe claramente la solución (plataforma IoT para monitorear alimentación y alertas) y menciona un componente innovador (‘único producto en la TAM con medición precisa, IA y datos ambientales’). Sin embargo, no se presenta ninguna comparación concreta con soluciones existentes ni se explica en qué consiste esa innovación frente al mercado."</w:t>
      </w:r>
    </w:p>
    <w:p>
      <w:pPr>
        <w:pStyle w:val="ListNumber"/>
        <w:spacing w:after="320"/>
      </w:pPr>
      <w:r>
        <w:t>Mediante Resolución Electrónica Exenta N°79, de 2026, de la Dirección Regional Metropolitana de Corfo, notificada el 12-08-2026, se inició un proceso de invalidación del análisis de admisibilidad, evaluación y adjudicación de la totalidad de la convocatoria, al haberse constatado, en el conocimiento de recursos de reposición interpuestos por otros postulantes, inconsistencias en la aplicación de dicho análisis. En ese acto se dispuso el trámite de audiencia previa del artículo 53 de la Ley N°19.880, del cual el presente escrito es parte, dentro del plazo de cinco días hábiles administrativos contado desde la notificación (vencimiento: 19-08-2026).</w:t>
      </w:r>
    </w:p>
    <w:p>
      <w:pPr>
        <w:spacing w:after="200"/>
      </w:pPr>
      <w:r>
        <w:rPr>
          <w:b/>
          <w:i w:val="0"/>
        </w:rPr>
        <w:t>II. Postura frente a la invalidación</w:t>
      </w:r>
    </w:p>
    <w:p>
      <w:pPr>
        <w:spacing w:after="320"/>
      </w:pPr>
      <w:r>
        <w:rPr>
          <w:b w:val="0"/>
          <w:i w:val="0"/>
        </w:rPr>
        <w:t>No tengo observaciones que formular en contra de la invalidación dispuesta por la Resolución (E) N°79, de 2026. Por el contrario, en la medida en que dicha invalidación comprende el análisis de admisibilidad en cuyo marco se declaró no admisible el proyecto 26INI-320104 (Carta Electrónica N°828, de 04-08-2026), la someto a este trámite de audiencia previa únicamente para dejar constancia, con anterioridad a que se practique el nuevo análisis de admisibilidad que la invalidación hace necesario, de los antecedentes y fundamentos que a continuación se exponen, a fin de que sean considerados en dicho nuevo análisis.</w:t>
      </w:r>
    </w:p>
    <w:p>
      <w:pPr>
        <w:spacing w:after="200"/>
      </w:pPr>
      <w:r>
        <w:rPr>
          <w:b/>
          <w:i w:val="0"/>
        </w:rPr>
        <w:t>III. Fundamentos</w:t>
      </w:r>
    </w:p>
    <w:p>
      <w:pPr>
        <w:spacing w:after="240"/>
      </w:pPr>
      <w:r>
        <w:rPr>
          <w:b w:val="0"/>
          <w:i w:val="0"/>
        </w:rPr>
        <w:t>Solicito que, al practicarse el nuevo análisis de admisibilidad del proyecto 26INI-320104 como consecuencia de la invalidación dispuesta, no se repita el criterio aplicado en el requisito N°1 de Fase 2 conforme al Informe de Admisibilidad asociado a la Carta N°828, por las siguientes razones:</w:t>
      </w:r>
    </w:p>
    <w:p>
      <w:pPr>
        <w:spacing w:after="120"/>
      </w:pPr>
      <w:r>
        <w:rPr>
          <w:b/>
          <w:i w:val="0"/>
        </w:rPr>
        <w:t>1. El video sí cumple el estándar exigido por las propias bases del instrumento.</w:t>
      </w:r>
    </w:p>
    <w:p>
      <w:pPr>
        <w:spacing w:after="120"/>
      </w:pPr>
      <w:r>
        <w:rPr>
          <w:b w:val="0"/>
          <w:i w:val="0"/>
        </w:rPr>
        <w:t>El numeral 8, letra e) de las Bases de "Semilla Inicia" (Resolución Electrónica Exenta N°1498, de 2025) establece que el video debe abordar la descripción del producto y el grado de innovación, y agrega textualmente:</w:t>
      </w:r>
    </w:p>
    <w:p>
      <w:pPr>
        <w:spacing w:after="200"/>
        <w:ind w:left="567"/>
      </w:pPr>
      <w:r>
        <w:rPr>
          <w:i/>
        </w:rPr>
        <w:t>"Dicho contenido debe permitir determinar que la solución propuesta tiene un componente innovador respecto de las soluciones actuales disponibles en el mercado."</w:t>
      </w:r>
    </w:p>
    <w:p>
      <w:pPr>
        <w:spacing w:after="320"/>
      </w:pPr>
      <w:r>
        <w:rPr>
          <w:b w:val="0"/>
          <w:i w:val="0"/>
        </w:rPr>
        <w:t>El estándar exigido al video es que permita determinar la existencia de un componente innovador, no que contenga un análisis comparativo exhaustivo. El video de nuestra postulación (https://www.youtube.com/watch?v=5BM2d6lbOYA) declara expresamente: "Somos el único producto en la TAM con medición precisa, inteligencia artificial y datos ambientales integrados. Construimos todo desde cero." Esta afirmación identifica un diferenciador concreto (medición precisa + IA + datos ambientales, integrados) frente al total de soluciones existentes en el mercado (la TAM), cumpliendo el umbral que la norma exige al contenido audiovisual.</w:t>
      </w:r>
    </w:p>
    <w:p>
      <w:pPr>
        <w:spacing w:after="120"/>
      </w:pPr>
      <w:r>
        <w:rPr>
          <w:b/>
          <w:i w:val="0"/>
        </w:rPr>
        <w:t>2. Las propias bases reservan el detalle comparativo al formulario escrito, no al video.</w:t>
      </w:r>
    </w:p>
    <w:p>
      <w:pPr>
        <w:spacing w:after="120"/>
      </w:pPr>
      <w:r>
        <w:rPr>
          <w:b w:val="0"/>
          <w:i w:val="0"/>
        </w:rPr>
        <w:t>El mismo numeral 8, letra e), en el párrafo siguiente a la descripción de los requisitos del video, dispone:</w:t>
      </w:r>
    </w:p>
    <w:p>
      <w:pPr>
        <w:spacing w:after="200"/>
        <w:ind w:left="567"/>
      </w:pPr>
      <w:r>
        <w:rPr>
          <w:i/>
        </w:rPr>
        <w:t>"El contenido del video será considerado como un insumo para realizar el análisis en la segunda fase de admisibilidad de los proyectos […] No obstante, la información contenida en el video podrá ser considerada durante la etapa de evaluación del proyecto con el fin de apoyar la comprensión del mismo. Sin embargo, en el formulario de postulación se deberá incorporar toda aquella información que se considere relevante y pertinente para una correcta evaluación del proyecto."</w:t>
      </w:r>
    </w:p>
    <w:p>
      <w:pPr>
        <w:spacing w:after="320"/>
      </w:pPr>
      <w:r>
        <w:rPr>
          <w:b w:val="0"/>
          <w:i w:val="0"/>
        </w:rPr>
        <w:t>Esta disposición es explícita: el video es un insumo de apoyo, y es el formulario de postulación el instrumento donde debe constar la información completa y pertinente para la evaluación, incluida la comparación con la competencia. Exigir que la comparación detallada esté contenida en los 40 segundos del video —bajo apercibimiento de inadmisibilidad— contradice el reparto de contenidos que las propias bases establecen entre video y formulario.</w:t>
      </w:r>
    </w:p>
    <w:p>
      <w:pPr>
        <w:spacing w:after="120"/>
      </w:pPr>
      <w:r>
        <w:rPr>
          <w:b/>
          <w:i w:val="0"/>
        </w:rPr>
        <w:t>3. El formulario de postulación contiene el detalle comparativo que el análisis de admisibilidad echó en falta en el video.</w:t>
      </w:r>
    </w:p>
    <w:p>
      <w:pPr>
        <w:spacing w:after="120"/>
      </w:pPr>
      <w:r>
        <w:rPr>
          <w:b w:val="0"/>
          <w:i w:val="0"/>
        </w:rPr>
        <w:t>La postulación N°970679 incluye, en la sección "Innovación" del formulario, una comparación punto por punto contra las alternativas disponibles en el mercado:</w:t>
      </w:r>
    </w:p>
    <w:p>
      <w:pPr>
        <w:pStyle w:val="ListBullet"/>
        <w:spacing w:after="80"/>
      </w:pPr>
      <w:r>
        <w:rPr>
          <w:b/>
        </w:rPr>
        <w:t>PetKit Feed Mini 2</w:t>
      </w:r>
      <w:r>
        <w:t xml:space="preserve"> (China, ~$89.000 CLP): mide porciones dispensadas, no consumo real; sin analítica de comportamiento; sin alertas de salud; interfaz en inglés; datos fuera de Chile.</w:t>
      </w:r>
    </w:p>
    <w:p>
      <w:pPr>
        <w:pStyle w:val="ListBullet"/>
        <w:spacing w:after="80"/>
      </w:pPr>
      <w:r>
        <w:rPr>
          <w:b/>
        </w:rPr>
        <w:t>SureFeed Microchip Pet Feeder</w:t>
      </w:r>
      <w:r>
        <w:t xml:space="preserve"> (UK, ~$120.000 CLP): registra accesos por RFID, no cantidad consumida; sin analítica longitudinal; no disponible en retail chileno.</w:t>
      </w:r>
    </w:p>
    <w:p>
      <w:pPr>
        <w:pStyle w:val="ListBullet"/>
        <w:spacing w:after="200"/>
      </w:pPr>
      <w:r>
        <w:rPr>
          <w:b/>
        </w:rPr>
        <w:t>Registro manual del dueño</w:t>
      </w:r>
      <w:r>
        <w:t xml:space="preserve"> (apps/planillas): sin datos continuos; tasa de abandono superior al 80% en 3 semanas.</w:t>
      </w:r>
    </w:p>
    <w:p>
      <w:pPr>
        <w:spacing w:after="320"/>
      </w:pPr>
      <w:r>
        <w:rPr>
          <w:b w:val="0"/>
          <w:i w:val="0"/>
        </w:rPr>
        <w:t>Junto con una síntesis explícita de las "brechas que Kittypau sí resuelve" frente a las tres alternativas, y una sección de tamaño de mercado con datos LATAM (TAM/SAM/SOM, fuentes Fortune Business Insights 2025 y Grand View Research 2024). Esta es exactamente la información que el criterio "Innovación" del numeral 9.2 de las bases pondera al 40% de la evaluación, y que el numeral 8 letra a) exige "en relación con las alternativas ofrecidas por la competencia" como parte del contenido del proyecto —del proyecto en su conjunto, no del video en particular.</w:t>
      </w:r>
    </w:p>
    <w:p>
      <w:pPr>
        <w:spacing w:after="120"/>
      </w:pPr>
      <w:r>
        <w:rPr>
          <w:b/>
          <w:i w:val="0"/>
        </w:rPr>
        <w:t>4. Conclusión.</w:t>
      </w:r>
    </w:p>
    <w:p>
      <w:pPr>
        <w:spacing w:after="320"/>
      </w:pPr>
      <w:r>
        <w:rPr>
          <w:b w:val="0"/>
          <w:i w:val="0"/>
        </w:rPr>
        <w:t>El criterio aplicado en el Informe de Admisibilidad asociado a la Carta N°828 exigió al video un contenido (comparación concreta y detallada con soluciones existentes) que las propias bases del instrumento reservan al formulario de postulación, donde dicha información efectivamente consta de manera completa. Ese acto de admisibilidad queda comprendido dentro de lo que la Resolución (E) N°79 se propone invalidar; en consecuencia, corresponde que el nuevo análisis de admisibilidad que se practique no incurra en el mismo estándar, más exigente que el establecido en el numeral 8, letra e), de las bases, y que sí considere la información pertinente que la postulación ya contenía en su formulario.</w:t>
      </w:r>
    </w:p>
    <w:p>
      <w:pPr>
        <w:spacing w:after="200"/>
      </w:pPr>
      <w:r>
        <w:rPr>
          <w:b/>
          <w:i w:val="0"/>
        </w:rPr>
        <w:t>IV. Petición</w:t>
      </w:r>
    </w:p>
    <w:p>
      <w:pPr>
        <w:spacing w:after="120"/>
      </w:pPr>
      <w:r>
        <w:rPr>
          <w:b w:val="0"/>
          <w:i w:val="0"/>
        </w:rPr>
        <w:t>En mérito de lo expuesto, solicito a Corfo:</w:t>
      </w:r>
    </w:p>
    <w:p>
      <w:pPr>
        <w:pStyle w:val="ListNumber"/>
        <w:spacing w:after="120"/>
      </w:pPr>
      <w:r>
        <w:t>Tener por formulados estos descargos dentro del plazo conferido por el trámite de audiencia previa, dejando constancia de que no existe objeción a la invalidación dispuesta.</w:t>
      </w:r>
    </w:p>
    <w:p>
      <w:pPr>
        <w:pStyle w:val="ListNumber"/>
        <w:spacing w:after="400"/>
      </w:pPr>
      <w:r>
        <w:t>Que, al practicarse el nuevo análisis de admisibilidad del proyecto 26INI-320104 que resulte de dicha invalidación, se tengan a la vista los fundamentos aquí expuestos respecto del requisito N°1 de Fase 2 (video), de manera que el video y el formulario de postulación sean evaluados conforme a lo dispuesto en el numeral 8, letra e), de las bases, y el proyecto sea declarado admisible en dicha fase.</w:t>
      </w:r>
    </w:p>
    <w:p>
      <w:pPr>
        <w:spacing w:after="800"/>
      </w:pPr>
      <w:r>
        <w:rPr>
          <w:b w:val="0"/>
          <w:i w:val="0"/>
        </w:rPr>
        <w:t>Saluda atentamente,</w:t>
      </w:r>
    </w:p>
    <w:p>
      <w:pPr>
        <w:spacing w:after="40"/>
      </w:pPr>
      <w:r>
        <w:rPr>
          <w:b w:val="0"/>
          <w:i w:val="0"/>
        </w:rPr>
        <w:t>Mauricio Cárcamo Díaz</w:t>
      </w:r>
    </w:p>
    <w:p>
      <w:pPr>
        <w:spacing w:after="40"/>
      </w:pPr>
      <w:r>
        <w:rPr>
          <w:b w:val="0"/>
          <w:i w:val="0"/>
        </w:rPr>
        <w:t>RUT 17.402.237-2</w:t>
      </w:r>
    </w:p>
    <w:p>
      <w:pPr>
        <w:spacing w:after="40"/>
      </w:pPr>
      <w:r>
        <w:rPr>
          <w:b w:val="0"/>
          <w:i w:val="0"/>
        </w:rPr>
        <w:t>mauro.carcamo89@gmail.com / +56 9 9038 1919</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