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MTitle"/>
      </w:pPr>
      <w:r>
        <w:t>タスク管理アプリ</w:t>
        <w:br/>
        <w:t>AWSデプロイ Phase1 詳細作業手順書</w:t>
      </w:r>
    </w:p>
    <w:p>
      <w:pPr>
        <w:pStyle w:val="TMSubtitle"/>
      </w:pPr>
      <w:r>
        <w:t>対象: 本番対応準備（設定分離 / 環境変数化 / CORS / 添付ファイル方針 / 本番ビルド確認）</w:t>
        <w:br/>
        <w:t>目的: ローカル前提の実装を本番デプロイ可能な状態に整え、Phase2 以降で AWS リソース作成に進める状態を作る。</w:t>
      </w:r>
    </w:p>
    <w:tbl>
      <w:tblPr>
        <w:tblStyle w:val="TableGrid"/>
        <w:tblW w:type="auto" w:w="0"/>
        <w:jc w:val="center"/>
        <w:tblLook w:firstColumn="1" w:firstRow="1" w:lastColumn="0" w:lastRow="0" w:noHBand="0" w:noVBand="1" w:val="04A0"/>
      </w:tblPr>
      <w:tblGrid>
        <w:gridCol w:w="9866"/>
      </w:tblGrid>
      <w:tr>
        <w:trPr>
          <w:tblHeader w:val="true"/>
        </w:trPr>
        <w:tc>
          <w:tcPr>
            <w:tcW w:type="dxa" w:w="9865"/>
            <w:shd w:fill="EAF2FF"/>
            <w:vAlign w:val="center"/>
          </w:tcPr>
          <w:p>
            <w:pPr>
              <w:spacing w:after="20" w:before="0" w:line="269" w:lineRule="auto"/>
            </w:pPr>
            <w:r/>
            <w:r>
              <w:rPr>
                <w:rFonts w:ascii="Meiryo" w:hAnsi="Meiryo" w:eastAsia="Meiryo"/>
                <w:b w:val="0"/>
                <w:color w:val="000000"/>
                <w:sz w:val="21"/>
              </w:rPr>
              <w:t>重要: この手順書は『実行担当者が迷わず操作できること』を目的としている。各手順の最後に、成果物保存・確認ログ取得・完了条件の確認を必ず行うこと。画面操作やコマンド実行をしただけでは完了扱いにしない。</w:t>
            </w:r>
          </w:p>
        </w:tc>
      </w:tr>
    </w:tbl>
    <w:p>
      <w:pPr>
        <w:pStyle w:val="TMBody"/>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shd w:fill="D9E8FB"/>
            <w:vAlign w:val="center"/>
          </w:tcPr>
          <w:p>
            <w:pPr>
              <w:spacing w:after="20" w:before="0" w:line="269" w:lineRule="auto"/>
            </w:pPr>
            <w:r/>
            <w:r>
              <w:rPr>
                <w:rFonts w:ascii="Meiryo" w:hAnsi="Meiryo" w:eastAsia="Meiryo"/>
                <w:b/>
                <w:color w:val="163A6B"/>
                <w:sz w:val="20"/>
              </w:rPr>
              <w:t>前提想定</w:t>
            </w:r>
          </w:p>
        </w:tc>
        <w:tc>
          <w:tcPr>
            <w:tcW w:type="dxa" w:w="7483"/>
            <w:vAlign w:val="center"/>
          </w:tcPr>
          <w:p>
            <w:pPr>
              <w:spacing w:after="20" w:before="0" w:line="269" w:lineRule="auto"/>
            </w:pPr>
            <w:r/>
            <w:r>
              <w:rPr>
                <w:rFonts w:ascii="Meiryo" w:hAnsi="Meiryo" w:eastAsia="Meiryo"/>
                <w:b w:val="0"/>
                <w:color w:val="000000"/>
                <w:sz w:val="20"/>
              </w:rPr>
              <w:t>リポジトリ直下に backend / frontend ディレクトリがある構成を想定する。構成が異なる場合は、同等のファイル・ディレクトリに読み替えて進める。</w:t>
            </w:r>
          </w:p>
        </w:tc>
      </w:tr>
      <w:tr>
        <w:tc>
          <w:tcPr>
            <w:tcW w:type="dxa" w:w="2381"/>
            <w:shd w:fill="D9E8FB"/>
            <w:vAlign w:val="center"/>
          </w:tcPr>
          <w:p>
            <w:pPr>
              <w:spacing w:after="20" w:before="0" w:line="269" w:lineRule="auto"/>
            </w:pPr>
            <w:r/>
            <w:r>
              <w:rPr>
                <w:rFonts w:ascii="Meiryo" w:hAnsi="Meiryo" w:eastAsia="Meiryo"/>
                <w:b/>
                <w:color w:val="163A6B"/>
                <w:sz w:val="20"/>
              </w:rPr>
              <w:t>成果物保存先</w:t>
            </w:r>
          </w:p>
        </w:tc>
        <w:tc>
          <w:tcPr>
            <w:tcW w:type="dxa" w:w="7483"/>
            <w:vAlign w:val="center"/>
          </w:tcPr>
          <w:p>
            <w:pPr>
              <w:spacing w:after="20" w:before="0" w:line="269" w:lineRule="auto"/>
            </w:pPr>
            <w:r/>
            <w:r>
              <w:rPr>
                <w:rFonts w:ascii="Meiryo" w:hAnsi="Meiryo" w:eastAsia="Meiryo"/>
                <w:b w:val="0"/>
                <w:color w:val="000000"/>
                <w:sz w:val="20"/>
              </w:rPr>
              <w:t>docs/aws-deploy/phase1/ またはチームで合意した保存先を使用する。</w:t>
            </w:r>
          </w:p>
        </w:tc>
      </w:tr>
      <w:tr>
        <w:tc>
          <w:tcPr>
            <w:tcW w:type="dxa" w:w="2381"/>
            <w:shd w:fill="D9E8FB"/>
            <w:vAlign w:val="center"/>
          </w:tcPr>
          <w:p>
            <w:pPr>
              <w:spacing w:after="20" w:before="0" w:line="269" w:lineRule="auto"/>
            </w:pPr>
            <w:r/>
            <w:r>
              <w:rPr>
                <w:rFonts w:ascii="Meiryo" w:hAnsi="Meiryo" w:eastAsia="Meiryo"/>
                <w:b/>
                <w:color w:val="163A6B"/>
                <w:sz w:val="20"/>
              </w:rPr>
              <w:t>作業完了の定義</w:t>
            </w:r>
          </w:p>
        </w:tc>
        <w:tc>
          <w:tcPr>
            <w:tcW w:type="dxa" w:w="7483"/>
            <w:vAlign w:val="center"/>
          </w:tcPr>
          <w:p>
            <w:pPr>
              <w:spacing w:after="20" w:before="0" w:line="269" w:lineRule="auto"/>
            </w:pPr>
            <w:r/>
            <w:r>
              <w:rPr>
                <w:rFonts w:ascii="Meiryo" w:hAnsi="Meiryo" w:eastAsia="Meiryo"/>
                <w:b w:val="0"/>
                <w:color w:val="000000"/>
                <w:sz w:val="20"/>
              </w:rPr>
              <w:t>変更内容がファイルに反映され、ローカルで再起動・ビルド・基本動作確認まで完了していること。</w:t>
            </w:r>
          </w:p>
        </w:tc>
      </w:tr>
      <w:tr>
        <w:tc>
          <w:tcPr>
            <w:tcW w:type="dxa" w:w="2381"/>
            <w:shd w:fill="D9E8FB"/>
            <w:vAlign w:val="center"/>
          </w:tcPr>
          <w:p>
            <w:pPr>
              <w:spacing w:after="20" w:before="0" w:line="269" w:lineRule="auto"/>
            </w:pPr>
            <w:r/>
            <w:r>
              <w:rPr>
                <w:rFonts w:ascii="Meiryo" w:hAnsi="Meiryo" w:eastAsia="Meiryo"/>
                <w:b/>
                <w:color w:val="163A6B"/>
                <w:sz w:val="20"/>
              </w:rPr>
              <w:t>このPhaseでやらないこと</w:t>
            </w:r>
          </w:p>
        </w:tc>
        <w:tc>
          <w:tcPr>
            <w:tcW w:type="dxa" w:w="7483"/>
            <w:vAlign w:val="center"/>
          </w:tcPr>
          <w:p>
            <w:pPr>
              <w:spacing w:after="20" w:before="0" w:line="269" w:lineRule="auto"/>
            </w:pPr>
            <w:r/>
            <w:r>
              <w:rPr>
                <w:rFonts w:ascii="Meiryo" w:hAnsi="Meiryo" w:eastAsia="Meiryo"/>
                <w:b w:val="0"/>
                <w:color w:val="000000"/>
                <w:sz w:val="20"/>
              </w:rPr>
              <w:t>AWS 上のリソース作成、RDS 作成、Elastic Beanstalk 作成、CloudFront 作成は行わない。</w:t>
            </w:r>
          </w:p>
        </w:tc>
      </w:tr>
      <w:tr>
        <w:tc>
          <w:tcPr>
            <w:tcW w:type="dxa" w:w="2381"/>
            <w:shd w:fill="D9E8FB"/>
            <w:vAlign w:val="center"/>
          </w:tcPr>
          <w:p>
            <w:pPr>
              <w:spacing w:after="20" w:before="0" w:line="269" w:lineRule="auto"/>
            </w:pPr>
            <w:r/>
            <w:r>
              <w:rPr>
                <w:rFonts w:ascii="Meiryo" w:hAnsi="Meiryo" w:eastAsia="Meiryo"/>
                <w:b/>
                <w:color w:val="163A6B"/>
                <w:sz w:val="20"/>
              </w:rPr>
              <w:t>推奨ブランチ</w:t>
            </w:r>
          </w:p>
        </w:tc>
        <w:tc>
          <w:tcPr>
            <w:tcW w:type="dxa" w:w="7483"/>
            <w:vAlign w:val="center"/>
          </w:tcPr>
          <w:p>
            <w:pPr>
              <w:spacing w:after="20" w:before="0" w:line="269" w:lineRule="auto"/>
            </w:pPr>
            <w:r/>
            <w:r>
              <w:rPr>
                <w:rFonts w:ascii="Meiryo" w:hAnsi="Meiryo" w:eastAsia="Meiryo"/>
                <w:b w:val="0"/>
                <w:color w:val="000000"/>
                <w:sz w:val="20"/>
              </w:rPr>
              <w:t>feature/aws-deploy-phase1 または同等の作業ブランチを新規作成して進める。</w:t>
            </w:r>
          </w:p>
        </w:tc>
      </w:tr>
      <w:tr>
        <w:tc>
          <w:tcPr>
            <w:tcW w:type="dxa" w:w="2381"/>
            <w:shd w:fill="D9E8FB"/>
            <w:vAlign w:val="center"/>
          </w:tcPr>
          <w:p>
            <w:pPr>
              <w:spacing w:after="20" w:before="0" w:line="269" w:lineRule="auto"/>
            </w:pPr>
            <w:r/>
            <w:r>
              <w:rPr>
                <w:rFonts w:ascii="Meiryo" w:hAnsi="Meiryo" w:eastAsia="Meiryo"/>
                <w:b/>
                <w:color w:val="163A6B"/>
                <w:sz w:val="20"/>
              </w:rPr>
              <w:t>作業の進め方</w:t>
            </w:r>
          </w:p>
        </w:tc>
        <w:tc>
          <w:tcPr>
            <w:tcW w:type="dxa" w:w="7483"/>
            <w:vAlign w:val="center"/>
          </w:tcPr>
          <w:p>
            <w:pPr>
              <w:spacing w:after="20" w:before="0" w:line="269" w:lineRule="auto"/>
            </w:pPr>
            <w:r/>
            <w:r>
              <w:rPr>
                <w:rFonts w:ascii="Meiryo" w:hAnsi="Meiryo" w:eastAsia="Meiryo"/>
                <w:b w:val="0"/>
                <w:color w:val="000000"/>
                <w:sz w:val="20"/>
              </w:rPr>
              <w:t>設定分離 → 起動確認 → フロント設定分離 → 添付方針確定 → clean build → スモークテスト の順で進める。</w:t>
            </w:r>
          </w:p>
        </w:tc>
      </w:tr>
    </w:tbl>
    <w:p>
      <w:r>
        <w:br w:type="page"/>
      </w:r>
    </w:p>
    <w:p>
      <w:pPr>
        <w:pStyle w:val="TMH1"/>
      </w:pPr>
      <w:r>
        <w:t>1. 進め方と共通ルール</w:t>
      </w:r>
    </w:p>
    <w:p>
      <w:pPr>
        <w:pStyle w:val="TMH3"/>
      </w:pPr>
      <w:r>
        <w:t>1-1. 変更前の状態を必ず保存する</w:t>
      </w:r>
    </w:p>
    <w:p>
      <w:pPr>
        <w:pStyle w:val="TMBody"/>
      </w:pPr>
      <w:r>
        <w:t>設定ファイルを触る前に、現在のブランチ名、コミットID、起動確認結果を記録する。変更前と変更後を比較できない状態で作業を進めない。</w:t>
      </w:r>
    </w:p>
    <w:p>
      <w:pPr>
        <w:pStyle w:val="TMH3"/>
      </w:pPr>
      <w:r>
        <w:t>1-2. 秘密情報はソースコードに直書きしない</w:t>
      </w:r>
    </w:p>
    <w:p>
      <w:pPr>
        <w:pStyle w:val="TMBody"/>
      </w:pPr>
      <w:r>
        <w:t>DBパスワード、JWT秘密鍵、クラウド接続情報などは、application-*.yml や .env ファイルに固定値で埋め込まない。ローカル確認のために一時的に値を使う場合も、コミット対象から除外する。</w:t>
      </w:r>
    </w:p>
    <w:p>
      <w:pPr>
        <w:pStyle w:val="TMH3"/>
      </w:pPr>
      <w:r>
        <w:t>1-3. 変更ごとに再起動・再確認する</w:t>
      </w:r>
    </w:p>
    <w:p>
      <w:pPr>
        <w:pStyle w:val="TMBody"/>
      </w:pPr>
      <w:r>
        <w:t>複数変更を一度に入れると原因切り分けが難しくなる。設定ファイル分離、環境変数化、CORS 変更、フロント設定変更は、区切りごとに再起動して確認する。</w:t>
      </w:r>
    </w:p>
    <w:p>
      <w:pPr>
        <w:pStyle w:val="TMH3"/>
      </w:pPr>
      <w:r>
        <w:t>1-4. コマンド結果はテキストで残す</w:t>
      </w:r>
    </w:p>
    <w:p>
      <w:pPr>
        <w:pStyle w:val="TMBody"/>
      </w:pPr>
      <w:r>
        <w:t>スクリーンショットだけでなく、実行コマンド、標準出力、エラー内容、修正内容をテキストで残す。後続フェーズの引き継ぎで再利用できる形にする。</w:t>
      </w:r>
    </w:p>
    <w:p>
      <w:pPr>
        <w:pStyle w:val="TMH3"/>
      </w:pPr>
      <w:r>
        <w:t>1-5. 作業開始前チェックリスト</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454"/>
            <w:shd w:fill="D9E8FB"/>
            <w:vAlign w:val="center"/>
          </w:tcPr>
          <w:p>
            <w:pPr>
              <w:spacing w:after="20" w:before="0" w:line="269" w:lineRule="auto"/>
              <w:jc w:val="center"/>
            </w:pPr>
            <w:r/>
            <w:r>
              <w:rPr>
                <w:rFonts w:ascii="Meiryo" w:hAnsi="Meiryo" w:eastAsia="Meiryo"/>
                <w:b/>
                <w:color w:val="163A6B"/>
                <w:sz w:val="20"/>
              </w:rPr>
              <w:t>No.</w:t>
            </w:r>
          </w:p>
        </w:tc>
        <w:tc>
          <w:tcPr>
            <w:tcW w:type="dxa" w:w="6576"/>
            <w:shd w:fill="D9E8FB"/>
            <w:vAlign w:val="center"/>
          </w:tcPr>
          <w:p>
            <w:pPr>
              <w:spacing w:after="20" w:before="0" w:line="269" w:lineRule="auto"/>
              <w:jc w:val="center"/>
            </w:pPr>
            <w:r/>
            <w:r>
              <w:rPr>
                <w:rFonts w:ascii="Meiryo" w:hAnsi="Meiryo" w:eastAsia="Meiryo"/>
                <w:b/>
                <w:color w:val="163A6B"/>
                <w:sz w:val="20"/>
              </w:rPr>
              <w:t>確認項目</w:t>
            </w:r>
          </w:p>
        </w:tc>
        <w:tc>
          <w:tcPr>
            <w:tcW w:type="dxa" w:w="2835"/>
            <w:shd w:fill="D9E8FB"/>
            <w:vAlign w:val="center"/>
          </w:tcPr>
          <w:p>
            <w:pPr>
              <w:spacing w:after="20" w:before="0" w:line="269" w:lineRule="auto"/>
              <w:jc w:val="center"/>
            </w:pPr>
            <w:r/>
            <w:r>
              <w:rPr>
                <w:rFonts w:ascii="Meiryo" w:hAnsi="Meiryo" w:eastAsia="Meiryo"/>
                <w:b/>
                <w:color w:val="163A6B"/>
                <w:sz w:val="20"/>
              </w:rPr>
              <w:t>実施結果</w:t>
            </w:r>
          </w:p>
        </w:tc>
      </w:tr>
      <w:tr>
        <w:tc>
          <w:tcPr>
            <w:tcW w:type="dxa" w:w="454"/>
            <w:vAlign w:val="center"/>
          </w:tcPr>
          <w:p>
            <w:pPr>
              <w:spacing w:after="20" w:before="0" w:line="269" w:lineRule="auto"/>
              <w:jc w:val="center"/>
            </w:pPr>
            <w:r/>
            <w:r>
              <w:rPr>
                <w:rFonts w:ascii="Meiryo" w:hAnsi="Meiryo" w:eastAsia="Meiryo"/>
                <w:b w:val="0"/>
                <w:color w:val="000000"/>
                <w:sz w:val="21"/>
              </w:rPr>
              <w:t>1</w:t>
            </w:r>
          </w:p>
        </w:tc>
        <w:tc>
          <w:tcPr>
            <w:tcW w:type="dxa" w:w="6576"/>
            <w:vAlign w:val="center"/>
          </w:tcPr>
          <w:p>
            <w:pPr>
              <w:spacing w:after="20" w:before="0" w:line="269" w:lineRule="auto"/>
            </w:pPr>
            <w:r/>
            <w:r>
              <w:rPr>
                <w:rFonts w:ascii="Meiryo" w:hAnsi="Meiryo" w:eastAsia="Meiryo"/>
                <w:b w:val="0"/>
                <w:color w:val="000000"/>
                <w:sz w:val="21"/>
              </w:rPr>
              <w:t>最新コードを取得済みである</w:t>
            </w:r>
          </w:p>
        </w:tc>
        <w:tc>
          <w:tcPr>
            <w:tcW w:type="dxa" w:w="2835"/>
            <w:vAlign w:val="center"/>
          </w:tcPr>
          <w:p>
            <w:pPr>
              <w:spacing w:after="20" w:before="0" w:line="269" w:lineRule="auto"/>
              <w:jc w:val="center"/>
            </w:pPr>
            <w:r/>
            <w:r>
              <w:rPr>
                <w:rFonts w:ascii="Meiryo" w:hAnsi="Meiryo" w:eastAsia="Meiryo"/>
                <w:b w:val="0"/>
                <w:color w:val="000000"/>
                <w:sz w:val="21"/>
              </w:rPr>
              <w:t>□ 済 / □ 未</w:t>
            </w:r>
          </w:p>
        </w:tc>
      </w:tr>
      <w:tr>
        <w:tc>
          <w:tcPr>
            <w:tcW w:type="dxa" w:w="454"/>
            <w:vAlign w:val="center"/>
          </w:tcPr>
          <w:p>
            <w:pPr>
              <w:spacing w:after="20" w:before="0" w:line="269" w:lineRule="auto"/>
              <w:jc w:val="center"/>
            </w:pPr>
            <w:r/>
            <w:r>
              <w:rPr>
                <w:rFonts w:ascii="Meiryo" w:hAnsi="Meiryo" w:eastAsia="Meiryo"/>
                <w:b w:val="0"/>
                <w:color w:val="000000"/>
                <w:sz w:val="21"/>
              </w:rPr>
              <w:t>2</w:t>
            </w:r>
          </w:p>
        </w:tc>
        <w:tc>
          <w:tcPr>
            <w:tcW w:type="dxa" w:w="6576"/>
            <w:vAlign w:val="center"/>
          </w:tcPr>
          <w:p>
            <w:pPr>
              <w:spacing w:after="20" w:before="0" w:line="269" w:lineRule="auto"/>
            </w:pPr>
            <w:r/>
            <w:r>
              <w:rPr>
                <w:rFonts w:ascii="Meiryo" w:hAnsi="Meiryo" w:eastAsia="Meiryo"/>
                <w:b w:val="0"/>
                <w:color w:val="000000"/>
                <w:sz w:val="21"/>
              </w:rPr>
              <w:t>backend / frontend のローカル起動が成功している</w:t>
            </w:r>
          </w:p>
        </w:tc>
        <w:tc>
          <w:tcPr>
            <w:tcW w:type="dxa" w:w="2835"/>
            <w:vAlign w:val="center"/>
          </w:tcPr>
          <w:p>
            <w:pPr>
              <w:spacing w:after="20" w:before="0" w:line="269" w:lineRule="auto"/>
              <w:jc w:val="center"/>
            </w:pPr>
            <w:r/>
            <w:r>
              <w:rPr>
                <w:rFonts w:ascii="Meiryo" w:hAnsi="Meiryo" w:eastAsia="Meiryo"/>
                <w:b w:val="0"/>
                <w:color w:val="000000"/>
                <w:sz w:val="21"/>
              </w:rPr>
              <w:t>□ 済 / □ 未</w:t>
            </w:r>
          </w:p>
        </w:tc>
      </w:tr>
      <w:tr>
        <w:tc>
          <w:tcPr>
            <w:tcW w:type="dxa" w:w="454"/>
            <w:vAlign w:val="center"/>
          </w:tcPr>
          <w:p>
            <w:pPr>
              <w:spacing w:after="20" w:before="0" w:line="269" w:lineRule="auto"/>
              <w:jc w:val="center"/>
            </w:pPr>
            <w:r/>
            <w:r>
              <w:rPr>
                <w:rFonts w:ascii="Meiryo" w:hAnsi="Meiryo" w:eastAsia="Meiryo"/>
                <w:b w:val="0"/>
                <w:color w:val="000000"/>
                <w:sz w:val="21"/>
              </w:rPr>
              <w:t>3</w:t>
            </w:r>
          </w:p>
        </w:tc>
        <w:tc>
          <w:tcPr>
            <w:tcW w:type="dxa" w:w="6576"/>
            <w:vAlign w:val="center"/>
          </w:tcPr>
          <w:p>
            <w:pPr>
              <w:spacing w:after="20" w:before="0" w:line="269" w:lineRule="auto"/>
            </w:pPr>
            <w:r/>
            <w:r>
              <w:rPr>
                <w:rFonts w:ascii="Meiryo" w:hAnsi="Meiryo" w:eastAsia="Meiryo"/>
                <w:b w:val="0"/>
                <w:color w:val="000000"/>
                <w:sz w:val="21"/>
              </w:rPr>
              <w:t>作業ブランチを新規作成した</w:t>
            </w:r>
          </w:p>
        </w:tc>
        <w:tc>
          <w:tcPr>
            <w:tcW w:type="dxa" w:w="2835"/>
            <w:vAlign w:val="center"/>
          </w:tcPr>
          <w:p>
            <w:pPr>
              <w:spacing w:after="20" w:before="0" w:line="269" w:lineRule="auto"/>
              <w:jc w:val="center"/>
            </w:pPr>
            <w:r/>
            <w:r>
              <w:rPr>
                <w:rFonts w:ascii="Meiryo" w:hAnsi="Meiryo" w:eastAsia="Meiryo"/>
                <w:b w:val="0"/>
                <w:color w:val="000000"/>
                <w:sz w:val="21"/>
              </w:rPr>
              <w:t>□ 済 / □ 未</w:t>
            </w:r>
          </w:p>
        </w:tc>
      </w:tr>
      <w:tr>
        <w:tc>
          <w:tcPr>
            <w:tcW w:type="dxa" w:w="454"/>
            <w:vAlign w:val="center"/>
          </w:tcPr>
          <w:p>
            <w:pPr>
              <w:spacing w:after="20" w:before="0" w:line="269" w:lineRule="auto"/>
              <w:jc w:val="center"/>
            </w:pPr>
            <w:r/>
            <w:r>
              <w:rPr>
                <w:rFonts w:ascii="Meiryo" w:hAnsi="Meiryo" w:eastAsia="Meiryo"/>
                <w:b w:val="0"/>
                <w:color w:val="000000"/>
                <w:sz w:val="21"/>
              </w:rPr>
              <w:t>4</w:t>
            </w:r>
          </w:p>
        </w:tc>
        <w:tc>
          <w:tcPr>
            <w:tcW w:type="dxa" w:w="6576"/>
            <w:vAlign w:val="center"/>
          </w:tcPr>
          <w:p>
            <w:pPr>
              <w:spacing w:after="20" w:before="0" w:line="269" w:lineRule="auto"/>
            </w:pPr>
            <w:r/>
            <w:r>
              <w:rPr>
                <w:rFonts w:ascii="Meiryo" w:hAnsi="Meiryo" w:eastAsia="Meiryo"/>
                <w:b w:val="0"/>
                <w:color w:val="000000"/>
                <w:sz w:val="21"/>
              </w:rPr>
              <w:t>成果物保存先フォルダを作成した</w:t>
            </w:r>
          </w:p>
        </w:tc>
        <w:tc>
          <w:tcPr>
            <w:tcW w:type="dxa" w:w="2835"/>
            <w:vAlign w:val="center"/>
          </w:tcPr>
          <w:p>
            <w:pPr>
              <w:spacing w:after="20" w:before="0" w:line="269" w:lineRule="auto"/>
              <w:jc w:val="center"/>
            </w:pPr>
            <w:r/>
            <w:r>
              <w:rPr>
                <w:rFonts w:ascii="Meiryo" w:hAnsi="Meiryo" w:eastAsia="Meiryo"/>
                <w:b w:val="0"/>
                <w:color w:val="000000"/>
                <w:sz w:val="21"/>
              </w:rPr>
              <w:t>□ 済 / □ 未</w:t>
            </w:r>
          </w:p>
        </w:tc>
      </w:tr>
      <w:tr>
        <w:tc>
          <w:tcPr>
            <w:tcW w:type="dxa" w:w="454"/>
            <w:vAlign w:val="center"/>
          </w:tcPr>
          <w:p>
            <w:pPr>
              <w:spacing w:after="20" w:before="0" w:line="269" w:lineRule="auto"/>
              <w:jc w:val="center"/>
            </w:pPr>
            <w:r/>
            <w:r>
              <w:rPr>
                <w:rFonts w:ascii="Meiryo" w:hAnsi="Meiryo" w:eastAsia="Meiryo"/>
                <w:b w:val="0"/>
                <w:color w:val="000000"/>
                <w:sz w:val="21"/>
              </w:rPr>
              <w:t>5</w:t>
            </w:r>
          </w:p>
        </w:tc>
        <w:tc>
          <w:tcPr>
            <w:tcW w:type="dxa" w:w="6576"/>
            <w:vAlign w:val="center"/>
          </w:tcPr>
          <w:p>
            <w:pPr>
              <w:spacing w:after="20" w:before="0" w:line="269" w:lineRule="auto"/>
            </w:pPr>
            <w:r/>
            <w:r>
              <w:rPr>
                <w:rFonts w:ascii="Meiryo" w:hAnsi="Meiryo" w:eastAsia="Meiryo"/>
                <w:b w:val="0"/>
                <w:color w:val="000000"/>
                <w:sz w:val="21"/>
              </w:rPr>
              <w:t>変更前の起動ログ・コミットIDを保存した</w:t>
            </w:r>
          </w:p>
        </w:tc>
        <w:tc>
          <w:tcPr>
            <w:tcW w:type="dxa" w:w="2835"/>
            <w:vAlign w:val="center"/>
          </w:tcPr>
          <w:p>
            <w:pPr>
              <w:spacing w:after="20" w:before="0" w:line="269" w:lineRule="auto"/>
              <w:jc w:val="center"/>
            </w:pPr>
            <w:r/>
            <w:r>
              <w:rPr>
                <w:rFonts w:ascii="Meiryo" w:hAnsi="Meiryo" w:eastAsia="Meiryo"/>
                <w:b w:val="0"/>
                <w:color w:val="000000"/>
                <w:sz w:val="21"/>
              </w:rPr>
              <w:t>□ 済 / □ 未</w:t>
            </w:r>
          </w:p>
        </w:tc>
      </w:tr>
    </w:tbl>
    <w:p>
      <w:r>
        <w:br w:type="page"/>
      </w:r>
    </w:p>
    <w:p>
      <w:pPr>
        <w:pStyle w:val="TMH1"/>
      </w:pPr>
      <w:r>
        <w:t>2. Phase1 詳細作業手順</w:t>
      </w:r>
    </w:p>
    <w:p>
      <w:pPr>
        <w:pStyle w:val="TMBody"/>
      </w:pPr>
      <w:r>
        <w:t>Phase1 は、『ローカルで動いているアプリ』を『本番デプロイ前提で設定分離されたアプリ』に整える工程です。ここで実施するのは、設定整理・環境変数化・本番向け build 確認までです。AWS 上のリソース作成は行いません。</w:t>
      </w:r>
    </w:p>
    <w:p>
      <w:pPr>
        <w:pStyle w:val="TMH2"/>
      </w:pPr>
      <w:r>
        <w:t>2-1. 1.1 Spring Boot 設定分離</w:t>
      </w:r>
    </w:p>
    <w:p>
      <w:pPr>
        <w:pStyle w:val="TMBody"/>
      </w:pPr>
      <w:r>
        <w:t>バックエンド設定を、共通設定・ローカル設定・本番設定に分けます。最終的に、ソースコードを変更せずにプロファイルと環境変数だけで接続先や認証設定を切り替えられる状態を目指します。</w:t>
      </w:r>
    </w:p>
    <w:p>
      <w:pPr>
        <w:pStyle w:val="TMH2"/>
      </w:pPr>
      <w:r>
        <w:t>1.1-1 作業ブランチと記録ファイルを作成する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Phase1 の変更内容を、他作業と混ぜずに追跡できる状態にする。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リポジトリの clone が完了していること。ローカルで backend が起動済みであること。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リポジトリ直下に移動し、現在ブランチ名を確認する。</w:t>
              <w:br/>
              <w:t>2. Phase1 用の新規ブランチを作成して checkout する。</w:t>
              <w:br/>
              <w:t>3. docs/aws-deploy/phase1/ フォルダを作成する。既存運用で別フォルダを使う場合は、その場所を利用する。</w:t>
              <w:br/>
              <w:t>4. phase1-work-log.md を作成し、作業開始日時、担当者名、開始時点のコミットIDを記録する。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git branch --show-current</w:t>
              <w:br/>
              <w:t>git checkout -b feature/aws-deploy-phase1</w:t>
              <w:br/>
              <w:t>mkdir -p docs/aws-deploy/phase1</w:t>
              <w:br/>
              <w:t>git rev-parse --short HEAD</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docs/aws-deploy/phase1/phase1-work-log.md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作業ブランチが作成され、作業ログに開始情報が記録されていること。</w:t>
            </w:r>
          </w:p>
        </w:tc>
      </w:tr>
    </w:tbl>
    <w:p>
      <w:pPr>
        <w:pStyle w:val="TMBody"/>
      </w:pPr>
    </w:p>
    <w:p>
      <w:pPr>
        <w:pStyle w:val="TMH2"/>
      </w:pPr>
      <w:r>
        <w:t>1.1-2 現在の設定ファイルと設定読込箇所を棚卸しする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どの設定がどこから読み込まれているかを一覧化し、移行漏れを防ぐ。</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backend ディレクトリ配下を参照できること。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backend/src/main/resources 配下の設定ファイルを一覧表示する。</w:t>
              <w:br/>
              <w:t>2. application.yml、application.properties、application-*.yml、.env などの存在有無を確認する。</w:t>
              <w:br/>
              <w:t>3. DB URL、DBユーザー、DBパスワード、JWT、CORS、添付ファイル保存先に関する文字列を検索する。</w:t>
              <w:br/>
              <w:t>4. 検索結果を『設定項目 / 現在値 / 定義ファイル / 利用クラス / 本番で環境変数化するか』の形式で記録する。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find backend/src/main/resources -maxdepth 2 -type f | sort</w:t>
              <w:br/>
              <w:t>grep -RIn "datasource\|jwt\|cors\|upload\|file\|s3" backend/src/main/resources backend/src/main/java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docs/aws-deploy/phase1/01_backend_config_inventory.md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主要設定の一覧が作成され、環境変数化対象が洗い出されていること。</w:t>
            </w:r>
          </w:p>
        </w:tc>
      </w:tr>
      <w:tr>
        <w:tc>
          <w:tcPr>
            <w:tcW w:type="dxa" w:w="2041"/>
            <w:shd w:fill="F1F6FD"/>
            <w:vAlign w:val="center"/>
          </w:tcPr>
          <w:p>
            <w:pPr>
              <w:spacing w:after="20" w:before="0" w:line="269" w:lineRule="auto"/>
            </w:pPr>
            <w:r/>
            <w:r>
              <w:rPr>
                <w:rFonts w:ascii="Meiryo" w:hAnsi="Meiryo" w:eastAsia="Meiryo"/>
                <w:b/>
                <w:color w:val="163A6B"/>
                <w:sz w:val="20"/>
              </w:rPr>
              <w:t>つまずきやすい点</w:t>
            </w:r>
          </w:p>
        </w:tc>
        <w:tc>
          <w:tcPr>
            <w:tcW w:type="dxa" w:w="7824"/>
            <w:vAlign w:val="center"/>
          </w:tcPr>
          <w:p>
            <w:pPr>
              <w:spacing w:after="20" w:before="0" w:line="269" w:lineRule="auto"/>
            </w:pPr>
            <w:r/>
            <w:r>
              <w:rPr>
                <w:rFonts w:ascii="Meiryo" w:hAnsi="Meiryo" w:eastAsia="Meiryo"/>
                <w:b w:val="0"/>
                <w:color w:val="000000"/>
                <w:sz w:val="19"/>
              </w:rPr>
              <w:t>検索対象パスを誤ると Java クラス内の @Value や ConfigurationProperties を見落とす。resources だけでなく java 配下も必ず検索する。</w:t>
            </w:r>
          </w:p>
        </w:tc>
      </w:tr>
    </w:tbl>
    <w:p>
      <w:pPr>
        <w:pStyle w:val="TMBody"/>
      </w:pPr>
    </w:p>
    <w:p>
      <w:pPr>
        <w:pStyle w:val="TMH2"/>
      </w:pPr>
      <w:r>
        <w:t>1.1-3 application.yml の責務を共通設定に整理する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どの環境でも共通な設定のみを application.yml に残し、環境依存設定が混在しない状態にする。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1.1-2 の棚卸しが完了していること。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application.yml を開き、ローカル専用値と共通設定を仮整理する。</w:t>
              <w:br/>
              <w:t>2. 共通設定として残すものを決める。例: server.port、Jackson の共通設定、ログフォーマット、JPA の共通設定など。</w:t>
              <w:br/>
              <w:t>3. ローカル専用値、本番専用値、秘密情報は application.yml から外す方針にする。</w:t>
              <w:br/>
              <w:t>4. application.yml のコメントで残すのではなく、内容そのものを整理して冗長行を削除する。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git diff -- backend/src/main/resources/application.yml</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docs/aws-deploy/phase1/02_backend_profile_design.md に『共通設定 / local / prod で持つ設定』を整理した表</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application.yml にローカル専用値と本番専用値が残っていないこと。</w:t>
            </w:r>
          </w:p>
        </w:tc>
      </w:tr>
    </w:tbl>
    <w:p>
      <w:pPr>
        <w:pStyle w:val="TMBody"/>
      </w:pPr>
    </w:p>
    <w:p>
      <w:pPr>
        <w:pStyle w:val="TMH2"/>
      </w:pPr>
      <w:r>
        <w:t>1.1-4 application-local.yml を作成する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ローカル開発で必要な設定を、local プロファイル専用ファイルに隔離する。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現在ローカルで使用している DB・JWT・ファイル保存先の値を把握していること。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backend/src/main/resources/application-local.yml を新規作成する。</w:t>
              <w:br/>
              <w:t>2. ローカル DB 接続、ローカル JWT 設定、ローカル添付ファイル保存先など、ローカル起動に必要な設定を移す。</w:t>
              <w:br/>
              <w:t>3. secret に相当する値はダミー値または環境変数参照に置き換え、実値をコミットしないようにする。</w:t>
              <w:br/>
              <w:t>4. application.yml と同じキーを重複記載しない。local で上書きが必要な項目だけを記載する。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touch backend/src/main/resources/application-local.yml</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application-local.yml 作成、および 02_backend_profile_design.md の更新</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local プロファイル専用の設定ファイルが存在し、ローカル実行に必要な値がそこへ移動していること。</w:t>
            </w:r>
          </w:p>
        </w:tc>
      </w:tr>
    </w:tbl>
    <w:p>
      <w:pPr>
        <w:pStyle w:val="TMBody"/>
      </w:pPr>
    </w:p>
    <w:p>
      <w:pPr>
        <w:pStyle w:val="TMH2"/>
      </w:pPr>
      <w:r>
        <w:t>1.1-5 application-prod.yml を作成する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本番環境に必要なキーだけを prod プロファイルとして定義し、本番接続先を環境変数から受け取れる状態にする。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AWS 接続先そのものは未確定でもよいが、必要キー名が決まっていること。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backend/src/main/resources/application-prod.yml を新規作成する。</w:t>
              <w:br/>
              <w:t>2. DB URL、DBユーザー、DBパスワード、JWT秘密鍵、CORS許可Origin、添付ファイル保存種別などを環境変数参照で記述する。</w:t>
              <w:br/>
              <w:t>3. 値が未指定のときに起動失敗させるか、ダミー値で警告運用にするかを決める。</w:t>
              <w:br/>
              <w:t>4. prod ファイルにはローカル向けパスや localhost を記載しない。</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touch backend/src/main/resources/application-prod.yml</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application-prod.yml、および環境変数一覧 docs/aws-deploy/phase1/03_backend_env_vars.md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prod プロファイルに固定の秘密情報がなく、必要な環境変数名が一覧化されていること。</w:t>
            </w:r>
          </w:p>
        </w:tc>
      </w:tr>
    </w:tbl>
    <w:p>
      <w:pPr>
        <w:pStyle w:val="TMBody"/>
      </w:pPr>
    </w:p>
    <w:p>
      <w:pPr>
        <w:pStyle w:val="TMH2"/>
      </w:pPr>
      <w:r>
        <w:t>1.1-6 Javaコードを環境変数前提の読み込み方式へ修正する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設定値の取得方法を統一し、起動環境ごとに値を切り替えられるようにする。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DB、JWT、CORS、添付ファイル関連クラスを把握していること。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@Value や ConfigurationProperties で読み込んでいる設定キーを確認する。</w:t>
              <w:br/>
              <w:t>2. application.yml から削除したキーをまだ参照していないか確認する。</w:t>
              <w:br/>
              <w:t>3. 必要に応じて ConfigurationProperties クラスを追加し、関連設定をまとめる。</w:t>
              <w:br/>
              <w:t>4. キー名を変更した場合は、参照クラスと yml ファイルの両方を必ず修正する。</w:t>
              <w:br/>
              <w:t>5. 修正後、コンパイルエラーと起動時エラーがないことを確認する。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./gradlew clean testClasses</w:t>
              <w:br/>
              <w:t>grep -RIn "@Value\|ConfigurationProperties" backend/src/main/java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修正差分と設定キー対応表（03_backend_env_vars.md）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設定キーの不整合がなく、コードが新しい設定構造でコンパイル可能であること。</w:t>
            </w:r>
          </w:p>
        </w:tc>
      </w:tr>
    </w:tbl>
    <w:p>
      <w:pPr>
        <w:pStyle w:val="TMBody"/>
      </w:pPr>
    </w:p>
    <w:p>
      <w:pPr>
        <w:pStyle w:val="TMH2"/>
      </w:pPr>
      <w:r>
        <w:t>1.1-7 CORS 設定を環境別に切り替える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ローカルフロントと本番フロントで許可Originを安全に切り替えられるようにする。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SecurityConfig または CORS 設定クラスの場所を特定していること。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現在の CORS 設定が固定文字列か、設定ファイル参照かを確認する。</w:t>
              <w:br/>
              <w:t>2. local は localhost のフロントURL、本番は CloudFront または公開URLを設定値で受け取る方針にする。</w:t>
              <w:br/>
              <w:t>3. 複数Originを許可する必要がある場合は、カンマ区切りか List 形式か実装方式を決める。</w:t>
              <w:br/>
              <w:t>4. ワイルドカード指定を避け、必要最小限のOriginのみ許可する。</w:t>
              <w:br/>
              <w:t>5. ログイン、一覧取得、更新APIで CORS エラーが起きないか確認する。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grep -RIn "Cors\|allowedOrigins\|CorsConfiguration" backend/src/main/java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docs/aws-deploy/phase1/04_cors_policy.md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local / prod の両方で許可Originの定義方法が明確になっていること。</w:t>
            </w:r>
          </w:p>
        </w:tc>
      </w:tr>
      <w:tr>
        <w:tc>
          <w:tcPr>
            <w:tcW w:type="dxa" w:w="2041"/>
            <w:shd w:fill="F1F6FD"/>
            <w:vAlign w:val="center"/>
          </w:tcPr>
          <w:p>
            <w:pPr>
              <w:spacing w:after="20" w:before="0" w:line="269" w:lineRule="auto"/>
            </w:pPr>
            <w:r/>
            <w:r>
              <w:rPr>
                <w:rFonts w:ascii="Meiryo" w:hAnsi="Meiryo" w:eastAsia="Meiryo"/>
                <w:b/>
                <w:color w:val="163A6B"/>
                <w:sz w:val="20"/>
              </w:rPr>
              <w:t>つまずきやすい点</w:t>
            </w:r>
          </w:p>
        </w:tc>
        <w:tc>
          <w:tcPr>
            <w:tcW w:type="dxa" w:w="7824"/>
            <w:vAlign w:val="center"/>
          </w:tcPr>
          <w:p>
            <w:pPr>
              <w:spacing w:after="20" w:before="0" w:line="269" w:lineRule="auto"/>
            </w:pPr>
            <w:r/>
            <w:r>
              <w:rPr>
                <w:rFonts w:ascii="Meiryo" w:hAnsi="Meiryo" w:eastAsia="Meiryo"/>
                <w:b w:val="0"/>
                <w:color w:val="000000"/>
                <w:sz w:val="19"/>
              </w:rPr>
              <w:t>allowedOrigins と allowedOriginPatterns を混同すると意図しない許可範囲になる。実装方針を 04_cors_policy.md に明記する。</w:t>
            </w:r>
          </w:p>
        </w:tc>
      </w:tr>
    </w:tbl>
    <w:p>
      <w:pPr>
        <w:pStyle w:val="TMBody"/>
      </w:pPr>
    </w:p>
    <w:p>
      <w:pPr>
        <w:pStyle w:val="TMH2"/>
      </w:pPr>
      <w:r>
        <w:t>1.1-8 プロファイル別にバックエンド起動確認を行う</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設定分離後に local / prod 相当の起動ができることを確認する。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1.1-1 ～ 1.1-7 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local プロファイルで backend を起動し、起動ログを保存する。</w:t>
              <w:br/>
              <w:t>2. DB接続、JWTフィルタ初期化、添付ファイル設定、CORS 設定読み込みが期待通りか確認する。</w:t>
              <w:br/>
              <w:t>3. prod プロファイルでは、必要環境変数をダミー値で渡して起動確認する。実運用先 DB へはまだ接続しなくてよい。</w:t>
              <w:br/>
              <w:t>4. 必要環境変数が不足した場合に、どのメッセージで失敗するかも記録する。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SPRING_PROFILES_ACTIVE=local ./gradlew bootRun</w:t>
              <w:br/>
              <w:t>SPRING_PROFILES_ACTIVE=prod DB_URL=dummy DB_USERNAME=dummy DB_PASSWORD=dummy JWT_SECRET=dummy CORS_ALLOWED_ORIGINS=http://example.com ./gradlew bootRun</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docs/aws-deploy/phase1/05_backend_profile_startup_result.md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local 起動が成功し、prod 相当起動時に必要キー不足・設定不整合がないこと。</w:t>
            </w:r>
          </w:p>
        </w:tc>
      </w:tr>
    </w:tbl>
    <w:p>
      <w:pPr>
        <w:pStyle w:val="TMBody"/>
      </w:pPr>
    </w:p>
    <w:p>
      <w:pPr>
        <w:pStyle w:val="TMH2"/>
      </w:pPr>
      <w:r>
        <w:t>2-2. 1.2 フロントエンド設定分離</w:t>
      </w:r>
    </w:p>
    <w:p>
      <w:pPr>
        <w:pStyle w:val="TMBody"/>
      </w:pPr>
      <w:r>
        <w:t>React / Vite 側で、ローカル API と本番 API を環境変数で切り替えられるようにします。ビルド時に誤った URL が埋め込まれないことを確認するのが目的です。</w:t>
      </w:r>
    </w:p>
    <w:p>
      <w:pPr>
        <w:pStyle w:val="TMH2"/>
      </w:pPr>
      <w:r>
        <w:t>1.2-1 フロント側の環境依存値を棚卸しする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APIベースURLやファイルアップロードURLなど、ビルドに埋め込まれる値を一覧化する。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frontend 配下にアクセスできること。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frontend 配下で import.meta.env、process.env、固定URL文字列を検索する。</w:t>
              <w:br/>
              <w:t>2. APIベースURL、認証関連設定、ファイルダウンロードURL、画面タイトルなど環境依存値を抽出する。</w:t>
              <w:br/>
              <w:t>3. 一覧を『項目名 / 現在の定義場所 / local 値 / prod 値』の形式で整理する。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grep -RIn "import.meta.env\|process.env\|http://\|https://" frontend/src frontend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docs/aws-deploy/phase1/06_frontend_env_inventory.md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フロントの環境依存値が一覧化されていること。</w:t>
            </w:r>
          </w:p>
        </w:tc>
      </w:tr>
    </w:tbl>
    <w:p>
      <w:pPr>
        <w:pStyle w:val="TMBody"/>
      </w:pPr>
    </w:p>
    <w:p>
      <w:pPr>
        <w:pStyle w:val="TMH2"/>
      </w:pPr>
      <w:r>
        <w:t>1.2-2 .env.local と .env.production の方針を決め、ファイルを作成する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ローカル用と本番用のビルド設定を分ける。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Vite の環境変数命名規則を確認済みであること。通常は VITE_ プレフィックスが必要。</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frontend 直下に .env.local と .env.production を作成する。</w:t>
              <w:br/>
              <w:t>2. VITE_API_BASE_URL など必要なキーを定義する。</w:t>
              <w:br/>
              <w:t>3. サンプル共有用に .env.example を作成し、実値はコミットしない方針を徹底する。</w:t>
              <w:br/>
              <w:t>4. .gitignore に .env.local などの扱いを確認し、必要なら修正する。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touch frontend/.env.local frontend/.env.production frontend/.env.example</w:t>
              <w:br/>
              <w:t>grep -n "env" frontend/.gitignore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frontend/.env.local, frontend/.env.production, frontend/.env.example</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環境別ファイルが存在し、必要なキー一覧が .env.example にまとめられていること。</w:t>
            </w:r>
          </w:p>
        </w:tc>
      </w:tr>
    </w:tbl>
    <w:p>
      <w:pPr>
        <w:pStyle w:val="TMBody"/>
      </w:pPr>
    </w:p>
    <w:p>
      <w:pPr>
        <w:pStyle w:val="TMH2"/>
      </w:pPr>
      <w:r>
        <w:t>1.2-3 APIクライアントを環境変数参照へ修正する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コード内の固定 URL を除去し、ビルドごとに API 接続先を切り替えられるようにする。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1.2-1 と 1.2-2 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axios や fetch を呼ぶ共通 API クライアントを特定する。</w:t>
              <w:br/>
              <w:t>2. 固定 URL を import.meta.env.VITE_API_BASE_URL などの参照に置き換える。</w:t>
              <w:br/>
              <w:t>3. baseURL の末尾スラッシュ有無で API パスが壊れないように確認する。</w:t>
              <w:br/>
              <w:t>4. コンソールログや例外メッセージに baseURL が出る場合は、確認用に一時出力してよいが最後に不要ログを削除する。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grep -RIn "axios.create\|fetch(" frontend/src || true</w:t>
              <w:br/>
              <w:t>npm run lint</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docs/aws-deploy/phase1/07_frontend_api_baseurl_check.md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固定URLが除去され、フロントが環境変数から API URL を参照していること。</w:t>
            </w:r>
          </w:p>
        </w:tc>
      </w:tr>
    </w:tbl>
    <w:p>
      <w:pPr>
        <w:pStyle w:val="TMBody"/>
      </w:pPr>
    </w:p>
    <w:p>
      <w:pPr>
        <w:pStyle w:val="TMH2"/>
      </w:pPr>
      <w:r>
        <w:t>1.2-4 フロントを local / production それぞれで確認する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開発サーバーと本番 build で、どちらも正しい設定値が使われていることを確認する。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1.2-1 ～ 1.2-3 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local 用 env で npm run dev を実行し、ログイン画面を表示する。</w:t>
              <w:br/>
              <w:t>2. ネットワークタブまたはコンソールで、API 呼び出し先 URL が期待通りか確認する。</w:t>
              <w:br/>
              <w:t>3. npm run build を実行し、本番成果物を生成する。</w:t>
              <w:br/>
              <w:t>4. ビルド成果物内に localhost や不要な URL が残っていないか検索する。</w:t>
              <w:br/>
              <w:t>5. 必要なら静的配信ツールで build 結果を開き、画面崩れや API URL 参照ミスがないか確認する。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npm run dev</w:t>
              <w:br/>
              <w:t>npm run build</w:t>
              <w:br/>
              <w:t>grep -RIn "localhost\|127.0.0.1" frontend/dist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docs/aws-deploy/phase1/08_frontend_build_check.md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開発実行と本番 build の両方で、期待する API URL が使われていること。</w:t>
            </w:r>
          </w:p>
        </w:tc>
      </w:tr>
    </w:tbl>
    <w:p>
      <w:pPr>
        <w:pStyle w:val="TMBody"/>
      </w:pPr>
    </w:p>
    <w:p>
      <w:pPr>
        <w:pStyle w:val="TMH2"/>
      </w:pPr>
      <w:r>
        <w:t>2-3. 1.3 添付ファイル機能の本番方針決定</w:t>
      </w:r>
    </w:p>
    <w:p>
      <w:pPr>
        <w:pStyle w:val="TMBody"/>
      </w:pPr>
      <w:r>
        <w:t>添付ファイルは、ローカルでは動いていても本番では破綻しやすい機能です。保存先をサーバーローカルのままにするか、いったん停止するか、S3 化を前提にするかをここで決めます。</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587"/>
            <w:shd w:fill="D9E8FB"/>
            <w:vAlign w:val="center"/>
          </w:tcPr>
          <w:p>
            <w:pPr>
              <w:spacing w:after="20" w:before="0" w:line="269" w:lineRule="auto"/>
              <w:jc w:val="center"/>
            </w:pPr>
            <w:r/>
            <w:r>
              <w:rPr>
                <w:rFonts w:ascii="Meiryo" w:hAnsi="Meiryo" w:eastAsia="Meiryo"/>
                <w:b/>
                <w:color w:val="163A6B"/>
                <w:sz w:val="20"/>
              </w:rPr>
              <w:t>方針</w:t>
            </w:r>
          </w:p>
        </w:tc>
        <w:tc>
          <w:tcPr>
            <w:tcW w:type="dxa" w:w="2721"/>
            <w:shd w:fill="D9E8FB"/>
            <w:vAlign w:val="center"/>
          </w:tcPr>
          <w:p>
            <w:pPr>
              <w:spacing w:after="20" w:before="0" w:line="269" w:lineRule="auto"/>
              <w:jc w:val="center"/>
            </w:pPr>
            <w:r/>
            <w:r>
              <w:rPr>
                <w:rFonts w:ascii="Meiryo" w:hAnsi="Meiryo" w:eastAsia="Meiryo"/>
                <w:b/>
                <w:color w:val="163A6B"/>
                <w:sz w:val="20"/>
              </w:rPr>
              <w:t>採用条件</w:t>
            </w:r>
          </w:p>
        </w:tc>
        <w:tc>
          <w:tcPr>
            <w:tcW w:type="dxa" w:w="2721"/>
            <w:shd w:fill="D9E8FB"/>
            <w:vAlign w:val="center"/>
          </w:tcPr>
          <w:p>
            <w:pPr>
              <w:spacing w:after="20" w:before="0" w:line="269" w:lineRule="auto"/>
              <w:jc w:val="center"/>
            </w:pPr>
            <w:r/>
            <w:r>
              <w:rPr>
                <w:rFonts w:ascii="Meiryo" w:hAnsi="Meiryo" w:eastAsia="Meiryo"/>
                <w:b/>
                <w:color w:val="163A6B"/>
                <w:sz w:val="20"/>
              </w:rPr>
              <w:t>メリット</w:t>
            </w:r>
          </w:p>
        </w:tc>
        <w:tc>
          <w:tcPr>
            <w:tcW w:type="dxa" w:w="2835"/>
            <w:shd w:fill="D9E8FB"/>
            <w:vAlign w:val="center"/>
          </w:tcPr>
          <w:p>
            <w:pPr>
              <w:spacing w:after="20" w:before="0" w:line="269" w:lineRule="auto"/>
              <w:jc w:val="center"/>
            </w:pPr>
            <w:r/>
            <w:r>
              <w:rPr>
                <w:rFonts w:ascii="Meiryo" w:hAnsi="Meiryo" w:eastAsia="Meiryo"/>
                <w:b/>
                <w:color w:val="163A6B"/>
                <w:sz w:val="20"/>
              </w:rPr>
              <w:t>注意点</w:t>
            </w:r>
          </w:p>
        </w:tc>
      </w:tr>
      <w:tr>
        <w:tc>
          <w:tcPr>
            <w:tcW w:type="dxa" w:w="1587"/>
            <w:vAlign w:val="center"/>
          </w:tcPr>
          <w:p>
            <w:pPr>
              <w:spacing w:after="20" w:before="0" w:line="269" w:lineRule="auto"/>
            </w:pPr>
            <w:r/>
            <w:r>
              <w:rPr>
                <w:rFonts w:ascii="Meiryo" w:hAnsi="Meiryo" w:eastAsia="Meiryo"/>
                <w:b w:val="0"/>
                <w:color w:val="000000"/>
                <w:sz w:val="19"/>
              </w:rPr>
              <w:t>A. 一時停止</w:t>
            </w:r>
          </w:p>
        </w:tc>
        <w:tc>
          <w:tcPr>
            <w:tcW w:type="dxa" w:w="2721"/>
            <w:vAlign w:val="center"/>
          </w:tcPr>
          <w:p>
            <w:pPr>
              <w:spacing w:after="20" w:before="0" w:line="269" w:lineRule="auto"/>
            </w:pPr>
            <w:r/>
            <w:r>
              <w:rPr>
                <w:rFonts w:ascii="Meiryo" w:hAnsi="Meiryo" w:eastAsia="Meiryo"/>
                <w:b w:val="0"/>
                <w:color w:val="000000"/>
                <w:sz w:val="19"/>
              </w:rPr>
              <w:t>MVP公開を優先し、添付なしでも成立する</w:t>
            </w:r>
          </w:p>
        </w:tc>
        <w:tc>
          <w:tcPr>
            <w:tcW w:type="dxa" w:w="2721"/>
            <w:vAlign w:val="center"/>
          </w:tcPr>
          <w:p>
            <w:pPr>
              <w:spacing w:after="20" w:before="0" w:line="269" w:lineRule="auto"/>
            </w:pPr>
            <w:r/>
            <w:r>
              <w:rPr>
                <w:rFonts w:ascii="Meiryo" w:hAnsi="Meiryo" w:eastAsia="Meiryo"/>
                <w:b w:val="0"/>
                <w:color w:val="000000"/>
                <w:sz w:val="19"/>
              </w:rPr>
              <w:t>作業が最も軽い</w:t>
            </w:r>
          </w:p>
        </w:tc>
        <w:tc>
          <w:tcPr>
            <w:tcW w:type="dxa" w:w="2835"/>
            <w:vAlign w:val="center"/>
          </w:tcPr>
          <w:p>
            <w:pPr>
              <w:spacing w:after="20" w:before="0" w:line="269" w:lineRule="auto"/>
            </w:pPr>
            <w:r/>
            <w:r>
              <w:rPr>
                <w:rFonts w:ascii="Meiryo" w:hAnsi="Meiryo" w:eastAsia="Meiryo"/>
                <w:b w:val="0"/>
                <w:color w:val="000000"/>
                <w:sz w:val="19"/>
              </w:rPr>
              <w:t>画面・APIで機能停止の明示が必要</w:t>
            </w:r>
          </w:p>
        </w:tc>
      </w:tr>
      <w:tr>
        <w:tc>
          <w:tcPr>
            <w:tcW w:type="dxa" w:w="1587"/>
            <w:vAlign w:val="center"/>
          </w:tcPr>
          <w:p>
            <w:pPr>
              <w:spacing w:after="20" w:before="0" w:line="269" w:lineRule="auto"/>
            </w:pPr>
            <w:r/>
            <w:r>
              <w:rPr>
                <w:rFonts w:ascii="Meiryo" w:hAnsi="Meiryo" w:eastAsia="Meiryo"/>
                <w:b w:val="0"/>
                <w:color w:val="000000"/>
                <w:sz w:val="19"/>
              </w:rPr>
              <w:t>B. 暫定ローカル保存</w:t>
            </w:r>
          </w:p>
        </w:tc>
        <w:tc>
          <w:tcPr>
            <w:tcW w:type="dxa" w:w="2721"/>
            <w:vAlign w:val="center"/>
          </w:tcPr>
          <w:p>
            <w:pPr>
              <w:spacing w:after="20" w:before="0" w:line="269" w:lineRule="auto"/>
            </w:pPr>
            <w:r/>
            <w:r>
              <w:rPr>
                <w:rFonts w:ascii="Meiryo" w:hAnsi="Meiryo" w:eastAsia="Meiryo"/>
                <w:b w:val="0"/>
                <w:color w:val="000000"/>
                <w:sz w:val="19"/>
              </w:rPr>
              <w:t>単一環境で短期検証のみ行う</w:t>
            </w:r>
          </w:p>
        </w:tc>
        <w:tc>
          <w:tcPr>
            <w:tcW w:type="dxa" w:w="2721"/>
            <w:vAlign w:val="center"/>
          </w:tcPr>
          <w:p>
            <w:pPr>
              <w:spacing w:after="20" w:before="0" w:line="269" w:lineRule="auto"/>
            </w:pPr>
            <w:r/>
            <w:r>
              <w:rPr>
                <w:rFonts w:ascii="Meiryo" w:hAnsi="Meiryo" w:eastAsia="Meiryo"/>
                <w:b w:val="0"/>
                <w:color w:val="000000"/>
                <w:sz w:val="19"/>
              </w:rPr>
              <w:t>既存実装を活かしやすい</w:t>
            </w:r>
          </w:p>
        </w:tc>
        <w:tc>
          <w:tcPr>
            <w:tcW w:type="dxa" w:w="2835"/>
            <w:vAlign w:val="center"/>
          </w:tcPr>
          <w:p>
            <w:pPr>
              <w:spacing w:after="20" w:before="0" w:line="269" w:lineRule="auto"/>
            </w:pPr>
            <w:r/>
            <w:r>
              <w:rPr>
                <w:rFonts w:ascii="Meiryo" w:hAnsi="Meiryo" w:eastAsia="Meiryo"/>
                <w:b w:val="0"/>
                <w:color w:val="000000"/>
                <w:sz w:val="19"/>
              </w:rPr>
              <w:t>再デプロイやスケール時に破綻しやすい</w:t>
            </w:r>
          </w:p>
        </w:tc>
      </w:tr>
      <w:tr>
        <w:tc>
          <w:tcPr>
            <w:tcW w:type="dxa" w:w="1587"/>
            <w:vAlign w:val="center"/>
          </w:tcPr>
          <w:p>
            <w:pPr>
              <w:spacing w:after="20" w:before="0" w:line="269" w:lineRule="auto"/>
            </w:pPr>
            <w:r/>
            <w:r>
              <w:rPr>
                <w:rFonts w:ascii="Meiryo" w:hAnsi="Meiryo" w:eastAsia="Meiryo"/>
                <w:b w:val="0"/>
                <w:color w:val="000000"/>
                <w:sz w:val="19"/>
              </w:rPr>
              <w:t>C. S3前提に切替</w:t>
            </w:r>
          </w:p>
        </w:tc>
        <w:tc>
          <w:tcPr>
            <w:tcW w:type="dxa" w:w="2721"/>
            <w:vAlign w:val="center"/>
          </w:tcPr>
          <w:p>
            <w:pPr>
              <w:spacing w:after="20" w:before="0" w:line="269" w:lineRule="auto"/>
            </w:pPr>
            <w:r/>
            <w:r>
              <w:rPr>
                <w:rFonts w:ascii="Meiryo" w:hAnsi="Meiryo" w:eastAsia="Meiryo"/>
                <w:b w:val="0"/>
                <w:color w:val="000000"/>
                <w:sz w:val="19"/>
              </w:rPr>
              <w:t>本番でも添付を使いたい</w:t>
            </w:r>
          </w:p>
        </w:tc>
        <w:tc>
          <w:tcPr>
            <w:tcW w:type="dxa" w:w="2721"/>
            <w:vAlign w:val="center"/>
          </w:tcPr>
          <w:p>
            <w:pPr>
              <w:spacing w:after="20" w:before="0" w:line="269" w:lineRule="auto"/>
            </w:pPr>
            <w:r/>
            <w:r>
              <w:rPr>
                <w:rFonts w:ascii="Meiryo" w:hAnsi="Meiryo" w:eastAsia="Meiryo"/>
                <w:b w:val="0"/>
                <w:color w:val="000000"/>
                <w:sz w:val="19"/>
              </w:rPr>
              <w:t>実務的で拡張しやすい</w:t>
            </w:r>
          </w:p>
        </w:tc>
        <w:tc>
          <w:tcPr>
            <w:tcW w:type="dxa" w:w="2835"/>
            <w:vAlign w:val="center"/>
          </w:tcPr>
          <w:p>
            <w:pPr>
              <w:spacing w:after="20" w:before="0" w:line="269" w:lineRule="auto"/>
            </w:pPr>
            <w:r/>
            <w:r>
              <w:rPr>
                <w:rFonts w:ascii="Meiryo" w:hAnsi="Meiryo" w:eastAsia="Meiryo"/>
                <w:b w:val="0"/>
                <w:color w:val="000000"/>
                <w:sz w:val="19"/>
              </w:rPr>
              <w:t>Phase1内での実装量は増える</w:t>
            </w:r>
          </w:p>
        </w:tc>
      </w:tr>
    </w:tbl>
    <w:p>
      <w:pPr>
        <w:pStyle w:val="TMBody"/>
      </w:pPr>
    </w:p>
    <w:p>
      <w:pPr>
        <w:pStyle w:val="TMH2"/>
      </w:pPr>
      <w:r>
        <w:t>1.3-1 現在の添付ファイル仕様を確認する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保存先・保存形式・参照方式を把握し、本番化の判断材料を揃える。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添付ファイル機能が実装済み、または仮実装でも存在すること。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添付アップロード API、ダウンロード API、削除 API の有無を確認する。</w:t>
              <w:br/>
              <w:t>2. 保存先がローカルディレクトリか、DB BLOB か、外部ストレージかを確認する。</w:t>
              <w:br/>
              <w:t>3. ファイル名、保存パス、MIME タイプ、サイズ制限、拡張子制限の実装有無を確認する。</w:t>
              <w:br/>
              <w:t>4. 画面側で添付ボタン・一覧・削除導線がどこにあるか確認する。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grep -RIn "MultipartFile\|upload\|attachment\|download" backend/src/main/java frontend/src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docs/aws-deploy/phase1/09_attachment_current_state.md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添付機能の現状仕様が文書化されていること。</w:t>
            </w:r>
          </w:p>
        </w:tc>
      </w:tr>
    </w:tbl>
    <w:p>
      <w:pPr>
        <w:pStyle w:val="TMBody"/>
      </w:pPr>
    </w:p>
    <w:p>
      <w:pPr>
        <w:pStyle w:val="TMH2"/>
      </w:pPr>
      <w:r>
        <w:t>1.3-2 本番方針を A / B / C から 1 つに決定する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Phase2 以降で迷わないように、添付機能の扱いを明文化する。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1.3-1 の現状確認が完了していること。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上の方針表を見ながら、MVP公開時点で採用する方針を 1 つ選ぶ。</w:t>
              <w:br/>
              <w:t>2. 選定理由を『なぜ今その方針にするのか』『次フェーズでどう改善するか』まで書く。</w:t>
              <w:br/>
              <w:t>3. チーム判断が必要なら、候補・理由・懸念点を整理してレビュー依頼する。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 ドキュメント作成中心のためコマンド例なし</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docs/aws-deploy/phase1/10_attachment_strategy_decision.md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採用方針と理由、次フェーズでの改善予定が文書化されていること。</w:t>
            </w:r>
          </w:p>
        </w:tc>
      </w:tr>
    </w:tbl>
    <w:p>
      <w:pPr>
        <w:pStyle w:val="TMBody"/>
      </w:pPr>
    </w:p>
    <w:p>
      <w:pPr>
        <w:pStyle w:val="TMH2"/>
      </w:pPr>
      <w:r>
        <w:t>1.3-3 採用方針に合わせて暫定対応を実装する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公開後の誤操作や認識齟齬を防ぐ。</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1.3-2 の方針決定が完了していること。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方針 A の場合は、画面上の添付操作を非表示または『準備中』表示にする。API も公開対象から外す。</w:t>
              <w:br/>
              <w:t>2. 方針 B の場合は、保存先ディレクトリを設定値化し、存在しない場合のエラー処理を追加する。</w:t>
              <w:br/>
              <w:t>3. 方針 C の場合は、現時点ではインタフェースだけを整え、実ストレージ移行は Phase5 で実施する前提にしてもよい。</w:t>
              <w:br/>
              <w:t>4. どの方針でも、利用者に見える制約文言を画面または README に反映する。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grep -RIn "attachment\|file upload" frontend/src backend/src/main/java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実装修正差分、または README / 画面文言更新</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採用方針に合わせて、画面・API・設定のどれかに矛盾が残っていないこと。</w:t>
            </w:r>
          </w:p>
        </w:tc>
      </w:tr>
    </w:tbl>
    <w:p>
      <w:pPr>
        <w:pStyle w:val="TMBody"/>
      </w:pPr>
    </w:p>
    <w:p>
      <w:pPr>
        <w:pStyle w:val="TMH2"/>
      </w:pPr>
      <w:r>
        <w:t>1.3-4 S3 移行を見据えた DB 項目を整理する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将来 S3 化する際の手戻りを減らす。</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添付機能を継続利用する可能性があること。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attachment テーブルまたは相当エンティティの項目を確認する。</w:t>
              <w:br/>
              <w:t>2. 将来必要になる object_key、original_file_name、content_type、file_size の有無を確認する。</w:t>
              <w:br/>
              <w:t>3. 不足する場合は、今すぐ追加するか、Phase5 で追加するかを決めて記録する。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grep -RIn "class .*Attachment\|attachment" backend/src/main/java backend/src/main/resources || true</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docs/aws-deploy/phase1/11_attachment_schema_gap.md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将来 S3 保存に必要な保持項目の差分が整理されていること。</w:t>
            </w:r>
          </w:p>
        </w:tc>
      </w:tr>
    </w:tbl>
    <w:p>
      <w:pPr>
        <w:pStyle w:val="TMBody"/>
      </w:pPr>
    </w:p>
    <w:p>
      <w:pPr>
        <w:pStyle w:val="TMH2"/>
      </w:pPr>
      <w:r>
        <w:t>2-4. 1.4 本番ビルド確認と Phase1 完了判定</w:t>
      </w:r>
    </w:p>
    <w:p>
      <w:pPr>
        <w:pStyle w:val="TMBody"/>
      </w:pPr>
      <w:r>
        <w:t>最後に、バックエンド・フロントエンドのビルドとローカル疎通を通しで確認します。この段階で不安定なまま次フェーズへ進まないことが重要です。</w:t>
      </w:r>
    </w:p>
    <w:p>
      <w:pPr>
        <w:pStyle w:val="TMH2"/>
      </w:pPr>
      <w:r>
        <w:t>1.4-1 バックエンドを clean build 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設定変更後も Java プロジェクトが正常にビルドできることを確認する。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Spring Boot 側の修正が完了していること。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backend ディレクトリへ移動する。</w:t>
              <w:br/>
              <w:t>2. clean build を実行する。</w:t>
              <w:br/>
              <w:t>3. テスト失敗、設定ファイル読込失敗、コンパイルエラーがないか確認する。</w:t>
              <w:br/>
              <w:t>4. ビルド成果物の出力先とファイル名を記録する。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cd backend</w:t>
              <w:br/>
              <w:t>./gradlew clean build</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docs/aws-deploy/phase1/12_backend_build_result.md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clean build が成功し、失敗時は原因と対処が記録されていること。</w:t>
            </w:r>
          </w:p>
        </w:tc>
      </w:tr>
    </w:tbl>
    <w:p>
      <w:pPr>
        <w:pStyle w:val="TMBody"/>
      </w:pPr>
    </w:p>
    <w:p>
      <w:pPr>
        <w:pStyle w:val="TMH2"/>
      </w:pPr>
      <w:r>
        <w:t>1.4-2 フロントエンドを本番ビルドする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Vite / React 側の本番成果物生成が成功することを確認する。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フロント環境変数化が完了していること。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frontend ディレクトリへ移動する。</w:t>
              <w:br/>
              <w:t>2. lint がある場合は先に実行する。</w:t>
              <w:br/>
              <w:t>3. production build を実行し、dist 配下の成果物を確認する。</w:t>
              <w:br/>
              <w:t>4. ビルドログに warning がある場合は、公開可否への影響を判定して記録する。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cd frontend</w:t>
              <w:br/>
              <w:t>npm run lint</w:t>
              <w:br/>
              <w:t>npm run build</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docs/aws-deploy/phase1/13_frontend_build_result.md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build が成功し、dist 配下に成果物が出力されていること。</w:t>
            </w:r>
          </w:p>
        </w:tc>
      </w:tr>
    </w:tbl>
    <w:p>
      <w:pPr>
        <w:pStyle w:val="TMBody"/>
      </w:pPr>
    </w:p>
    <w:p>
      <w:pPr>
        <w:pStyle w:val="TMH2"/>
      </w:pPr>
      <w:r>
        <w:t>1.4-3 ローカルで本番相当スモークテストを実施する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設定分離後も MVP の基本導線が壊れていないことを確認する。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1.4-1 と 1.4-2 が完了していること。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backend を local プロファイルで起動する。</w:t>
              <w:br/>
              <w:t>2. frontend を開発サーバーまたは静的配信で起動する。</w:t>
              <w:br/>
              <w:t>3. ログイン、タスク一覧表示、タスク作成、タスク更新、タスク削除、コメント、添付（採用方針に応じて）を順に確認する。</w:t>
              <w:br/>
              <w:t>4. ブラウザコンソールと backend ログを同時に確認し、CORS エラーや 500 エラーがないか記録する。</w:t>
              <w:br/>
              <w:t>5. 異常系として、未ログイン時アクセス・バリデーションエラー・存在しない ID へのアクセスも確認する。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SPRING_PROFILES_ACTIVE=local ./gradlew bootRun</w:t>
              <w:br/>
              <w:t>npm run dev</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docs/aws-deploy/phase1/14_phase1_smoke_test.md</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主要MVP導線が実行でき、Phase1 で入れた設定変更が原因の不具合が残っていないこと。</w:t>
            </w:r>
          </w:p>
        </w:tc>
      </w:tr>
    </w:tbl>
    <w:p>
      <w:pPr>
        <w:pStyle w:val="TMBody"/>
      </w:pPr>
    </w:p>
    <w:p>
      <w:pPr>
        <w:pStyle w:val="TMH2"/>
      </w:pPr>
      <w:r>
        <w:t>1.4-4 Phase1 完了判定を実施する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41"/>
            <w:shd w:fill="F1F6FD"/>
            <w:vAlign w:val="center"/>
          </w:tcPr>
          <w:p>
            <w:pPr>
              <w:spacing w:after="20" w:before="0" w:line="269" w:lineRule="auto"/>
            </w:pPr>
            <w:r/>
            <w:r>
              <w:rPr>
                <w:rFonts w:ascii="Meiryo" w:hAnsi="Meiryo" w:eastAsia="Meiryo"/>
                <w:b/>
                <w:color w:val="163A6B"/>
                <w:sz w:val="20"/>
              </w:rPr>
              <w:t>目的</w:t>
            </w:r>
          </w:p>
        </w:tc>
        <w:tc>
          <w:tcPr>
            <w:tcW w:type="dxa" w:w="7824"/>
            <w:vAlign w:val="center"/>
          </w:tcPr>
          <w:p>
            <w:pPr>
              <w:spacing w:after="20" w:before="0" w:line="269" w:lineRule="auto"/>
            </w:pPr>
            <w:r/>
            <w:r>
              <w:rPr>
                <w:rFonts w:ascii="Meiryo" w:hAnsi="Meiryo" w:eastAsia="Meiryo"/>
                <w:b w:val="0"/>
                <w:color w:val="000000"/>
                <w:sz w:val="19"/>
              </w:rPr>
              <w:t>Phase2 へ進める状態かを、文書で明確に判断する。</w:t>
            </w:r>
          </w:p>
        </w:tc>
      </w:tr>
      <w:tr>
        <w:tc>
          <w:tcPr>
            <w:tcW w:type="dxa" w:w="2041"/>
            <w:shd w:fill="F1F6FD"/>
            <w:vAlign w:val="center"/>
          </w:tcPr>
          <w:p>
            <w:pPr>
              <w:spacing w:after="20" w:before="0" w:line="269" w:lineRule="auto"/>
            </w:pPr>
            <w:r/>
            <w:r>
              <w:rPr>
                <w:rFonts w:ascii="Meiryo" w:hAnsi="Meiryo" w:eastAsia="Meiryo"/>
                <w:b/>
                <w:color w:val="163A6B"/>
                <w:sz w:val="20"/>
              </w:rPr>
              <w:t>事前準備</w:t>
            </w:r>
          </w:p>
        </w:tc>
        <w:tc>
          <w:tcPr>
            <w:tcW w:type="dxa" w:w="7824"/>
            <w:vAlign w:val="center"/>
          </w:tcPr>
          <w:p>
            <w:pPr>
              <w:spacing w:after="20" w:before="0" w:line="269" w:lineRule="auto"/>
            </w:pPr>
            <w:r/>
            <w:r>
              <w:rPr>
                <w:rFonts w:ascii="Meiryo" w:hAnsi="Meiryo" w:eastAsia="Meiryo"/>
                <w:b w:val="0"/>
                <w:color w:val="000000"/>
                <w:sz w:val="19"/>
              </w:rPr>
              <w:t>1.1 ～ 1.4 の作業結果が揃っていること。</w:t>
            </w:r>
          </w:p>
        </w:tc>
      </w:tr>
      <w:tr>
        <w:tc>
          <w:tcPr>
            <w:tcW w:type="dxa" w:w="2041"/>
            <w:shd w:fill="F1F6FD"/>
            <w:vAlign w:val="center"/>
          </w:tcPr>
          <w:p>
            <w:pPr>
              <w:spacing w:after="20" w:before="0" w:line="269" w:lineRule="auto"/>
            </w:pPr>
            <w:r/>
            <w:r>
              <w:rPr>
                <w:rFonts w:ascii="Meiryo" w:hAnsi="Meiryo" w:eastAsia="Meiryo"/>
                <w:b/>
                <w:color w:val="163A6B"/>
                <w:sz w:val="20"/>
              </w:rPr>
              <w:t>詳細手順</w:t>
            </w:r>
          </w:p>
        </w:tc>
        <w:tc>
          <w:tcPr>
            <w:tcW w:type="dxa" w:w="7824"/>
            <w:vAlign w:val="center"/>
          </w:tcPr>
          <w:p>
            <w:pPr>
              <w:spacing w:after="20" w:before="0" w:line="269" w:lineRule="auto"/>
            </w:pPr>
            <w:r/>
            <w:r>
              <w:rPr>
                <w:rFonts w:ascii="Meiryo" w:hAnsi="Meiryo" w:eastAsia="Meiryo"/>
                <w:b w:val="0"/>
                <w:color w:val="000000"/>
                <w:sz w:val="19"/>
              </w:rPr>
              <w:t>1. 成果物一覧と完了条件一覧を確認する。</w:t>
              <w:br/>
              <w:t>2. 未解決項目を『Phase2 へ持ち越してよいもの / Phase1 で解消必須のもの』に分ける。</w:t>
              <w:br/>
              <w:t>3. 問題なければ、phase1-work-log.md に完了日時、完了判定者、残課題を記載する。</w:t>
              <w:br/>
              <w:t>4. Git 差分を確認し、不要なデバッグコードや実値が混入していないことを確認する。</w:t>
            </w:r>
          </w:p>
        </w:tc>
      </w:tr>
      <w:tr>
        <w:tc>
          <w:tcPr>
            <w:tcW w:type="dxa" w:w="2041"/>
            <w:shd w:fill="F1F6FD"/>
            <w:vAlign w:val="center"/>
          </w:tcPr>
          <w:p>
            <w:pPr>
              <w:spacing w:after="20" w:before="0" w:line="269" w:lineRule="auto"/>
            </w:pPr>
            <w:r/>
            <w:r>
              <w:rPr>
                <w:rFonts w:ascii="Meiryo" w:hAnsi="Meiryo" w:eastAsia="Meiryo"/>
                <w:b/>
                <w:color w:val="163A6B"/>
                <w:sz w:val="20"/>
              </w:rPr>
              <w:t>実行コマンド例</w:t>
            </w:r>
          </w:p>
        </w:tc>
        <w:tc>
          <w:tcPr>
            <w:tcW w:type="dxa" w:w="7824"/>
            <w:vAlign w:val="center"/>
          </w:tcPr>
          <w:p>
            <w:pPr>
              <w:spacing w:after="20" w:before="0" w:line="269" w:lineRule="auto"/>
            </w:pPr>
            <w:r/>
            <w:r>
              <w:rPr>
                <w:rFonts w:ascii="Meiryo" w:hAnsi="Meiryo" w:eastAsia="Meiryo"/>
                <w:b w:val="0"/>
                <w:color w:val="000000"/>
                <w:sz w:val="19"/>
              </w:rPr>
              <w:t>git status</w:t>
              <w:br/>
              <w:t>git diff -- . ':(exclude)build' ':(exclude)dist'</w:t>
            </w:r>
          </w:p>
        </w:tc>
      </w:tr>
      <w:tr>
        <w:tc>
          <w:tcPr>
            <w:tcW w:type="dxa" w:w="2041"/>
            <w:shd w:fill="F1F6FD"/>
            <w:vAlign w:val="center"/>
          </w:tcPr>
          <w:p>
            <w:pPr>
              <w:spacing w:after="20" w:before="0" w:line="269" w:lineRule="auto"/>
            </w:pPr>
            <w:r/>
            <w:r>
              <w:rPr>
                <w:rFonts w:ascii="Meiryo" w:hAnsi="Meiryo" w:eastAsia="Meiryo"/>
                <w:b/>
                <w:color w:val="163A6B"/>
                <w:sz w:val="20"/>
              </w:rPr>
              <w:t>残す成果物</w:t>
            </w:r>
          </w:p>
        </w:tc>
        <w:tc>
          <w:tcPr>
            <w:tcW w:type="dxa" w:w="7824"/>
            <w:vAlign w:val="center"/>
          </w:tcPr>
          <w:p>
            <w:pPr>
              <w:spacing w:after="20" w:before="0" w:line="269" w:lineRule="auto"/>
            </w:pPr>
            <w:r/>
            <w:r>
              <w:rPr>
                <w:rFonts w:ascii="Meiryo" w:hAnsi="Meiryo" w:eastAsia="Meiryo"/>
                <w:b w:val="0"/>
                <w:color w:val="000000"/>
                <w:sz w:val="19"/>
              </w:rPr>
              <w:t>phase1-work-log.md の完了記録</w:t>
            </w:r>
          </w:p>
        </w:tc>
      </w:tr>
      <w:tr>
        <w:tc>
          <w:tcPr>
            <w:tcW w:type="dxa" w:w="2041"/>
            <w:shd w:fill="F1F6FD"/>
            <w:vAlign w:val="center"/>
          </w:tcPr>
          <w:p>
            <w:pPr>
              <w:spacing w:after="20" w:before="0" w:line="269" w:lineRule="auto"/>
            </w:pPr>
            <w:r/>
            <w:r>
              <w:rPr>
                <w:rFonts w:ascii="Meiryo" w:hAnsi="Meiryo" w:eastAsia="Meiryo"/>
                <w:b/>
                <w:color w:val="163A6B"/>
                <w:sz w:val="20"/>
              </w:rPr>
              <w:t>完了条件</w:t>
            </w:r>
          </w:p>
        </w:tc>
        <w:tc>
          <w:tcPr>
            <w:tcW w:type="dxa" w:w="7824"/>
            <w:vAlign w:val="center"/>
          </w:tcPr>
          <w:p>
            <w:pPr>
              <w:spacing w:after="20" w:before="0" w:line="269" w:lineRule="auto"/>
            </w:pPr>
            <w:r/>
            <w:r>
              <w:rPr>
                <w:rFonts w:ascii="Meiryo" w:hAnsi="Meiryo" w:eastAsia="Meiryo"/>
                <w:b w:val="0"/>
                <w:color w:val="000000"/>
                <w:sz w:val="19"/>
              </w:rPr>
              <w:t>Phase2 着手に必要な条件が満たされ、残課題が文書化されていること。</w:t>
            </w:r>
          </w:p>
        </w:tc>
      </w:tr>
    </w:tbl>
    <w:p>
      <w:pPr>
        <w:pStyle w:val="TMBody"/>
      </w:pPr>
    </w:p>
    <w:p>
      <w:r>
        <w:br w:type="page"/>
      </w:r>
    </w:p>
    <w:p>
      <w:pPr>
        <w:pStyle w:val="TMH1"/>
      </w:pPr>
      <w:r>
        <w:t>3. Phase1 完了条件一覧</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907"/>
            <w:shd w:fill="D9E8FB"/>
            <w:vAlign w:val="center"/>
          </w:tcPr>
          <w:p>
            <w:pPr>
              <w:spacing w:after="20" w:before="0" w:line="269" w:lineRule="auto"/>
              <w:jc w:val="center"/>
            </w:pPr>
            <w:r/>
            <w:r>
              <w:rPr>
                <w:rFonts w:ascii="Meiryo" w:hAnsi="Meiryo" w:eastAsia="Meiryo"/>
                <w:b/>
                <w:color w:val="163A6B"/>
                <w:sz w:val="20"/>
              </w:rPr>
              <w:t>No.</w:t>
            </w:r>
          </w:p>
        </w:tc>
        <w:tc>
          <w:tcPr>
            <w:tcW w:type="dxa" w:w="8957"/>
            <w:shd w:fill="D9E8FB"/>
            <w:vAlign w:val="center"/>
          </w:tcPr>
          <w:p>
            <w:pPr>
              <w:spacing w:after="20" w:before="0" w:line="269" w:lineRule="auto"/>
              <w:jc w:val="center"/>
            </w:pPr>
            <w:r/>
            <w:r>
              <w:rPr>
                <w:rFonts w:ascii="Meiryo" w:hAnsi="Meiryo" w:eastAsia="Meiryo"/>
                <w:b/>
                <w:color w:val="163A6B"/>
                <w:sz w:val="20"/>
              </w:rPr>
              <w:t>完了条件</w:t>
            </w:r>
          </w:p>
        </w:tc>
      </w:tr>
      <w:tr>
        <w:tc>
          <w:tcPr>
            <w:tcW w:type="dxa" w:w="907"/>
            <w:vAlign w:val="center"/>
          </w:tcPr>
          <w:p>
            <w:pPr>
              <w:spacing w:after="20" w:before="0" w:line="269" w:lineRule="auto"/>
              <w:jc w:val="center"/>
            </w:pPr>
            <w:r/>
            <w:r>
              <w:rPr>
                <w:rFonts w:ascii="Meiryo" w:hAnsi="Meiryo" w:eastAsia="Meiryo"/>
                <w:b w:val="0"/>
                <w:color w:val="000000"/>
                <w:sz w:val="21"/>
              </w:rPr>
              <w:t>1</w:t>
            </w:r>
          </w:p>
        </w:tc>
        <w:tc>
          <w:tcPr>
            <w:tcW w:type="dxa" w:w="8957"/>
            <w:vAlign w:val="center"/>
          </w:tcPr>
          <w:p>
            <w:pPr>
              <w:spacing w:after="20" w:before="0" w:line="269" w:lineRule="auto"/>
            </w:pPr>
            <w:r/>
            <w:r>
              <w:rPr>
                <w:rFonts w:ascii="Meiryo" w:hAnsi="Meiryo" w:eastAsia="Meiryo"/>
                <w:b w:val="0"/>
                <w:color w:val="000000"/>
                <w:sz w:val="21"/>
              </w:rPr>
              <w:t>application.yml / application-local.yml / application-prod.yml の役割が分離されている。</w:t>
            </w:r>
          </w:p>
        </w:tc>
      </w:tr>
      <w:tr>
        <w:tc>
          <w:tcPr>
            <w:tcW w:type="dxa" w:w="907"/>
            <w:vAlign w:val="center"/>
          </w:tcPr>
          <w:p>
            <w:pPr>
              <w:spacing w:after="20" w:before="0" w:line="269" w:lineRule="auto"/>
              <w:jc w:val="center"/>
            </w:pPr>
            <w:r/>
            <w:r>
              <w:rPr>
                <w:rFonts w:ascii="Meiryo" w:hAnsi="Meiryo" w:eastAsia="Meiryo"/>
                <w:b w:val="0"/>
                <w:color w:val="000000"/>
                <w:sz w:val="21"/>
              </w:rPr>
              <w:t>2</w:t>
            </w:r>
          </w:p>
        </w:tc>
        <w:tc>
          <w:tcPr>
            <w:tcW w:type="dxa" w:w="8957"/>
            <w:vAlign w:val="center"/>
          </w:tcPr>
          <w:p>
            <w:pPr>
              <w:spacing w:after="20" w:before="0" w:line="269" w:lineRule="auto"/>
            </w:pPr>
            <w:r/>
            <w:r>
              <w:rPr>
                <w:rFonts w:ascii="Meiryo" w:hAnsi="Meiryo" w:eastAsia="Meiryo"/>
                <w:b w:val="0"/>
                <w:color w:val="000000"/>
                <w:sz w:val="21"/>
              </w:rPr>
              <w:t>DB・JWT・CORS・添付ファイル関連の環境変数一覧が文書化されている。</w:t>
            </w:r>
          </w:p>
        </w:tc>
      </w:tr>
      <w:tr>
        <w:tc>
          <w:tcPr>
            <w:tcW w:type="dxa" w:w="907"/>
            <w:vAlign w:val="center"/>
          </w:tcPr>
          <w:p>
            <w:pPr>
              <w:spacing w:after="20" w:before="0" w:line="269" w:lineRule="auto"/>
              <w:jc w:val="center"/>
            </w:pPr>
            <w:r/>
            <w:r>
              <w:rPr>
                <w:rFonts w:ascii="Meiryo" w:hAnsi="Meiryo" w:eastAsia="Meiryo"/>
                <w:b w:val="0"/>
                <w:color w:val="000000"/>
                <w:sz w:val="21"/>
              </w:rPr>
              <w:t>3</w:t>
            </w:r>
          </w:p>
        </w:tc>
        <w:tc>
          <w:tcPr>
            <w:tcW w:type="dxa" w:w="8957"/>
            <w:vAlign w:val="center"/>
          </w:tcPr>
          <w:p>
            <w:pPr>
              <w:spacing w:after="20" w:before="0" w:line="269" w:lineRule="auto"/>
            </w:pPr>
            <w:r/>
            <w:r>
              <w:rPr>
                <w:rFonts w:ascii="Meiryo" w:hAnsi="Meiryo" w:eastAsia="Meiryo"/>
                <w:b w:val="0"/>
                <w:color w:val="000000"/>
                <w:sz w:val="21"/>
              </w:rPr>
              <w:t>Spring Boot が local / prod 相当で起動確認できている。</w:t>
            </w:r>
          </w:p>
        </w:tc>
      </w:tr>
      <w:tr>
        <w:tc>
          <w:tcPr>
            <w:tcW w:type="dxa" w:w="907"/>
            <w:vAlign w:val="center"/>
          </w:tcPr>
          <w:p>
            <w:pPr>
              <w:spacing w:after="20" w:before="0" w:line="269" w:lineRule="auto"/>
              <w:jc w:val="center"/>
            </w:pPr>
            <w:r/>
            <w:r>
              <w:rPr>
                <w:rFonts w:ascii="Meiryo" w:hAnsi="Meiryo" w:eastAsia="Meiryo"/>
                <w:b w:val="0"/>
                <w:color w:val="000000"/>
                <w:sz w:val="21"/>
              </w:rPr>
              <w:t>4</w:t>
            </w:r>
          </w:p>
        </w:tc>
        <w:tc>
          <w:tcPr>
            <w:tcW w:type="dxa" w:w="8957"/>
            <w:vAlign w:val="center"/>
          </w:tcPr>
          <w:p>
            <w:pPr>
              <w:spacing w:after="20" w:before="0" w:line="269" w:lineRule="auto"/>
            </w:pPr>
            <w:r/>
            <w:r>
              <w:rPr>
                <w:rFonts w:ascii="Meiryo" w:hAnsi="Meiryo" w:eastAsia="Meiryo"/>
                <w:b w:val="0"/>
                <w:color w:val="000000"/>
                <w:sz w:val="21"/>
              </w:rPr>
              <w:t>フロントが .env.local / .env.production を使って API URL を切り替えられる。</w:t>
            </w:r>
          </w:p>
        </w:tc>
      </w:tr>
      <w:tr>
        <w:tc>
          <w:tcPr>
            <w:tcW w:type="dxa" w:w="907"/>
            <w:vAlign w:val="center"/>
          </w:tcPr>
          <w:p>
            <w:pPr>
              <w:spacing w:after="20" w:before="0" w:line="269" w:lineRule="auto"/>
              <w:jc w:val="center"/>
            </w:pPr>
            <w:r/>
            <w:r>
              <w:rPr>
                <w:rFonts w:ascii="Meiryo" w:hAnsi="Meiryo" w:eastAsia="Meiryo"/>
                <w:b w:val="0"/>
                <w:color w:val="000000"/>
                <w:sz w:val="21"/>
              </w:rPr>
              <w:t>5</w:t>
            </w:r>
          </w:p>
        </w:tc>
        <w:tc>
          <w:tcPr>
            <w:tcW w:type="dxa" w:w="8957"/>
            <w:vAlign w:val="center"/>
          </w:tcPr>
          <w:p>
            <w:pPr>
              <w:spacing w:after="20" w:before="0" w:line="269" w:lineRule="auto"/>
            </w:pPr>
            <w:r/>
            <w:r>
              <w:rPr>
                <w:rFonts w:ascii="Meiryo" w:hAnsi="Meiryo" w:eastAsia="Meiryo"/>
                <w:b w:val="0"/>
                <w:color w:val="000000"/>
                <w:sz w:val="21"/>
              </w:rPr>
              <w:t>本番 build 生成物内に localhost 等の不要URLが残っていない。</w:t>
            </w:r>
          </w:p>
        </w:tc>
      </w:tr>
      <w:tr>
        <w:tc>
          <w:tcPr>
            <w:tcW w:type="dxa" w:w="907"/>
            <w:vAlign w:val="center"/>
          </w:tcPr>
          <w:p>
            <w:pPr>
              <w:spacing w:after="20" w:before="0" w:line="269" w:lineRule="auto"/>
              <w:jc w:val="center"/>
            </w:pPr>
            <w:r/>
            <w:r>
              <w:rPr>
                <w:rFonts w:ascii="Meiryo" w:hAnsi="Meiryo" w:eastAsia="Meiryo"/>
                <w:b w:val="0"/>
                <w:color w:val="000000"/>
                <w:sz w:val="21"/>
              </w:rPr>
              <w:t>6</w:t>
            </w:r>
          </w:p>
        </w:tc>
        <w:tc>
          <w:tcPr>
            <w:tcW w:type="dxa" w:w="8957"/>
            <w:vAlign w:val="center"/>
          </w:tcPr>
          <w:p>
            <w:pPr>
              <w:spacing w:after="20" w:before="0" w:line="269" w:lineRule="auto"/>
            </w:pPr>
            <w:r/>
            <w:r>
              <w:rPr>
                <w:rFonts w:ascii="Meiryo" w:hAnsi="Meiryo" w:eastAsia="Meiryo"/>
                <w:b w:val="0"/>
                <w:color w:val="000000"/>
                <w:sz w:val="21"/>
              </w:rPr>
              <w:t>添付ファイル機能の本番方針が A / B / C のいずれかで決定されている。</w:t>
            </w:r>
          </w:p>
        </w:tc>
      </w:tr>
      <w:tr>
        <w:tc>
          <w:tcPr>
            <w:tcW w:type="dxa" w:w="907"/>
            <w:vAlign w:val="center"/>
          </w:tcPr>
          <w:p>
            <w:pPr>
              <w:spacing w:after="20" w:before="0" w:line="269" w:lineRule="auto"/>
              <w:jc w:val="center"/>
            </w:pPr>
            <w:r/>
            <w:r>
              <w:rPr>
                <w:rFonts w:ascii="Meiryo" w:hAnsi="Meiryo" w:eastAsia="Meiryo"/>
                <w:b w:val="0"/>
                <w:color w:val="000000"/>
                <w:sz w:val="21"/>
              </w:rPr>
              <w:t>7</w:t>
            </w:r>
          </w:p>
        </w:tc>
        <w:tc>
          <w:tcPr>
            <w:tcW w:type="dxa" w:w="8957"/>
            <w:vAlign w:val="center"/>
          </w:tcPr>
          <w:p>
            <w:pPr>
              <w:spacing w:after="20" w:before="0" w:line="269" w:lineRule="auto"/>
            </w:pPr>
            <w:r/>
            <w:r>
              <w:rPr>
                <w:rFonts w:ascii="Meiryo" w:hAnsi="Meiryo" w:eastAsia="Meiryo"/>
                <w:b w:val="0"/>
                <w:color w:val="000000"/>
                <w:sz w:val="21"/>
              </w:rPr>
              <w:t>backend / frontend の clean build が成功している。</w:t>
            </w:r>
          </w:p>
        </w:tc>
      </w:tr>
    </w:tbl>
    <w:p>
      <w:pPr>
        <w:pStyle w:val="TMH1"/>
      </w:pPr>
      <w:r>
        <w:t>4. Phase1 で残す成果物一覧</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288"/>
            <w:shd w:fill="D9E8FB"/>
            <w:vAlign w:val="center"/>
          </w:tcPr>
          <w:p>
            <w:pPr>
              <w:spacing w:after="20" w:before="0" w:line="269" w:lineRule="auto"/>
              <w:jc w:val="center"/>
            </w:pPr>
            <w:r/>
            <w:r>
              <w:rPr>
                <w:rFonts w:ascii="Meiryo" w:hAnsi="Meiryo" w:eastAsia="Meiryo"/>
                <w:b/>
                <w:color w:val="163A6B"/>
                <w:sz w:val="20"/>
              </w:rPr>
              <w:t>成果物ファイル例</w:t>
            </w:r>
          </w:p>
        </w:tc>
        <w:tc>
          <w:tcPr>
            <w:tcW w:type="dxa" w:w="6576"/>
            <w:shd w:fill="D9E8FB"/>
            <w:vAlign w:val="center"/>
          </w:tcPr>
          <w:p>
            <w:pPr>
              <w:spacing w:after="20" w:before="0" w:line="269" w:lineRule="auto"/>
              <w:jc w:val="center"/>
            </w:pPr>
            <w:r/>
            <w:r>
              <w:rPr>
                <w:rFonts w:ascii="Meiryo" w:hAnsi="Meiryo" w:eastAsia="Meiryo"/>
                <w:b/>
                <w:color w:val="163A6B"/>
                <w:sz w:val="20"/>
              </w:rPr>
              <w:t>内容</w:t>
            </w:r>
          </w:p>
        </w:tc>
      </w:tr>
      <w:tr>
        <w:tc>
          <w:tcPr>
            <w:tcW w:type="dxa" w:w="3288"/>
            <w:vAlign w:val="center"/>
          </w:tcPr>
          <w:p>
            <w:pPr>
              <w:spacing w:after="20" w:before="0" w:line="269" w:lineRule="auto"/>
            </w:pPr>
            <w:r/>
            <w:r>
              <w:rPr>
                <w:rFonts w:ascii="Meiryo" w:hAnsi="Meiryo" w:eastAsia="Meiryo"/>
                <w:b w:val="0"/>
                <w:color w:val="000000"/>
                <w:sz w:val="19"/>
              </w:rPr>
              <w:t>phase1-work-log.md</w:t>
            </w:r>
          </w:p>
        </w:tc>
        <w:tc>
          <w:tcPr>
            <w:tcW w:type="dxa" w:w="6576"/>
            <w:vAlign w:val="center"/>
          </w:tcPr>
          <w:p>
            <w:pPr>
              <w:spacing w:after="20" w:before="0" w:line="269" w:lineRule="auto"/>
            </w:pPr>
            <w:r/>
            <w:r>
              <w:rPr>
                <w:rFonts w:ascii="Meiryo" w:hAnsi="Meiryo" w:eastAsia="Meiryo"/>
                <w:b w:val="0"/>
                <w:color w:val="000000"/>
                <w:sz w:val="19"/>
              </w:rPr>
              <w:t>作業開始・完了日時、担当者、コミットID、残課題</w:t>
            </w:r>
          </w:p>
        </w:tc>
      </w:tr>
      <w:tr>
        <w:tc>
          <w:tcPr>
            <w:tcW w:type="dxa" w:w="3288"/>
            <w:vAlign w:val="center"/>
          </w:tcPr>
          <w:p>
            <w:pPr>
              <w:spacing w:after="20" w:before="0" w:line="269" w:lineRule="auto"/>
            </w:pPr>
            <w:r/>
            <w:r>
              <w:rPr>
                <w:rFonts w:ascii="Meiryo" w:hAnsi="Meiryo" w:eastAsia="Meiryo"/>
                <w:b w:val="0"/>
                <w:color w:val="000000"/>
                <w:sz w:val="19"/>
              </w:rPr>
              <w:t>01_backend_config_inventory.md</w:t>
            </w:r>
          </w:p>
        </w:tc>
        <w:tc>
          <w:tcPr>
            <w:tcW w:type="dxa" w:w="6576"/>
            <w:vAlign w:val="center"/>
          </w:tcPr>
          <w:p>
            <w:pPr>
              <w:spacing w:after="20" w:before="0" w:line="269" w:lineRule="auto"/>
            </w:pPr>
            <w:r/>
            <w:r>
              <w:rPr>
                <w:rFonts w:ascii="Meiryo" w:hAnsi="Meiryo" w:eastAsia="Meiryo"/>
                <w:b w:val="0"/>
                <w:color w:val="000000"/>
                <w:sz w:val="19"/>
              </w:rPr>
              <w:t>バックエンド設定の棚卸し</w:t>
            </w:r>
          </w:p>
        </w:tc>
      </w:tr>
      <w:tr>
        <w:tc>
          <w:tcPr>
            <w:tcW w:type="dxa" w:w="3288"/>
            <w:vAlign w:val="center"/>
          </w:tcPr>
          <w:p>
            <w:pPr>
              <w:spacing w:after="20" w:before="0" w:line="269" w:lineRule="auto"/>
            </w:pPr>
            <w:r/>
            <w:r>
              <w:rPr>
                <w:rFonts w:ascii="Meiryo" w:hAnsi="Meiryo" w:eastAsia="Meiryo"/>
                <w:b w:val="0"/>
                <w:color w:val="000000"/>
                <w:sz w:val="19"/>
              </w:rPr>
              <w:t>02_backend_profile_design.md</w:t>
            </w:r>
          </w:p>
        </w:tc>
        <w:tc>
          <w:tcPr>
            <w:tcW w:type="dxa" w:w="6576"/>
            <w:vAlign w:val="center"/>
          </w:tcPr>
          <w:p>
            <w:pPr>
              <w:spacing w:after="20" w:before="0" w:line="269" w:lineRule="auto"/>
            </w:pPr>
            <w:r/>
            <w:r>
              <w:rPr>
                <w:rFonts w:ascii="Meiryo" w:hAnsi="Meiryo" w:eastAsia="Meiryo"/>
                <w:b w:val="0"/>
                <w:color w:val="000000"/>
                <w:sz w:val="19"/>
              </w:rPr>
              <w:t>共通 / local / prod の役割分担表</w:t>
            </w:r>
          </w:p>
        </w:tc>
      </w:tr>
      <w:tr>
        <w:tc>
          <w:tcPr>
            <w:tcW w:type="dxa" w:w="3288"/>
            <w:vAlign w:val="center"/>
          </w:tcPr>
          <w:p>
            <w:pPr>
              <w:spacing w:after="20" w:before="0" w:line="269" w:lineRule="auto"/>
            </w:pPr>
            <w:r/>
            <w:r>
              <w:rPr>
                <w:rFonts w:ascii="Meiryo" w:hAnsi="Meiryo" w:eastAsia="Meiryo"/>
                <w:b w:val="0"/>
                <w:color w:val="000000"/>
                <w:sz w:val="19"/>
              </w:rPr>
              <w:t>03_backend_env_vars.md</w:t>
            </w:r>
          </w:p>
        </w:tc>
        <w:tc>
          <w:tcPr>
            <w:tcW w:type="dxa" w:w="6576"/>
            <w:vAlign w:val="center"/>
          </w:tcPr>
          <w:p>
            <w:pPr>
              <w:spacing w:after="20" w:before="0" w:line="269" w:lineRule="auto"/>
            </w:pPr>
            <w:r/>
            <w:r>
              <w:rPr>
                <w:rFonts w:ascii="Meiryo" w:hAnsi="Meiryo" w:eastAsia="Meiryo"/>
                <w:b w:val="0"/>
                <w:color w:val="000000"/>
                <w:sz w:val="19"/>
              </w:rPr>
              <w:t>本番で投入する環境変数一覧</w:t>
            </w:r>
          </w:p>
        </w:tc>
      </w:tr>
      <w:tr>
        <w:tc>
          <w:tcPr>
            <w:tcW w:type="dxa" w:w="3288"/>
            <w:vAlign w:val="center"/>
          </w:tcPr>
          <w:p>
            <w:pPr>
              <w:spacing w:after="20" w:before="0" w:line="269" w:lineRule="auto"/>
            </w:pPr>
            <w:r/>
            <w:r>
              <w:rPr>
                <w:rFonts w:ascii="Meiryo" w:hAnsi="Meiryo" w:eastAsia="Meiryo"/>
                <w:b w:val="0"/>
                <w:color w:val="000000"/>
                <w:sz w:val="19"/>
              </w:rPr>
              <w:t>04_cors_policy.md</w:t>
            </w:r>
          </w:p>
        </w:tc>
        <w:tc>
          <w:tcPr>
            <w:tcW w:type="dxa" w:w="6576"/>
            <w:vAlign w:val="center"/>
          </w:tcPr>
          <w:p>
            <w:pPr>
              <w:spacing w:after="20" w:before="0" w:line="269" w:lineRule="auto"/>
            </w:pPr>
            <w:r/>
            <w:r>
              <w:rPr>
                <w:rFonts w:ascii="Meiryo" w:hAnsi="Meiryo" w:eastAsia="Meiryo"/>
                <w:b w:val="0"/>
                <w:color w:val="000000"/>
                <w:sz w:val="19"/>
              </w:rPr>
              <w:t>許可Origin方針</w:t>
            </w:r>
          </w:p>
        </w:tc>
      </w:tr>
      <w:tr>
        <w:tc>
          <w:tcPr>
            <w:tcW w:type="dxa" w:w="3288"/>
            <w:vAlign w:val="center"/>
          </w:tcPr>
          <w:p>
            <w:pPr>
              <w:spacing w:after="20" w:before="0" w:line="269" w:lineRule="auto"/>
            </w:pPr>
            <w:r/>
            <w:r>
              <w:rPr>
                <w:rFonts w:ascii="Meiryo" w:hAnsi="Meiryo" w:eastAsia="Meiryo"/>
                <w:b w:val="0"/>
                <w:color w:val="000000"/>
                <w:sz w:val="19"/>
              </w:rPr>
              <w:t>05_backend_profile_startup_result.md</w:t>
            </w:r>
          </w:p>
        </w:tc>
        <w:tc>
          <w:tcPr>
            <w:tcW w:type="dxa" w:w="6576"/>
            <w:vAlign w:val="center"/>
          </w:tcPr>
          <w:p>
            <w:pPr>
              <w:spacing w:after="20" w:before="0" w:line="269" w:lineRule="auto"/>
            </w:pPr>
            <w:r/>
            <w:r>
              <w:rPr>
                <w:rFonts w:ascii="Meiryo" w:hAnsi="Meiryo" w:eastAsia="Meiryo"/>
                <w:b w:val="0"/>
                <w:color w:val="000000"/>
                <w:sz w:val="19"/>
              </w:rPr>
              <w:t>local / prod 相当起動確認結果</w:t>
            </w:r>
          </w:p>
        </w:tc>
      </w:tr>
      <w:tr>
        <w:tc>
          <w:tcPr>
            <w:tcW w:type="dxa" w:w="3288"/>
            <w:vAlign w:val="center"/>
          </w:tcPr>
          <w:p>
            <w:pPr>
              <w:spacing w:after="20" w:before="0" w:line="269" w:lineRule="auto"/>
            </w:pPr>
            <w:r/>
            <w:r>
              <w:rPr>
                <w:rFonts w:ascii="Meiryo" w:hAnsi="Meiryo" w:eastAsia="Meiryo"/>
                <w:b w:val="0"/>
                <w:color w:val="000000"/>
                <w:sz w:val="19"/>
              </w:rPr>
              <w:t>06_frontend_env_inventory.md</w:t>
            </w:r>
          </w:p>
        </w:tc>
        <w:tc>
          <w:tcPr>
            <w:tcW w:type="dxa" w:w="6576"/>
            <w:vAlign w:val="center"/>
          </w:tcPr>
          <w:p>
            <w:pPr>
              <w:spacing w:after="20" w:before="0" w:line="269" w:lineRule="auto"/>
            </w:pPr>
            <w:r/>
            <w:r>
              <w:rPr>
                <w:rFonts w:ascii="Meiryo" w:hAnsi="Meiryo" w:eastAsia="Meiryo"/>
                <w:b w:val="0"/>
                <w:color w:val="000000"/>
                <w:sz w:val="19"/>
              </w:rPr>
              <w:t>フロント環境依存値一覧</w:t>
            </w:r>
          </w:p>
        </w:tc>
      </w:tr>
      <w:tr>
        <w:tc>
          <w:tcPr>
            <w:tcW w:type="dxa" w:w="3288"/>
            <w:vAlign w:val="center"/>
          </w:tcPr>
          <w:p>
            <w:pPr>
              <w:spacing w:after="20" w:before="0" w:line="269" w:lineRule="auto"/>
            </w:pPr>
            <w:r/>
            <w:r>
              <w:rPr>
                <w:rFonts w:ascii="Meiryo" w:hAnsi="Meiryo" w:eastAsia="Meiryo"/>
                <w:b w:val="0"/>
                <w:color w:val="000000"/>
                <w:sz w:val="19"/>
              </w:rPr>
              <w:t>08_frontend_build_check.md</w:t>
            </w:r>
          </w:p>
        </w:tc>
        <w:tc>
          <w:tcPr>
            <w:tcW w:type="dxa" w:w="6576"/>
            <w:vAlign w:val="center"/>
          </w:tcPr>
          <w:p>
            <w:pPr>
              <w:spacing w:after="20" w:before="0" w:line="269" w:lineRule="auto"/>
            </w:pPr>
            <w:r/>
            <w:r>
              <w:rPr>
                <w:rFonts w:ascii="Meiryo" w:hAnsi="Meiryo" w:eastAsia="Meiryo"/>
                <w:b w:val="0"/>
                <w:color w:val="000000"/>
                <w:sz w:val="19"/>
              </w:rPr>
              <w:t>フロント build と URL 確認結果</w:t>
            </w:r>
          </w:p>
        </w:tc>
      </w:tr>
      <w:tr>
        <w:tc>
          <w:tcPr>
            <w:tcW w:type="dxa" w:w="3288"/>
            <w:vAlign w:val="center"/>
          </w:tcPr>
          <w:p>
            <w:pPr>
              <w:spacing w:after="20" w:before="0" w:line="269" w:lineRule="auto"/>
            </w:pPr>
            <w:r/>
            <w:r>
              <w:rPr>
                <w:rFonts w:ascii="Meiryo" w:hAnsi="Meiryo" w:eastAsia="Meiryo"/>
                <w:b w:val="0"/>
                <w:color w:val="000000"/>
                <w:sz w:val="19"/>
              </w:rPr>
              <w:t>10_attachment_strategy_decision.md</w:t>
            </w:r>
          </w:p>
        </w:tc>
        <w:tc>
          <w:tcPr>
            <w:tcW w:type="dxa" w:w="6576"/>
            <w:vAlign w:val="center"/>
          </w:tcPr>
          <w:p>
            <w:pPr>
              <w:spacing w:after="20" w:before="0" w:line="269" w:lineRule="auto"/>
            </w:pPr>
            <w:r/>
            <w:r>
              <w:rPr>
                <w:rFonts w:ascii="Meiryo" w:hAnsi="Meiryo" w:eastAsia="Meiryo"/>
                <w:b w:val="0"/>
                <w:color w:val="000000"/>
                <w:sz w:val="19"/>
              </w:rPr>
              <w:t>添付ファイル本番方針</w:t>
            </w:r>
          </w:p>
        </w:tc>
      </w:tr>
      <w:tr>
        <w:tc>
          <w:tcPr>
            <w:tcW w:type="dxa" w:w="3288"/>
            <w:vAlign w:val="center"/>
          </w:tcPr>
          <w:p>
            <w:pPr>
              <w:spacing w:after="20" w:before="0" w:line="269" w:lineRule="auto"/>
            </w:pPr>
            <w:r/>
            <w:r>
              <w:rPr>
                <w:rFonts w:ascii="Meiryo" w:hAnsi="Meiryo" w:eastAsia="Meiryo"/>
                <w:b w:val="0"/>
                <w:color w:val="000000"/>
                <w:sz w:val="19"/>
              </w:rPr>
              <w:t>12_backend_build_result.md / 13_frontend_build_result.md</w:t>
            </w:r>
          </w:p>
        </w:tc>
        <w:tc>
          <w:tcPr>
            <w:tcW w:type="dxa" w:w="6576"/>
            <w:vAlign w:val="center"/>
          </w:tcPr>
          <w:p>
            <w:pPr>
              <w:spacing w:after="20" w:before="0" w:line="269" w:lineRule="auto"/>
            </w:pPr>
            <w:r/>
            <w:r>
              <w:rPr>
                <w:rFonts w:ascii="Meiryo" w:hAnsi="Meiryo" w:eastAsia="Meiryo"/>
                <w:b w:val="0"/>
                <w:color w:val="000000"/>
                <w:sz w:val="19"/>
              </w:rPr>
              <w:t>clean build 実行結果</w:t>
            </w:r>
          </w:p>
        </w:tc>
      </w:tr>
    </w:tbl>
    <w:p>
      <w:pPr>
        <w:pStyle w:val="TMH1"/>
      </w:pPr>
      <w:r>
        <w:t>付録A. 代表コマンド集</w:t>
      </w:r>
    </w:p>
    <w:p>
      <w:pPr>
        <w:pStyle w:val="TMBody"/>
      </w:pPr>
      <w:r>
        <w:rPr>
          <w:rFonts w:ascii="Consolas" w:hAnsi="Consolas" w:eastAsia="Consolas"/>
          <w:sz w:val="18"/>
        </w:rPr>
        <w:t>git checkout -b feature/aws-deploy-phase1</w:t>
      </w:r>
    </w:p>
    <w:p>
      <w:pPr>
        <w:pStyle w:val="TMBody"/>
      </w:pPr>
      <w:r>
        <w:rPr>
          <w:rFonts w:ascii="Consolas" w:hAnsi="Consolas" w:eastAsia="Consolas"/>
          <w:sz w:val="18"/>
        </w:rPr>
        <w:t>find backend/src/main/resources -maxdepth 2 -type f | sort</w:t>
      </w:r>
    </w:p>
    <w:p>
      <w:pPr>
        <w:pStyle w:val="TMBody"/>
      </w:pPr>
      <w:r>
        <w:rPr>
          <w:rFonts w:ascii="Consolas" w:hAnsi="Consolas" w:eastAsia="Consolas"/>
          <w:sz w:val="18"/>
        </w:rPr>
        <w:t>grep -RIn "datasource\|jwt\|cors\|upload\|file\|s3" backend/src/main/resources backend/src/main/java || true</w:t>
      </w:r>
    </w:p>
    <w:p>
      <w:pPr>
        <w:pStyle w:val="TMBody"/>
      </w:pPr>
      <w:r>
        <w:rPr>
          <w:rFonts w:ascii="Consolas" w:hAnsi="Consolas" w:eastAsia="Consolas"/>
          <w:sz w:val="18"/>
        </w:rPr>
        <w:t>SPRING_PROFILES_ACTIVE=local ./gradlew bootRun</w:t>
      </w:r>
    </w:p>
    <w:p>
      <w:pPr>
        <w:pStyle w:val="TMBody"/>
      </w:pPr>
      <w:r>
        <w:rPr>
          <w:rFonts w:ascii="Consolas" w:hAnsi="Consolas" w:eastAsia="Consolas"/>
          <w:sz w:val="18"/>
        </w:rPr>
        <w:t>SPRING_PROFILES_ACTIVE=prod DB_URL=dummy DB_USERNAME=dummy DB_PASSWORD=dummy JWT_SECRET=dummy CORS_ALLOWED_ORIGINS=http://example.com ./gradlew bootRun</w:t>
      </w:r>
    </w:p>
    <w:p>
      <w:pPr>
        <w:pStyle w:val="TMBody"/>
      </w:pPr>
      <w:r>
        <w:rPr>
          <w:rFonts w:ascii="Consolas" w:hAnsi="Consolas" w:eastAsia="Consolas"/>
          <w:sz w:val="18"/>
        </w:rPr>
        <w:t>grep -RIn "import.meta.env\|process.env\|http://\|https://" frontend/src frontend || true</w:t>
      </w:r>
    </w:p>
    <w:p>
      <w:pPr>
        <w:pStyle w:val="TMBody"/>
      </w:pPr>
      <w:r>
        <w:rPr>
          <w:rFonts w:ascii="Consolas" w:hAnsi="Consolas" w:eastAsia="Consolas"/>
          <w:sz w:val="18"/>
        </w:rPr>
        <w:t>npm run build</w:t>
      </w:r>
    </w:p>
    <w:p>
      <w:pPr>
        <w:pStyle w:val="TMBody"/>
      </w:pPr>
      <w:r>
        <w:rPr>
          <w:rFonts w:ascii="Consolas" w:hAnsi="Consolas" w:eastAsia="Consolas"/>
          <w:sz w:val="18"/>
        </w:rPr>
        <w:t>grep -RIn "localhost\|127.0.0.1" frontend/dist || true</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color w:val="666666"/>
        <w:sz w:val="16"/>
      </w:rPr>
      <w:t>Phase1 / 本番対応準備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color w:val="666666"/>
        <w:sz w:val="16"/>
      </w:rPr>
      <w:t>タスク管理アプリ AWSデプロイ Phase1 詳細作業手順書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Title">
    <w:name w:val="TM Title"/>
    <w:pPr>
      <w:spacing w:after="200" w:line="300" w:lineRule="auto"/>
    </w:pPr>
    <w:rPr>
      <w:rFonts w:ascii="Meiryo" w:hAnsi="Meiryo" w:eastAsia="Meiryo"/>
      <w:b/>
      <w:color w:val="163A6B"/>
      <w:sz w:val="48"/>
    </w:rPr>
  </w:style>
  <w:style w:type="paragraph" w:customStyle="1" w:styleId="TMSubtitle">
    <w:name w:val="TM Subtitle"/>
    <w:pPr>
      <w:spacing w:after="120" w:line="300" w:lineRule="auto"/>
    </w:pPr>
    <w:rPr>
      <w:rFonts w:ascii="Meiryo" w:hAnsi="Meiryo" w:eastAsia="Meiryo"/>
      <w:b w:val="0"/>
      <w:color w:val="555555"/>
      <w:sz w:val="21"/>
    </w:rPr>
  </w:style>
  <w:style w:type="paragraph" w:customStyle="1" w:styleId="TMH1">
    <w:name w:val="TM H1"/>
    <w:pPr>
      <w:spacing w:after="120" w:line="300" w:lineRule="auto"/>
    </w:pPr>
    <w:rPr>
      <w:rFonts w:ascii="Meiryo" w:hAnsi="Meiryo" w:eastAsia="Meiryo"/>
      <w:b/>
      <w:color w:val="163A6B"/>
      <w:sz w:val="30"/>
    </w:rPr>
  </w:style>
  <w:style w:type="paragraph" w:customStyle="1" w:styleId="TMH2">
    <w:name w:val="TM H2"/>
    <w:pPr>
      <w:spacing w:after="80" w:line="300" w:lineRule="auto"/>
    </w:pPr>
    <w:rPr>
      <w:rFonts w:ascii="Meiryo" w:hAnsi="Meiryo" w:eastAsia="Meiryo"/>
      <w:b/>
      <w:color w:val="1F4E79"/>
      <w:sz w:val="25"/>
    </w:rPr>
  </w:style>
  <w:style w:type="paragraph" w:customStyle="1" w:styleId="TMH3">
    <w:name w:val="TM H3"/>
    <w:pPr>
      <w:spacing w:after="40" w:line="300" w:lineRule="auto"/>
    </w:pPr>
    <w:rPr>
      <w:rFonts w:ascii="Meiryo" w:hAnsi="Meiryo" w:eastAsia="Meiryo"/>
      <w:b/>
      <w:color w:val="333333"/>
      <w:sz w:val="23"/>
    </w:rPr>
  </w:style>
  <w:style w:type="paragraph" w:customStyle="1" w:styleId="TMBody">
    <w:name w:val="TM Body"/>
    <w:pPr>
      <w:spacing w:after="80" w:line="300" w:lineRule="auto"/>
    </w:pPr>
    <w:rPr>
      <w:rFonts w:ascii="Meiryo" w:hAnsi="Meiryo" w:eastAsia="Meiryo"/>
      <w:b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