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804B" w14:textId="77777777" w:rsidR="00B766D7" w:rsidRPr="00B766D7" w:rsidRDefault="00B766D7" w:rsidP="00B766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66D7">
        <w:rPr>
          <w:rFonts w:ascii="Times New Roman" w:hAnsi="Times New Roman" w:cs="Times New Roman"/>
          <w:b/>
          <w:bCs/>
          <w:sz w:val="32"/>
          <w:szCs w:val="32"/>
        </w:rPr>
        <w:t>Анализ научных публикаций</w:t>
      </w:r>
    </w:p>
    <w:p w14:paraId="5E20BA13" w14:textId="77777777" w:rsidR="00B766D7" w:rsidRPr="00B766D7" w:rsidRDefault="00B766D7" w:rsidP="00B76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Статья 1: </w:t>
      </w:r>
      <w:proofErr w:type="spellStart"/>
      <w:r w:rsidRPr="00B766D7">
        <w:rPr>
          <w:rFonts w:ascii="Times New Roman" w:hAnsi="Times New Roman" w:cs="Times New Roman"/>
          <w:b/>
          <w:bCs/>
          <w:sz w:val="28"/>
          <w:szCs w:val="28"/>
        </w:rPr>
        <w:t>Гарате</w:t>
      </w:r>
      <w:proofErr w:type="spellEnd"/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 Гонзалес В. «Применение передовой методологии безопасности в беспроводных сетях»</w:t>
      </w:r>
    </w:p>
    <w:p w14:paraId="288F5C6C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1) Цель</w:t>
      </w:r>
      <w:r w:rsidRPr="00B766D7">
        <w:rPr>
          <w:rFonts w:ascii="Times New Roman" w:hAnsi="Times New Roman" w:cs="Times New Roman"/>
          <w:sz w:val="28"/>
          <w:szCs w:val="28"/>
        </w:rPr>
        <w:br/>
        <w:t>Предложить методологию улучшения безопасности беспроводных сетей на основе цикла непрерывного совершенствования (PDCA) и отраслевых стандартов. Автор пишет: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«Предложена методология по улучшению безопасности беспроводных сетей, сформированная на основе методологии непрерывного совершенствования и практического опыта в данной отрасли с целью обеспечения высокого уровня безопасности при проектировании и развертывании беспроводных сетей»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1ED955D5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2) Актуальность</w:t>
      </w:r>
      <w:r w:rsidRPr="00B766D7">
        <w:rPr>
          <w:rFonts w:ascii="Times New Roman" w:hAnsi="Times New Roman" w:cs="Times New Roman"/>
          <w:sz w:val="28"/>
          <w:szCs w:val="28"/>
        </w:rPr>
        <w:br/>
        <w:t>Обоснована повсеместным использованием WLAN в стандарте 802.11, ростом угроз и отсутствием должных политик безопасности. Автор указывает: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«Отсутствие учета требований безопасности при внедрении беспроводной технологии WLAN в локальной сети привело к проблемам безопасности, которые влияют не только на технологию WLAN, но и на проводную локальную сеть»</w:t>
      </w:r>
      <w:r w:rsidRPr="00B766D7">
        <w:rPr>
          <w:rFonts w:ascii="Times New Roman" w:hAnsi="Times New Roman" w:cs="Times New Roman"/>
          <w:sz w:val="28"/>
          <w:szCs w:val="28"/>
        </w:rPr>
        <w:t>. Актуальность подкреплена статистикой: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«К 2020 г. ожидается, что к Интернету подключится 24 млрд устройств. Подавляющее большинство будет использовать некоторую форму беспроводного доступа»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12BE8182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3) Объект и предмет исследования</w:t>
      </w:r>
    </w:p>
    <w:p w14:paraId="317B0363" w14:textId="77777777" w:rsidR="00B766D7" w:rsidRPr="00B766D7" w:rsidRDefault="00B766D7" w:rsidP="00B766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B766D7">
        <w:rPr>
          <w:rFonts w:ascii="Times New Roman" w:hAnsi="Times New Roman" w:cs="Times New Roman"/>
          <w:sz w:val="28"/>
          <w:szCs w:val="28"/>
        </w:rPr>
        <w:t> процессы обеспечения безопасности беспроводных сетей (WLAN).</w:t>
      </w:r>
    </w:p>
    <w:p w14:paraId="573DB86B" w14:textId="77777777" w:rsidR="00B766D7" w:rsidRPr="00B766D7" w:rsidRDefault="00B766D7" w:rsidP="00B766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Предмет:</w:t>
      </w:r>
      <w:r w:rsidRPr="00B766D7">
        <w:rPr>
          <w:rFonts w:ascii="Times New Roman" w:hAnsi="Times New Roman" w:cs="Times New Roman"/>
          <w:sz w:val="28"/>
          <w:szCs w:val="28"/>
        </w:rPr>
        <w:t> методология повышения безопасности беспроводных сетей на основе цикла PDCA и классификации угроз OWISAM.</w:t>
      </w:r>
    </w:p>
    <w:p w14:paraId="75D8B756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4) Гипотеза исследования</w:t>
      </w:r>
      <w:r w:rsidRPr="00B766D7">
        <w:rPr>
          <w:rFonts w:ascii="Times New Roman" w:hAnsi="Times New Roman" w:cs="Times New Roman"/>
          <w:sz w:val="28"/>
          <w:szCs w:val="28"/>
        </w:rPr>
        <w:br/>
        <w:t>В явном виде не сформулирована, но логически выводится: внедрение методологии, основанной на цикле Деминга (Plan-Do-Check-Act) и учёте специфических беспроводных угроз, позволит организациям системно поддерживать приемлемый уровень безопасности WLAN. Автор подтверждает это: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«Внедрение этой методологии послужит руководством для развертывания новых WLAN или улучшения существующих, обеспечивая ключевые элементы безопасности»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15FE4F9D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5) Основные методы, используемые автором</w:t>
      </w:r>
    </w:p>
    <w:p w14:paraId="5840E6C4" w14:textId="77777777" w:rsidR="00B766D7" w:rsidRPr="00B766D7" w:rsidRDefault="00B766D7" w:rsidP="00B766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нормативной базы и стандартов:</w:t>
      </w:r>
      <w:r w:rsidRPr="00B766D7">
        <w:rPr>
          <w:rFonts w:ascii="Times New Roman" w:hAnsi="Times New Roman" w:cs="Times New Roman"/>
          <w:sz w:val="28"/>
          <w:szCs w:val="28"/>
        </w:rPr>
        <w:t> ссылается на ISO/IEC 27001:2013, OSSTMM, OWISAM, IEEE 802.11.</w:t>
      </w:r>
    </w:p>
    <w:p w14:paraId="4CE1D7E7" w14:textId="77777777" w:rsidR="00B766D7" w:rsidRPr="00B766D7" w:rsidRDefault="00B766D7" w:rsidP="00B766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Классификация угроз:</w:t>
      </w:r>
      <w:r w:rsidRPr="00B766D7">
        <w:rPr>
          <w:rFonts w:ascii="Times New Roman" w:hAnsi="Times New Roman" w:cs="Times New Roman"/>
          <w:sz w:val="28"/>
          <w:szCs w:val="28"/>
        </w:rPr>
        <w:t> выделены ТОП-10 угроз OWISAM.</w:t>
      </w:r>
    </w:p>
    <w:p w14:paraId="0F248593" w14:textId="77777777" w:rsidR="00B766D7" w:rsidRPr="00B766D7" w:rsidRDefault="00B766D7" w:rsidP="00B766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Моделирование (концептуальное):</w:t>
      </w:r>
      <w:r w:rsidRPr="00B766D7">
        <w:rPr>
          <w:rFonts w:ascii="Times New Roman" w:hAnsi="Times New Roman" w:cs="Times New Roman"/>
          <w:sz w:val="28"/>
          <w:szCs w:val="28"/>
        </w:rPr>
        <w:t> предложена модель на основе цикла PDCA (Plan-Do-Check-Act).</w:t>
      </w:r>
    </w:p>
    <w:p w14:paraId="072504EA" w14:textId="77777777" w:rsidR="00B766D7" w:rsidRPr="00B766D7" w:rsidRDefault="00B766D7" w:rsidP="00B766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Системный анализ:</w:t>
      </w:r>
      <w:r w:rsidRPr="00B766D7">
        <w:rPr>
          <w:rFonts w:ascii="Times New Roman" w:hAnsi="Times New Roman" w:cs="Times New Roman"/>
          <w:sz w:val="28"/>
          <w:szCs w:val="28"/>
        </w:rPr>
        <w:t xml:space="preserve"> рассмотрение WLAN как системы с различными архитектурами (Ad </w:t>
      </w:r>
      <w:proofErr w:type="spellStart"/>
      <w:r w:rsidRPr="00B766D7">
        <w:rPr>
          <w:rFonts w:ascii="Times New Roman" w:hAnsi="Times New Roman" w:cs="Times New Roman"/>
          <w:sz w:val="28"/>
          <w:szCs w:val="28"/>
        </w:rPr>
        <w:t>Hoc</w:t>
      </w:r>
      <w:proofErr w:type="spellEnd"/>
      <w:r w:rsidRPr="00B766D7">
        <w:rPr>
          <w:rFonts w:ascii="Times New Roman" w:hAnsi="Times New Roman" w:cs="Times New Roman"/>
          <w:sz w:val="28"/>
          <w:szCs w:val="28"/>
        </w:rPr>
        <w:t>, Infrastructure).</w:t>
      </w:r>
    </w:p>
    <w:p w14:paraId="323A3470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sz w:val="28"/>
          <w:szCs w:val="28"/>
        </w:rPr>
        <w:t>Пример из текста по классификации: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«OWISAM... это открытая методология, созданная для стандартизации процессов анализа беспроводной сети, объективного оценивания рисков и защиты корпоративных сетей»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7DFA85B3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6) Практическая значимость</w:t>
      </w:r>
      <w:r w:rsidRPr="00B766D7">
        <w:rPr>
          <w:rFonts w:ascii="Times New Roman" w:hAnsi="Times New Roman" w:cs="Times New Roman"/>
          <w:sz w:val="28"/>
          <w:szCs w:val="28"/>
        </w:rPr>
        <w:br/>
        <w:t>Автор прямо указывает: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«Цель данной статьи – помочь администраторам безопасности, специалистам служб безопасности и другим лучше понять важность компьютерной безопасности и обязанностей, которые она предполагает»</w:t>
      </w:r>
      <w:r w:rsidRPr="00B766D7">
        <w:rPr>
          <w:rFonts w:ascii="Times New Roman" w:hAnsi="Times New Roman" w:cs="Times New Roman"/>
          <w:sz w:val="28"/>
          <w:szCs w:val="28"/>
        </w:rPr>
        <w:t xml:space="preserve">. Методология применима при проектировании и развертывании беспроводных сетей в организациях, снижая риски атак (подслушивание, </w:t>
      </w:r>
      <w:proofErr w:type="spellStart"/>
      <w:r w:rsidRPr="00B766D7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B766D7">
        <w:rPr>
          <w:rFonts w:ascii="Times New Roman" w:hAnsi="Times New Roman" w:cs="Times New Roman"/>
          <w:sz w:val="28"/>
          <w:szCs w:val="28"/>
        </w:rPr>
        <w:t>, модификация сообщений).</w:t>
      </w:r>
    </w:p>
    <w:p w14:paraId="0EE81C24" w14:textId="16BD2EDA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</w:p>
    <w:p w14:paraId="798C4B25" w14:textId="77777777" w:rsidR="00B766D7" w:rsidRPr="00B766D7" w:rsidRDefault="00B766D7" w:rsidP="00B76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Статья 2: </w:t>
      </w:r>
      <w:proofErr w:type="spellStart"/>
      <w:r w:rsidRPr="00B766D7">
        <w:rPr>
          <w:rFonts w:ascii="Times New Roman" w:hAnsi="Times New Roman" w:cs="Times New Roman"/>
          <w:b/>
          <w:bCs/>
          <w:sz w:val="28"/>
          <w:szCs w:val="28"/>
        </w:rPr>
        <w:t>Минбалеев</w:t>
      </w:r>
      <w:proofErr w:type="spellEnd"/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 А.В., Евсиков </w:t>
      </w:r>
      <w:proofErr w:type="gramStart"/>
      <w:r w:rsidRPr="00B766D7">
        <w:rPr>
          <w:rFonts w:ascii="Times New Roman" w:hAnsi="Times New Roman" w:cs="Times New Roman"/>
          <w:b/>
          <w:bCs/>
          <w:sz w:val="28"/>
          <w:szCs w:val="28"/>
        </w:rPr>
        <w:t>К.С.</w:t>
      </w:r>
      <w:proofErr w:type="gramEnd"/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 «Регулирование криптографической деятельности в России: проблемы и перспективы развития»</w:t>
      </w:r>
    </w:p>
    <w:p w14:paraId="162BC1E1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1) Цель</w:t>
      </w:r>
      <w:r w:rsidRPr="00B766D7">
        <w:rPr>
          <w:rFonts w:ascii="Times New Roman" w:hAnsi="Times New Roman" w:cs="Times New Roman"/>
          <w:sz w:val="28"/>
          <w:szCs w:val="28"/>
        </w:rPr>
        <w:br/>
        <w:t>Выявить системные проблемы правового регулирования криптографии в РФ и обосновать необходимость принятия отдельного федерального закона о криптографической деятельности. Авторы формулируют это так: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«Исследование показывает, что в России... отсутствует специальный закон о криптографии</w:t>
      </w:r>
      <w:proofErr w:type="gramStart"/>
      <w:r w:rsidRPr="00B766D7">
        <w:rPr>
          <w:rFonts w:ascii="Times New Roman" w:hAnsi="Times New Roman" w:cs="Times New Roman"/>
          <w:i/>
          <w:iCs/>
          <w:sz w:val="28"/>
          <w:szCs w:val="28"/>
        </w:rPr>
        <w:t>... Представляется</w:t>
      </w:r>
      <w:proofErr w:type="gramEnd"/>
      <w:r w:rsidRPr="00B766D7">
        <w:rPr>
          <w:rFonts w:ascii="Times New Roman" w:hAnsi="Times New Roman" w:cs="Times New Roman"/>
          <w:i/>
          <w:iCs/>
          <w:sz w:val="28"/>
          <w:szCs w:val="28"/>
        </w:rPr>
        <w:t>, что решить данную проблему можно, инициировав разработку и принятие федерального закона, посвященного криптографической деятельности»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27B99CE5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2) Актуальность</w:t>
      </w:r>
      <w:r w:rsidRPr="00B766D7">
        <w:rPr>
          <w:rFonts w:ascii="Times New Roman" w:hAnsi="Times New Roman" w:cs="Times New Roman"/>
          <w:sz w:val="28"/>
          <w:szCs w:val="28"/>
        </w:rPr>
        <w:br/>
        <w:t>Обусловлена: а) отсутствием системного подхода к регулированию криптографии; б) наличием устаревших актов (приказ ФАПСИ от 2001 г.); в) развитием новых технологий (квантовые коммуникации), под которые нет правовой базы. Авторы подчёркивают: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 xml:space="preserve">«Криптографическая деятельность 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lastRenderedPageBreak/>
        <w:t>долгое время будет ядром системы информационной безопасности в государстве»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16C4D3F6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3) Объект и предмет исследования</w:t>
      </w:r>
    </w:p>
    <w:p w14:paraId="180444E2" w14:textId="77777777" w:rsidR="00B766D7" w:rsidRPr="00B766D7" w:rsidRDefault="00B766D7" w:rsidP="00B766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B766D7">
        <w:rPr>
          <w:rFonts w:ascii="Times New Roman" w:hAnsi="Times New Roman" w:cs="Times New Roman"/>
          <w:sz w:val="28"/>
          <w:szCs w:val="28"/>
        </w:rPr>
        <w:t> общественные отношения в сфере криптографической деятельности в РФ.</w:t>
      </w:r>
    </w:p>
    <w:p w14:paraId="76D354A3" w14:textId="77777777" w:rsidR="00B766D7" w:rsidRPr="00B766D7" w:rsidRDefault="00B766D7" w:rsidP="00B766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Предмет:</w:t>
      </w:r>
      <w:r w:rsidRPr="00B766D7">
        <w:rPr>
          <w:rFonts w:ascii="Times New Roman" w:hAnsi="Times New Roman" w:cs="Times New Roman"/>
          <w:sz w:val="28"/>
          <w:szCs w:val="28"/>
        </w:rPr>
        <w:t> правовые нормы, регулирующие криптографию, их пробелы и противоречия.</w:t>
      </w:r>
    </w:p>
    <w:p w14:paraId="2462D672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4) Гипотеза исследования</w:t>
      </w:r>
      <w:r w:rsidRPr="00B766D7">
        <w:rPr>
          <w:rFonts w:ascii="Times New Roman" w:hAnsi="Times New Roman" w:cs="Times New Roman"/>
          <w:sz w:val="28"/>
          <w:szCs w:val="28"/>
        </w:rPr>
        <w:br/>
        <w:t>Принятие специального федерального закона о криптографической деятельности, охватывающего сертификацию, лицензирование, импорт, экспорт и использование СКЗИ, позволит устранить существующие правовые пробелы, систематизировать регулирование и стимулировать развитие отрасли. Авторы считают этот вариант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«наиболее эффективным вариантом совершенствования регулирования»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7EC9962C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5) Основные методы, используемые автором</w:t>
      </w:r>
    </w:p>
    <w:p w14:paraId="1693101F" w14:textId="77777777" w:rsidR="00B766D7" w:rsidRPr="00B766D7" w:rsidRDefault="00B766D7" w:rsidP="00B766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Сравнительно-правовой анализ:</w:t>
      </w:r>
      <w:r w:rsidRPr="00B766D7">
        <w:rPr>
          <w:rFonts w:ascii="Times New Roman" w:hAnsi="Times New Roman" w:cs="Times New Roman"/>
          <w:sz w:val="28"/>
          <w:szCs w:val="28"/>
        </w:rPr>
        <w:t> сопоставление норм ФЗ «Об электронной подписи», ПКЗ-2005, Положений о сертификации.</w:t>
      </w:r>
    </w:p>
    <w:p w14:paraId="22DE2BBD" w14:textId="77777777" w:rsidR="00B766D7" w:rsidRPr="00B766D7" w:rsidRDefault="00B766D7" w:rsidP="00B766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Формально-юридический анализ:</w:t>
      </w:r>
      <w:r w:rsidRPr="00B766D7">
        <w:rPr>
          <w:rFonts w:ascii="Times New Roman" w:hAnsi="Times New Roman" w:cs="Times New Roman"/>
          <w:sz w:val="28"/>
          <w:szCs w:val="28"/>
        </w:rPr>
        <w:t xml:space="preserve"> выявление терминологических коллизий (ЭЦП </w:t>
      </w:r>
      <w:proofErr w:type="spellStart"/>
      <w:r w:rsidRPr="00B766D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B766D7">
        <w:rPr>
          <w:rFonts w:ascii="Times New Roman" w:hAnsi="Times New Roman" w:cs="Times New Roman"/>
          <w:sz w:val="28"/>
          <w:szCs w:val="28"/>
        </w:rPr>
        <w:t xml:space="preserve"> ЭП), устаревших отсылок (ФАПСИ).</w:t>
      </w:r>
    </w:p>
    <w:p w14:paraId="4040A729" w14:textId="77777777" w:rsidR="00B766D7" w:rsidRPr="00B766D7" w:rsidRDefault="00B766D7" w:rsidP="00B766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Метод правового моделирования:</w:t>
      </w:r>
      <w:r w:rsidRPr="00B766D7">
        <w:rPr>
          <w:rFonts w:ascii="Times New Roman" w:hAnsi="Times New Roman" w:cs="Times New Roman"/>
          <w:sz w:val="28"/>
          <w:szCs w:val="28"/>
        </w:rPr>
        <w:t> предложена структура будущего закона (общая и особенная части).</w:t>
      </w:r>
    </w:p>
    <w:p w14:paraId="0B599DE6" w14:textId="77777777" w:rsidR="00B766D7" w:rsidRPr="00B766D7" w:rsidRDefault="00B766D7" w:rsidP="00B766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Анализ зарубежного опыта:</w:t>
      </w:r>
      <w:r w:rsidRPr="00B766D7">
        <w:rPr>
          <w:rFonts w:ascii="Times New Roman" w:hAnsi="Times New Roman" w:cs="Times New Roman"/>
          <w:sz w:val="28"/>
          <w:szCs w:val="28"/>
        </w:rPr>
        <w:t> рассмотрен опыт КНР, Канады.</w:t>
      </w:r>
    </w:p>
    <w:p w14:paraId="080B3768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sz w:val="28"/>
          <w:szCs w:val="28"/>
        </w:rPr>
        <w:t>Пример формально-юридического анализа: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«...использование термина ЭЦП... создает правовой пробел, так как, согласно буквальному толкованию норм данного акта, ФСБ России не должно регулировать отношения в сфере создания усиленной квалифицированной электронной подписи, хотя фактически это происходит»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315942C2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6) Практическая значимость</w:t>
      </w:r>
      <w:r w:rsidRPr="00B766D7">
        <w:rPr>
          <w:rFonts w:ascii="Times New Roman" w:hAnsi="Times New Roman" w:cs="Times New Roman"/>
          <w:sz w:val="28"/>
          <w:szCs w:val="28"/>
        </w:rPr>
        <w:br/>
        <w:t>Предложено конкретное содержание законопроекта о криптографической деятельности, выделены три ключевые цели регулирования (развитие рынка, саморегулирование, защита прав пользователей). Результаты могут быть использованы в законотворческой деятельности для совершенствования правовой базы информационной безопасности.</w:t>
      </w:r>
    </w:p>
    <w:p w14:paraId="4862EC3C" w14:textId="72BB2D78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</w:p>
    <w:p w14:paraId="160D98E2" w14:textId="77777777" w:rsidR="00B766D7" w:rsidRPr="00B766D7" w:rsidRDefault="00B766D7" w:rsidP="00B76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Статья 3: Абдулов </w:t>
      </w:r>
      <w:proofErr w:type="gramStart"/>
      <w:r w:rsidRPr="00B766D7">
        <w:rPr>
          <w:rFonts w:ascii="Times New Roman" w:hAnsi="Times New Roman" w:cs="Times New Roman"/>
          <w:b/>
          <w:bCs/>
          <w:sz w:val="28"/>
          <w:szCs w:val="28"/>
        </w:rPr>
        <w:t>А.В.</w:t>
      </w:r>
      <w:proofErr w:type="gramEnd"/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, Абдулова </w:t>
      </w:r>
      <w:proofErr w:type="gramStart"/>
      <w:r w:rsidRPr="00B766D7">
        <w:rPr>
          <w:rFonts w:ascii="Times New Roman" w:hAnsi="Times New Roman" w:cs="Times New Roman"/>
          <w:b/>
          <w:bCs/>
          <w:sz w:val="28"/>
          <w:szCs w:val="28"/>
        </w:rPr>
        <w:t>Е.А.</w:t>
      </w:r>
      <w:proofErr w:type="gramEnd"/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 «Аспекты безопасного функционирования беспилотных транспортных средств в среде умного города»</w:t>
      </w:r>
    </w:p>
    <w:p w14:paraId="22AEDCD6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1) Цель</w:t>
      </w:r>
      <w:r w:rsidRPr="00B766D7">
        <w:rPr>
          <w:rFonts w:ascii="Times New Roman" w:hAnsi="Times New Roman" w:cs="Times New Roman"/>
          <w:sz w:val="28"/>
          <w:szCs w:val="28"/>
        </w:rPr>
        <w:br/>
        <w:t>Выделить проблемы безопасности (конфиденциальность, доверие, кибербезопасность) БТС и предложить подходы к их решению: систему управления безопасностью на основе факторного анализа и сетевые модели локального позиционирования. Авторы указывают: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«Для повышения уровня безопасности БТС предлагается использовать систему управления безопасностью, основанную на факторном анализе и методах расчета рисков»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295AC334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2) Актуальность</w:t>
      </w:r>
      <w:r w:rsidRPr="00B766D7">
        <w:rPr>
          <w:rFonts w:ascii="Times New Roman" w:hAnsi="Times New Roman" w:cs="Times New Roman"/>
          <w:sz w:val="28"/>
          <w:szCs w:val="28"/>
        </w:rPr>
        <w:br/>
        <w:t>Обоснована внедрением БТС в концепцию умного города и уязвимостью систем навигации: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«...в реальных условиях сигнал GPS может либо отсутствовать, либо его точности бывает недостаточно... киберугрозы могут спровоцировать нарушения в работе как отдельных БТС, так и транспортной системы в целом»</w:t>
      </w:r>
      <w:r w:rsidRPr="00B766D7">
        <w:rPr>
          <w:rFonts w:ascii="Times New Roman" w:hAnsi="Times New Roman" w:cs="Times New Roman"/>
          <w:sz w:val="28"/>
          <w:szCs w:val="28"/>
        </w:rPr>
        <w:t>. Подчёркнуто: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«Транспортная инфраструктура является объектом критической информационной инфраструктуры»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19FF63FB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3) Объект и предмет исследования</w:t>
      </w:r>
    </w:p>
    <w:p w14:paraId="75AB4F99" w14:textId="77777777" w:rsidR="00B766D7" w:rsidRPr="00B766D7" w:rsidRDefault="00B766D7" w:rsidP="00B76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B766D7">
        <w:rPr>
          <w:rFonts w:ascii="Times New Roman" w:hAnsi="Times New Roman" w:cs="Times New Roman"/>
          <w:sz w:val="28"/>
          <w:szCs w:val="28"/>
        </w:rPr>
        <w:t> беспилотные транспортные средства в среде умного города.</w:t>
      </w:r>
    </w:p>
    <w:p w14:paraId="4819A25C" w14:textId="77777777" w:rsidR="00B766D7" w:rsidRPr="00B766D7" w:rsidRDefault="00B766D7" w:rsidP="00B76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Предмет:</w:t>
      </w:r>
      <w:r w:rsidRPr="00B766D7">
        <w:rPr>
          <w:rFonts w:ascii="Times New Roman" w:hAnsi="Times New Roman" w:cs="Times New Roman"/>
          <w:sz w:val="28"/>
          <w:szCs w:val="28"/>
        </w:rPr>
        <w:t> подходы к обеспечению информационной безопасности и безопасного движения БТС (система управления рисками и сетевые модели локального позиционирования).</w:t>
      </w:r>
    </w:p>
    <w:p w14:paraId="1A766DFA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4) Гипотеза исследования</w:t>
      </w:r>
      <w:r w:rsidRPr="00B766D7">
        <w:rPr>
          <w:rFonts w:ascii="Times New Roman" w:hAnsi="Times New Roman" w:cs="Times New Roman"/>
          <w:sz w:val="28"/>
          <w:szCs w:val="28"/>
        </w:rPr>
        <w:br/>
        <w:t>Применение системы управления безопасностью на основе цикла PDCA и факторного анализа, а также сетевых моделей локального позиционирования с коммуникацией V2V позволит повысить осведомлённость БТС и существенно снизить риски киберугроз и столкновений. Подтверждается моделированием: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«Полученные графики подтверждают эффективность предложенного подхода – разработанная модель позволяет существенно сократить число столкновений»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4C65DF65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5) Основные методы, используемые автором</w:t>
      </w:r>
    </w:p>
    <w:p w14:paraId="7B37FBC8" w14:textId="77777777" w:rsidR="00B766D7" w:rsidRPr="00B766D7" w:rsidRDefault="00B766D7" w:rsidP="00B76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Имитационное моделирование:</w:t>
      </w:r>
      <w:r w:rsidRPr="00B766D7">
        <w:rPr>
          <w:rFonts w:ascii="Times New Roman" w:hAnsi="Times New Roman" w:cs="Times New Roman"/>
          <w:sz w:val="28"/>
          <w:szCs w:val="28"/>
        </w:rPr>
        <w:t> разработан программный симулятор движения БТС, проведены эксперименты.</w:t>
      </w:r>
    </w:p>
    <w:p w14:paraId="2DC31C8C" w14:textId="77777777" w:rsidR="00B766D7" w:rsidRPr="00B766D7" w:rsidRDefault="00B766D7" w:rsidP="00B76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Факторный анализ:</w:t>
      </w:r>
      <w:r w:rsidRPr="00B766D7">
        <w:rPr>
          <w:rFonts w:ascii="Times New Roman" w:hAnsi="Times New Roman" w:cs="Times New Roman"/>
          <w:sz w:val="28"/>
          <w:szCs w:val="28"/>
        </w:rPr>
        <w:t> в модели управления рисками (Рисунок 3).</w:t>
      </w:r>
    </w:p>
    <w:p w14:paraId="312AE820" w14:textId="77777777" w:rsidR="00B766D7" w:rsidRPr="00B766D7" w:rsidRDefault="00B766D7" w:rsidP="00B76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Метод PDCA:</w:t>
      </w:r>
      <w:r w:rsidRPr="00B766D7">
        <w:rPr>
          <w:rFonts w:ascii="Times New Roman" w:hAnsi="Times New Roman" w:cs="Times New Roman"/>
          <w:sz w:val="28"/>
          <w:szCs w:val="28"/>
        </w:rPr>
        <w:t xml:space="preserve"> цикл </w:t>
      </w:r>
      <w:proofErr w:type="spellStart"/>
      <w:r w:rsidRPr="00B766D7">
        <w:rPr>
          <w:rFonts w:ascii="Times New Roman" w:hAnsi="Times New Roman" w:cs="Times New Roman"/>
          <w:sz w:val="28"/>
          <w:szCs w:val="28"/>
        </w:rPr>
        <w:t>Шухарта</w:t>
      </w:r>
      <w:proofErr w:type="spellEnd"/>
      <w:r w:rsidRPr="00B766D7">
        <w:rPr>
          <w:rFonts w:ascii="Times New Roman" w:hAnsi="Times New Roman" w:cs="Times New Roman"/>
          <w:sz w:val="28"/>
          <w:szCs w:val="28"/>
        </w:rPr>
        <w:t>-Деминга для постоянного повышения безопасности.</w:t>
      </w:r>
    </w:p>
    <w:p w14:paraId="5617CF1E" w14:textId="77777777" w:rsidR="00B766D7" w:rsidRPr="00B766D7" w:rsidRDefault="00B766D7" w:rsidP="00B76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Анализ источников:</w:t>
      </w:r>
      <w:r w:rsidRPr="00B766D7">
        <w:rPr>
          <w:rFonts w:ascii="Times New Roman" w:hAnsi="Times New Roman" w:cs="Times New Roman"/>
          <w:sz w:val="28"/>
          <w:szCs w:val="28"/>
        </w:rPr>
        <w:t> систематизация уязвимостей и кибератак на БТС.</w:t>
      </w:r>
    </w:p>
    <w:p w14:paraId="6A719447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sz w:val="28"/>
          <w:szCs w:val="28"/>
        </w:rPr>
        <w:t>Пример имитационного моделирования: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«Для оценки эффективности фактора коммуникации и минимизации столкновений были проведены имитационные эксперименты на основе разработанного программного симулятора»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22525497" w14:textId="77777777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6) Практическая значимость</w:t>
      </w:r>
      <w:r w:rsidRPr="00B766D7">
        <w:rPr>
          <w:rFonts w:ascii="Times New Roman" w:hAnsi="Times New Roman" w:cs="Times New Roman"/>
          <w:sz w:val="28"/>
          <w:szCs w:val="28"/>
        </w:rPr>
        <w:br/>
        <w:t xml:space="preserve">Предложенные модели могут быть использованы для снижения аварийности при движении БТС без единого центра регулирования и без GPS, а также для оценки </w:t>
      </w:r>
      <w:proofErr w:type="spellStart"/>
      <w:r w:rsidRPr="00B766D7">
        <w:rPr>
          <w:rFonts w:ascii="Times New Roman" w:hAnsi="Times New Roman" w:cs="Times New Roman"/>
          <w:sz w:val="28"/>
          <w:szCs w:val="28"/>
        </w:rPr>
        <w:t>киберрисков</w:t>
      </w:r>
      <w:proofErr w:type="spellEnd"/>
      <w:r w:rsidRPr="00B766D7">
        <w:rPr>
          <w:rFonts w:ascii="Times New Roman" w:hAnsi="Times New Roman" w:cs="Times New Roman"/>
          <w:sz w:val="28"/>
          <w:szCs w:val="28"/>
        </w:rPr>
        <w:t xml:space="preserve"> в инфраструктуре умного города.</w:t>
      </w:r>
    </w:p>
    <w:p w14:paraId="4B83F4CE" w14:textId="11CC515A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</w:p>
    <w:p w14:paraId="20535569" w14:textId="72DF78F0" w:rsidR="00B766D7" w:rsidRPr="00B766D7" w:rsidRDefault="00B766D7" w:rsidP="00B76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B766D7">
        <w:rPr>
          <w:rFonts w:ascii="Times New Roman" w:hAnsi="Times New Roman" w:cs="Times New Roman"/>
          <w:b/>
          <w:bCs/>
          <w:sz w:val="28"/>
          <w:szCs w:val="28"/>
        </w:rPr>
        <w:t>етод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 и их наличие в статьях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3145"/>
        <w:gridCol w:w="3284"/>
        <w:gridCol w:w="2746"/>
      </w:tblGrid>
      <w:tr w:rsidR="00B766D7" w:rsidRPr="00B766D7" w14:paraId="2FDAF825" w14:textId="77777777" w:rsidTr="00B766D7">
        <w:tc>
          <w:tcPr>
            <w:tcW w:w="0" w:type="auto"/>
            <w:hideMark/>
          </w:tcPr>
          <w:p w14:paraId="38005711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0018EA51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  <w:tc>
          <w:tcPr>
            <w:tcW w:w="2358" w:type="dxa"/>
            <w:hideMark/>
          </w:tcPr>
          <w:p w14:paraId="56E1CF4F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Наличие в статьях</w:t>
            </w:r>
          </w:p>
        </w:tc>
      </w:tr>
      <w:tr w:rsidR="00B766D7" w:rsidRPr="00B766D7" w14:paraId="60E2B78E" w14:textId="77777777" w:rsidTr="00B766D7">
        <w:tc>
          <w:tcPr>
            <w:tcW w:w="0" w:type="auto"/>
            <w:hideMark/>
          </w:tcPr>
          <w:p w14:paraId="7E6E80E0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Структурированные беседы и интервью</w:t>
            </w:r>
          </w:p>
        </w:tc>
        <w:tc>
          <w:tcPr>
            <w:tcW w:w="0" w:type="auto"/>
            <w:hideMark/>
          </w:tcPr>
          <w:p w14:paraId="7052FE9E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Заранее подготовленные вопросы, задаваемые экспертам или респондентам в определённой последовательности</w:t>
            </w:r>
          </w:p>
        </w:tc>
        <w:tc>
          <w:tcPr>
            <w:tcW w:w="2358" w:type="dxa"/>
            <w:hideMark/>
          </w:tcPr>
          <w:p w14:paraId="3AFEED4F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В явном виде </w:t>
            </w: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отсутствуют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 во всех трёх статьях</w:t>
            </w:r>
          </w:p>
        </w:tc>
      </w:tr>
      <w:tr w:rsidR="00B766D7" w:rsidRPr="00B766D7" w14:paraId="280A55AD" w14:textId="77777777" w:rsidTr="00B766D7">
        <w:tc>
          <w:tcPr>
            <w:tcW w:w="0" w:type="auto"/>
            <w:hideMark/>
          </w:tcPr>
          <w:p w14:paraId="74A8A3D7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Сбор анамнестических данных</w:t>
            </w:r>
          </w:p>
        </w:tc>
        <w:tc>
          <w:tcPr>
            <w:tcW w:w="0" w:type="auto"/>
            <w:hideMark/>
          </w:tcPr>
          <w:p w14:paraId="04A26678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Ретроспективный сбор сведений об истории объекта (обычно применяется в медицине, психологии)</w:t>
            </w:r>
          </w:p>
        </w:tc>
        <w:tc>
          <w:tcPr>
            <w:tcW w:w="2358" w:type="dxa"/>
            <w:hideMark/>
          </w:tcPr>
          <w:p w14:paraId="6541CAB4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применялся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 ни в одной из статей</w:t>
            </w:r>
          </w:p>
        </w:tc>
      </w:tr>
      <w:tr w:rsidR="00B766D7" w:rsidRPr="00B766D7" w14:paraId="6F00C7A3" w14:textId="77777777" w:rsidTr="00B766D7">
        <w:tc>
          <w:tcPr>
            <w:tcW w:w="0" w:type="auto"/>
            <w:hideMark/>
          </w:tcPr>
          <w:p w14:paraId="2F85921C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Анкетирование</w:t>
            </w:r>
          </w:p>
        </w:tc>
        <w:tc>
          <w:tcPr>
            <w:tcW w:w="0" w:type="auto"/>
            <w:hideMark/>
          </w:tcPr>
          <w:p w14:paraId="324301DB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Письменный опрос респондентов по заранее составленным опросным листам</w:t>
            </w:r>
          </w:p>
        </w:tc>
        <w:tc>
          <w:tcPr>
            <w:tcW w:w="2358" w:type="dxa"/>
            <w:hideMark/>
          </w:tcPr>
          <w:p w14:paraId="4FAB058D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применялся</w:t>
            </w:r>
          </w:p>
        </w:tc>
      </w:tr>
      <w:tr w:rsidR="00B766D7" w:rsidRPr="00B766D7" w14:paraId="034A1EE2" w14:textId="77777777" w:rsidTr="00B766D7">
        <w:tc>
          <w:tcPr>
            <w:tcW w:w="0" w:type="auto"/>
            <w:hideMark/>
          </w:tcPr>
          <w:p w14:paraId="0BF7BB1E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Методы статистической </w:t>
            </w: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обработки данных (контент-анализ)</w:t>
            </w:r>
          </w:p>
        </w:tc>
        <w:tc>
          <w:tcPr>
            <w:tcW w:w="0" w:type="auto"/>
            <w:hideMark/>
          </w:tcPr>
          <w:p w14:paraId="39D22DF6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Подсчёт частоты встречаемости языковых единиц в тексте для 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выявления скрытых закономерностей</w:t>
            </w:r>
          </w:p>
        </w:tc>
        <w:tc>
          <w:tcPr>
            <w:tcW w:w="2358" w:type="dxa"/>
            <w:hideMark/>
          </w:tcPr>
          <w:p w14:paraId="4F3A1BD2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Статья 2: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 xml:space="preserve"> контент-анализ терминологии (ЭЦП </w:t>
            </w:r>
            <w:proofErr w:type="spellStart"/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Pr="00B766D7">
              <w:rPr>
                <w:rFonts w:ascii="Times New Roman" w:hAnsi="Times New Roman" w:cs="Times New Roman"/>
                <w:sz w:val="28"/>
                <w:szCs w:val="28"/>
              </w:rPr>
              <w:t xml:space="preserve"> электронная 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подпись) в нормативных актах, но без количественной обработки. </w:t>
            </w: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Статья 3: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 обработка результатов имитационного моделирования</w:t>
            </w:r>
          </w:p>
        </w:tc>
      </w:tr>
      <w:tr w:rsidR="00B766D7" w:rsidRPr="00B766D7" w14:paraId="2C66DCDE" w14:textId="77777777" w:rsidTr="00B766D7">
        <w:tc>
          <w:tcPr>
            <w:tcW w:w="0" w:type="auto"/>
            <w:hideMark/>
          </w:tcPr>
          <w:p w14:paraId="4D8F848A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Математическое моделирование</w:t>
            </w:r>
          </w:p>
        </w:tc>
        <w:tc>
          <w:tcPr>
            <w:tcW w:w="0" w:type="auto"/>
            <w:hideMark/>
          </w:tcPr>
          <w:p w14:paraId="15DC8412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Описание объекта или процесса с помощью математических формализмов</w:t>
            </w:r>
          </w:p>
        </w:tc>
        <w:tc>
          <w:tcPr>
            <w:tcW w:w="2358" w:type="dxa"/>
            <w:hideMark/>
          </w:tcPr>
          <w:p w14:paraId="47C35A2A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Статья 3: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 используется для расчёта рисков и моделей позиционирования</w:t>
            </w:r>
          </w:p>
        </w:tc>
      </w:tr>
      <w:tr w:rsidR="00B766D7" w:rsidRPr="00B766D7" w14:paraId="06D5CBFD" w14:textId="77777777" w:rsidTr="00B766D7">
        <w:tc>
          <w:tcPr>
            <w:tcW w:w="0" w:type="auto"/>
            <w:hideMark/>
          </w:tcPr>
          <w:p w14:paraId="013401CD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Статистическое моделирование</w:t>
            </w:r>
          </w:p>
        </w:tc>
        <w:tc>
          <w:tcPr>
            <w:tcW w:w="0" w:type="auto"/>
            <w:hideMark/>
          </w:tcPr>
          <w:p w14:paraId="4335BE15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 xml:space="preserve">Воспроизведение случайных процессов с помощью генераторов случайных чисел (метод Монте-Карло и </w:t>
            </w:r>
            <w:proofErr w:type="gramStart"/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т.п.</w:t>
            </w:r>
            <w:proofErr w:type="gramEnd"/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58" w:type="dxa"/>
            <w:hideMark/>
          </w:tcPr>
          <w:p w14:paraId="7FCA16B3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Статья 3: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 в имитационных экспериментах на симуляторе (генерация сценариев)</w:t>
            </w:r>
          </w:p>
        </w:tc>
      </w:tr>
      <w:tr w:rsidR="00B766D7" w:rsidRPr="00B766D7" w14:paraId="3C44493D" w14:textId="77777777" w:rsidTr="00B766D7">
        <w:tc>
          <w:tcPr>
            <w:tcW w:w="0" w:type="auto"/>
            <w:hideMark/>
          </w:tcPr>
          <w:p w14:paraId="52FF5F3B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Экономико-математическое моделирование</w:t>
            </w:r>
          </w:p>
        </w:tc>
        <w:tc>
          <w:tcPr>
            <w:tcW w:w="0" w:type="auto"/>
            <w:hideMark/>
          </w:tcPr>
          <w:p w14:paraId="29F54EB9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 xml:space="preserve">Модели, описывающие экономические процессы с учётом затрат, эффективности и </w:t>
            </w:r>
            <w:proofErr w:type="gramStart"/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т.д.</w:t>
            </w:r>
            <w:proofErr w:type="gramEnd"/>
          </w:p>
        </w:tc>
        <w:tc>
          <w:tcPr>
            <w:tcW w:w="2358" w:type="dxa"/>
            <w:hideMark/>
          </w:tcPr>
          <w:p w14:paraId="42D9E573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применялся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 в данных статьях</w:t>
            </w:r>
          </w:p>
        </w:tc>
      </w:tr>
      <w:tr w:rsidR="00B766D7" w:rsidRPr="00B766D7" w14:paraId="2738F99B" w14:textId="77777777" w:rsidTr="00B766D7">
        <w:tc>
          <w:tcPr>
            <w:tcW w:w="0" w:type="auto"/>
            <w:hideMark/>
          </w:tcPr>
          <w:p w14:paraId="22BA888C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0" w:type="auto"/>
            <w:hideMark/>
          </w:tcPr>
          <w:p w14:paraId="69151F19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Создание компьютерной модели, имитирующей поведение реальной системы во времени</w:t>
            </w:r>
          </w:p>
        </w:tc>
        <w:tc>
          <w:tcPr>
            <w:tcW w:w="2358" w:type="dxa"/>
            <w:hideMark/>
          </w:tcPr>
          <w:p w14:paraId="6A5703C8" w14:textId="77777777" w:rsidR="00B766D7" w:rsidRPr="00B766D7" w:rsidRDefault="00B766D7" w:rsidP="00B766D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6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Статья 3 (основной метод):</w:t>
            </w:r>
            <w:r w:rsidRPr="00B766D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B766D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«Были проведены имитационные эксперименты на основе разработанного программного симулятора»</w:t>
            </w:r>
          </w:p>
        </w:tc>
      </w:tr>
    </w:tbl>
    <w:p w14:paraId="4FCC8301" w14:textId="0590B7D4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</w:p>
    <w:p w14:paraId="73CA9314" w14:textId="45F8EDC5" w:rsidR="00B766D7" w:rsidRPr="00B766D7" w:rsidRDefault="00B766D7" w:rsidP="00B76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4. Методы, которые </w:t>
      </w:r>
      <w:r w:rsidR="00D202CC">
        <w:rPr>
          <w:rFonts w:ascii="Times New Roman" w:hAnsi="Times New Roman" w:cs="Times New Roman"/>
          <w:b/>
          <w:bCs/>
          <w:sz w:val="28"/>
          <w:szCs w:val="28"/>
        </w:rPr>
        <w:t>мы</w:t>
      </w:r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использовал</w:t>
      </w:r>
      <w:r w:rsidR="00D202C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766D7">
        <w:rPr>
          <w:rFonts w:ascii="Times New Roman" w:hAnsi="Times New Roman" w:cs="Times New Roman"/>
          <w:b/>
          <w:bCs/>
          <w:sz w:val="28"/>
          <w:szCs w:val="28"/>
        </w:rPr>
        <w:t xml:space="preserve"> в своей работе</w:t>
      </w:r>
    </w:p>
    <w:p w14:paraId="3D795EAD" w14:textId="5DC7689A" w:rsidR="00B766D7" w:rsidRPr="00B766D7" w:rsidRDefault="00B766D7" w:rsidP="00B766D7">
      <w:p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D202CC">
        <w:rPr>
          <w:rFonts w:ascii="Times New Roman" w:hAnsi="Times New Roman" w:cs="Times New Roman"/>
          <w:sz w:val="28"/>
          <w:szCs w:val="28"/>
        </w:rPr>
        <w:t>нашей</w:t>
      </w:r>
      <w:r w:rsidRPr="00B766D7">
        <w:rPr>
          <w:rFonts w:ascii="Times New Roman" w:hAnsi="Times New Roman" w:cs="Times New Roman"/>
          <w:sz w:val="28"/>
          <w:szCs w:val="28"/>
        </w:rPr>
        <w:t xml:space="preserve"> статьи </w:t>
      </w:r>
      <w:r w:rsidR="00D202CC">
        <w:rPr>
          <w:rFonts w:ascii="Times New Roman" w:hAnsi="Times New Roman" w:cs="Times New Roman"/>
          <w:sz w:val="28"/>
          <w:szCs w:val="28"/>
        </w:rPr>
        <w:t xml:space="preserve">можно дополнить список </w:t>
      </w:r>
      <w:r w:rsidRPr="00B766D7">
        <w:rPr>
          <w:rFonts w:ascii="Times New Roman" w:hAnsi="Times New Roman" w:cs="Times New Roman"/>
          <w:sz w:val="28"/>
          <w:szCs w:val="28"/>
        </w:rPr>
        <w:t>следующими методами:</w:t>
      </w:r>
    </w:p>
    <w:p w14:paraId="7431E8CA" w14:textId="77777777" w:rsidR="00B766D7" w:rsidRPr="00B766D7" w:rsidRDefault="00B766D7" w:rsidP="00B766D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Сравнительный анализ:</w:t>
      </w:r>
      <w:r w:rsidRPr="00B766D7">
        <w:rPr>
          <w:rFonts w:ascii="Times New Roman" w:hAnsi="Times New Roman" w:cs="Times New Roman"/>
          <w:sz w:val="28"/>
          <w:szCs w:val="28"/>
        </w:rPr>
        <w:t> сравнение ГОСТ Р 34.10-2018 с зарубежными аналогами (RSA, ECDSA) по критериям криптостойкости, размера подписи и производительности. Пример из вашего текста: *«ГОСТ Р 34.10-2018 превосходит RSA как по стойкости, так и по производительности и компактности подписи»*.</w:t>
      </w:r>
    </w:p>
    <w:p w14:paraId="39BC7456" w14:textId="77777777" w:rsidR="00B766D7" w:rsidRPr="00B766D7" w:rsidRDefault="00B766D7" w:rsidP="00B766D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Имитационное моделирование:</w:t>
      </w:r>
      <w:r w:rsidRPr="00B766D7">
        <w:rPr>
          <w:rFonts w:ascii="Times New Roman" w:hAnsi="Times New Roman" w:cs="Times New Roman"/>
          <w:sz w:val="28"/>
          <w:szCs w:val="28"/>
        </w:rPr>
        <w:t> программная реализация процедур формирования и проверки электронной подписи на Python для проверки работоспособности алгоритма и оценки вычислительной сложности. Пример: </w:t>
      </w:r>
      <w:r w:rsidRPr="00B766D7">
        <w:rPr>
          <w:rFonts w:ascii="Times New Roman" w:hAnsi="Times New Roman" w:cs="Times New Roman"/>
          <w:i/>
          <w:iCs/>
          <w:sz w:val="28"/>
          <w:szCs w:val="28"/>
        </w:rPr>
        <w:t>«Как показало моделирование, при корректной реализации все этапы – от генерации ключей до проверки подписи – выполняются без ошибок»</w:t>
      </w:r>
      <w:r w:rsidRPr="00B766D7">
        <w:rPr>
          <w:rFonts w:ascii="Times New Roman" w:hAnsi="Times New Roman" w:cs="Times New Roman"/>
          <w:sz w:val="28"/>
          <w:szCs w:val="28"/>
        </w:rPr>
        <w:t>.</w:t>
      </w:r>
    </w:p>
    <w:p w14:paraId="0DC7D0E6" w14:textId="77777777" w:rsidR="00B766D7" w:rsidRPr="00B766D7" w:rsidRDefault="00B766D7" w:rsidP="00B766D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Анализ нормативной базы:</w:t>
      </w:r>
      <w:r w:rsidRPr="00B766D7">
        <w:rPr>
          <w:rFonts w:ascii="Times New Roman" w:hAnsi="Times New Roman" w:cs="Times New Roman"/>
          <w:sz w:val="28"/>
          <w:szCs w:val="28"/>
        </w:rPr>
        <w:t> изучение стандартов ГОСТ Р 34.10-2018, ГОСТ Р 34.11-2018 и их сопоставление с ISO/IEC 14888-3.</w:t>
      </w:r>
    </w:p>
    <w:p w14:paraId="07C3DDB8" w14:textId="4CD5BC61" w:rsidR="00B766D7" w:rsidRPr="00D202CC" w:rsidRDefault="00B766D7" w:rsidP="00D202C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66D7">
        <w:rPr>
          <w:rFonts w:ascii="Times New Roman" w:hAnsi="Times New Roman" w:cs="Times New Roman"/>
          <w:b/>
          <w:bCs/>
          <w:sz w:val="28"/>
          <w:szCs w:val="28"/>
        </w:rPr>
        <w:t>Метод экспертных оценок:</w:t>
      </w:r>
      <w:r w:rsidRPr="00B766D7">
        <w:rPr>
          <w:rFonts w:ascii="Times New Roman" w:hAnsi="Times New Roman" w:cs="Times New Roman"/>
          <w:sz w:val="28"/>
          <w:szCs w:val="28"/>
        </w:rPr>
        <w:t> применим в перспективе для оценки пригодности системы при пилотном внедрении в агропромышленном комплексе.</w:t>
      </w:r>
    </w:p>
    <w:sectPr w:rsidR="00B766D7" w:rsidRPr="00D202C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7DB"/>
    <w:multiLevelType w:val="multilevel"/>
    <w:tmpl w:val="F57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D712D"/>
    <w:multiLevelType w:val="multilevel"/>
    <w:tmpl w:val="1764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41A65"/>
    <w:multiLevelType w:val="multilevel"/>
    <w:tmpl w:val="967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D7E9A"/>
    <w:multiLevelType w:val="multilevel"/>
    <w:tmpl w:val="829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57EC3"/>
    <w:multiLevelType w:val="multilevel"/>
    <w:tmpl w:val="9652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287F8B"/>
    <w:multiLevelType w:val="multilevel"/>
    <w:tmpl w:val="B90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B007D"/>
    <w:multiLevelType w:val="multilevel"/>
    <w:tmpl w:val="DE4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2304">
    <w:abstractNumId w:val="0"/>
  </w:num>
  <w:num w:numId="2" w16cid:durableId="1820998435">
    <w:abstractNumId w:val="3"/>
  </w:num>
  <w:num w:numId="3" w16cid:durableId="2090883649">
    <w:abstractNumId w:val="6"/>
  </w:num>
  <w:num w:numId="4" w16cid:durableId="463429609">
    <w:abstractNumId w:val="2"/>
  </w:num>
  <w:num w:numId="5" w16cid:durableId="717973646">
    <w:abstractNumId w:val="1"/>
  </w:num>
  <w:num w:numId="6" w16cid:durableId="1761831219">
    <w:abstractNumId w:val="5"/>
  </w:num>
  <w:num w:numId="7" w16cid:durableId="983775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D7"/>
    <w:rsid w:val="00B766D7"/>
    <w:rsid w:val="00D202CC"/>
    <w:rsid w:val="00FC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C2FC"/>
  <w15:chartTrackingRefBased/>
  <w15:docId w15:val="{A0E2B310-5446-4878-9BD8-5EC2C8BB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6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Егор Евтушенко</cp:lastModifiedBy>
  <cp:revision>2</cp:revision>
  <dcterms:created xsi:type="dcterms:W3CDTF">2026-04-28T15:48:00Z</dcterms:created>
  <dcterms:modified xsi:type="dcterms:W3CDTF">2026-04-28T15:53:00Z</dcterms:modified>
</cp:coreProperties>
</file>