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360"/>
        <w:jc w:val="center"/>
      </w:pPr>
      <w:r>
        <w:rPr>
          <w:rFonts w:ascii="Calibri" w:hAnsi="Calibri"/>
          <w:b/>
          <w:color w:val="C4582B"/>
          <w:sz w:val="20"/>
        </w:rPr>
        <w:t>PRODUCT STRATEGY · 2026</w:t>
      </w:r>
    </w:p>
    <w:p>
      <w:pPr>
        <w:spacing w:after="160"/>
        <w:jc w:val="center"/>
      </w:pPr>
      <w:r>
        <w:rPr>
          <w:rFonts w:ascii="Calibri" w:hAnsi="Calibri"/>
          <w:b/>
          <w:color w:val="2B4BEA"/>
          <w:sz w:val="68"/>
        </w:rPr>
        <w:t>ATELIER</w:t>
      </w:r>
    </w:p>
    <w:p>
      <w:pPr>
        <w:spacing w:after="160"/>
        <w:jc w:val="center"/>
      </w:pPr>
      <w:r>
        <w:rPr>
          <w:rFonts w:ascii="Calibri" w:hAnsi="Calibri"/>
          <w:b/>
          <w:color w:val="17181C"/>
          <w:sz w:val="44"/>
        </w:rPr>
        <w:t>The AI Taste &amp; Collection</w:t>
        <w:br/>
        <w:t>Intelligence Operating System</w:t>
      </w:r>
    </w:p>
    <w:p>
      <w:pPr>
        <w:spacing w:after="560"/>
        <w:jc w:val="center"/>
      </w:pPr>
      <w:r>
        <w:rPr>
          <w:rFonts w:ascii="Calibri" w:hAnsi="Calibri"/>
          <w:i/>
          <w:color w:val="54565E"/>
          <w:sz w:val="25"/>
        </w:rPr>
        <w:t>Everything to add, improve, integrate, validate, and deliberately avoid</w:t>
      </w:r>
    </w:p>
    <w:tbl>
      <w:tblPr>
        <w:tblW w:type="dxa" w:w="9360"/>
        <w:jc w:val="left"/>
        <w:tblLayout w:type="fixed"/>
        <w:tblLook w:firstColumn="1" w:firstRow="1" w:lastColumn="0" w:lastRow="0" w:noHBand="0" w:noVBand="1" w:val="04A0"/>
        <w:tblInd w:type="dxa" w:w="180"/>
      </w:tblPr>
      <w:tblGrid>
        <w:gridCol w:w="9360"/>
      </w:tblGrid>
      <w:tr>
        <w:trPr/>
        <w:tc>
          <w:tcPr>
            <w:tcW w:type="dxa" w:w="9360"/>
            <w:shd w:fill="EAEEFE"/>
            <w:tcBorders>
              <w:top w:val="single" w:sz="8" w:color="2B4BEA"/>
              <w:left w:val="single" w:sz="8" w:color="2B4BEA"/>
              <w:bottom w:val="single" w:sz="8" w:color="2B4BEA"/>
              <w:right w:val="single" w:sz="8" w:color="2B4BEA"/>
              <w:insideH w:val="single" w:sz="8" w:color="2B4BEA"/>
              <w:insideV w:val="single" w:sz="8" w:color="2B4BEA"/>
            </w:tcBorders>
            <w:tcMar>
              <w:top w:w="110" w:type="dxa"/>
              <w:bottom w:w="110" w:type="dxa"/>
              <w:start w:w="180" w:type="dxa"/>
              <w:end w:w="180" w:type="dxa"/>
            </w:tcMar>
          </w:tcPr>
          <w:p>
            <w:pPr>
              <w:spacing w:before="60" w:after="60" w:line="264" w:lineRule="auto"/>
            </w:pPr>
            <w:r>
              <w:rPr>
                <w:rFonts w:ascii="Calibri" w:hAnsi="Calibri"/>
                <w:b/>
                <w:color w:val="2B4BEA"/>
                <w:sz w:val="18"/>
              </w:rPr>
              <w:t xml:space="preserve">NORTH STAR  </w:t>
            </w:r>
            <w:r>
              <w:rPr>
                <w:rFonts w:ascii="Calibri" w:hAnsi="Calibri"/>
                <w:b w:val="0"/>
                <w:color w:val="17181C"/>
                <w:sz w:val="22"/>
              </w:rPr>
              <w:t>Give every fashion brand the observation, taste memory, commercial discipline, and learning cadence of an exceptional cross-functional product team—without replacing human creative authority.</w:t>
            </w:r>
          </w:p>
        </w:tc>
      </w:tr>
    </w:tbl>
    <w:p>
      <w:pPr>
        <w:spacing w:after="40"/>
      </w:pPr>
    </w:p>
    <w:p>
      <w:pPr>
        <w:spacing w:before="1080" w:after="60"/>
        <w:jc w:val="center"/>
      </w:pPr>
      <w:r>
        <w:rPr>
          <w:rFonts w:ascii="Calibri" w:hAnsi="Calibri"/>
          <w:b/>
          <w:color w:val="54565E"/>
          <w:sz w:val="20"/>
        </w:rPr>
        <w:t>Prepared 25 July 2026</w:t>
      </w:r>
    </w:p>
    <w:p>
      <w:pPr>
        <w:spacing w:after="40"/>
        <w:jc w:val="center"/>
      </w:pPr>
      <w:r>
        <w:rPr>
          <w:rFonts w:ascii="Calibri" w:hAnsi="Calibri"/>
          <w:i/>
          <w:color w:val="797C84"/>
          <w:sz w:val="18"/>
        </w:rPr>
        <w:t>Based on the current Atelier codebase and public research on Inditex/Zara, Reformation, Centric, WGSN, EDITED, Zhiyi, Browzwear, Raspberry AI, and industry reports</w:t>
      </w:r>
    </w:p>
    <w:p>
      <w:r>
        <w:br w:type="page"/>
      </w:r>
    </w:p>
    <w:p>
      <w:pPr>
        <w:pStyle w:val="Heading1"/>
      </w:pPr>
      <w:r>
        <w:t>How to use this document</w:t>
      </w:r>
    </w:p>
    <w:p>
      <w:pPr>
        <w:spacing w:after="120" w:line="264" w:lineRule="auto"/>
      </w:pPr>
      <w:r>
        <w:rPr>
          <w:rFonts w:ascii="Calibri" w:hAnsi="Calibri"/>
          <w:i w:val="0"/>
          <w:color w:val="17181C"/>
          <w:sz w:val="22"/>
        </w:rPr>
        <w:t>This is a product blueprint and execution guide, not a promise that every item should be built inside Atelier. It separates the capabilities Atelier should own from those it should integrate, and distinguishes demo polish from pilot readiness and enterprise scale.</w:t>
      </w:r>
    </w:p>
    <w:p>
      <w:pPr>
        <w:numPr>
          <w:ilvl w:val="0"/>
          <w:numId w:val="10"/>
        </w:numPr>
        <w:spacing w:after="120" w:line="280" w:lineRule="auto"/>
      </w:pPr>
      <w:r>
        <w:rPr>
          <w:rFonts w:ascii="Calibri" w:hAnsi="Calibri"/>
          <w:color w:val="17181C"/>
          <w:sz w:val="22"/>
        </w:rPr>
        <w:t>Sections 1–4 define the thesis, research, current position, and product principles.</w:t>
      </w:r>
    </w:p>
    <w:p>
      <w:pPr>
        <w:numPr>
          <w:ilvl w:val="0"/>
          <w:numId w:val="10"/>
        </w:numPr>
        <w:spacing w:after="120" w:line="280" w:lineRule="auto"/>
      </w:pPr>
      <w:r>
        <w:rPr>
          <w:rFonts w:ascii="Calibri" w:hAnsi="Calibri"/>
          <w:color w:val="17181C"/>
          <w:sz w:val="22"/>
        </w:rPr>
        <w:t>Sections 5–8 specify the AI taste team, universal import layer, collection workflow, and generative design.</w:t>
      </w:r>
    </w:p>
    <w:p>
      <w:pPr>
        <w:numPr>
          <w:ilvl w:val="0"/>
          <w:numId w:val="10"/>
        </w:numPr>
        <w:spacing w:after="120" w:line="280" w:lineRule="auto"/>
      </w:pPr>
      <w:r>
        <w:rPr>
          <w:rFonts w:ascii="Calibri" w:hAnsi="Calibri"/>
          <w:color w:val="17181C"/>
          <w:sz w:val="22"/>
        </w:rPr>
        <w:t>Sections 9–12 cover planning, operational depth, collaboration, enterprise controls, and integrations.</w:t>
      </w:r>
    </w:p>
    <w:p>
      <w:pPr>
        <w:numPr>
          <w:ilvl w:val="0"/>
          <w:numId w:val="10"/>
        </w:numPr>
        <w:spacing w:after="120" w:line="280" w:lineRule="auto"/>
      </w:pPr>
      <w:r>
        <w:rPr>
          <w:rFonts w:ascii="Calibri" w:hAnsi="Calibri"/>
          <w:color w:val="17181C"/>
          <w:sz w:val="22"/>
        </w:rPr>
        <w:t>Sections 13–16 provide the pre-session checklist, phased roadmap, metrics, risks, and prioritized backlog.</w:t>
      </w:r>
    </w:p>
    <w:p>
      <w:pPr>
        <w:pStyle w:val="Heading1"/>
      </w:pPr>
      <w:r>
        <w:t>Executive summary</w:t>
      </w:r>
    </w:p>
    <w:tbl>
      <w:tblPr>
        <w:tblW w:type="dxa" w:w="9360"/>
        <w:jc w:val="left"/>
        <w:tblLayout w:type="fixed"/>
        <w:tblLook w:firstColumn="1" w:firstRow="1" w:lastColumn="0" w:lastRow="0" w:noHBand="0" w:noVBand="1" w:val="04A0"/>
        <w:tblInd w:type="dxa" w:w="180"/>
      </w:tblPr>
      <w:tblGrid>
        <w:gridCol w:w="9360"/>
      </w:tblGrid>
      <w:tr>
        <w:trPr/>
        <w:tc>
          <w:tcPr>
            <w:tcW w:type="dxa" w:w="9360"/>
            <w:shd w:fill="EAEEFE"/>
            <w:tcBorders>
              <w:top w:val="single" w:sz="8" w:color="2B4BEA"/>
              <w:left w:val="single" w:sz="8" w:color="2B4BEA"/>
              <w:bottom w:val="single" w:sz="8" w:color="2B4BEA"/>
              <w:right w:val="single" w:sz="8" w:color="2B4BEA"/>
              <w:insideH w:val="single" w:sz="8" w:color="2B4BEA"/>
              <w:insideV w:val="single" w:sz="8" w:color="2B4BEA"/>
            </w:tcBorders>
            <w:tcMar>
              <w:top w:w="110" w:type="dxa"/>
              <w:bottom w:w="110" w:type="dxa"/>
              <w:start w:w="180" w:type="dxa"/>
              <w:end w:w="180" w:type="dxa"/>
            </w:tcMar>
          </w:tcPr>
          <w:p>
            <w:pPr>
              <w:spacing w:before="60" w:after="60" w:line="264" w:lineRule="auto"/>
            </w:pPr>
            <w:r>
              <w:rPr>
                <w:rFonts w:ascii="Calibri" w:hAnsi="Calibri"/>
                <w:b/>
                <w:color w:val="2B4BEA"/>
                <w:sz w:val="18"/>
              </w:rPr>
              <w:t xml:space="preserve">DECISION  </w:t>
            </w:r>
            <w:r>
              <w:rPr>
                <w:rFonts w:ascii="Calibri" w:hAnsi="Calibri"/>
                <w:b w:val="0"/>
                <w:color w:val="17181C"/>
                <w:sz w:val="22"/>
              </w:rPr>
              <w:t>Atelier should not become a smaller Centric, WGSN, EDITED, Zhiyi, or Raspberry AI. It should become the brand-specific decision system connecting their strongest inputs—market evidence, brand memory, product creation, financial constraints, technical feasibility, approval, launch, and measured outcome.</w:t>
            </w:r>
          </w:p>
        </w:tc>
      </w:tr>
    </w:tbl>
    <w:p>
      <w:pPr>
        <w:spacing w:after="40"/>
      </w:pPr>
    </w:p>
    <w:p>
      <w:pPr>
        <w:spacing w:after="120" w:line="264" w:lineRule="auto"/>
      </w:pPr>
      <w:r>
        <w:rPr>
          <w:rFonts w:ascii="Calibri" w:hAnsi="Calibri"/>
          <w:i w:val="0"/>
          <w:color w:val="17181C"/>
          <w:sz w:val="22"/>
        </w:rPr>
        <w:t>The clearest opportunity is an AI-enabled taste and merchandising team for brands that do not possess Zara-scale sensing, Reformation-style test-and-react operations, or a deeply staffed buying, design, technical, and analytics organization.</w:t>
      </w:r>
    </w:p>
    <w:p>
      <w:pPr>
        <w:spacing w:after="120" w:line="264" w:lineRule="auto"/>
      </w:pPr>
      <w:r>
        <w:rPr>
          <w:rFonts w:ascii="Calibri" w:hAnsi="Calibri"/>
          <w:i w:val="0"/>
          <w:color w:val="17181C"/>
          <w:sz w:val="22"/>
        </w:rPr>
        <w:t>Taste must not mean automated aesthetic conformity. In Atelier, taste is the repeatable ability to observe relevant change, protect a recognizable point of view, make controlled experiments, reject attractive but wrong ideas, and learn from the commercial and customer outcome.</w:t>
      </w:r>
    </w:p>
    <w:p>
      <w:pPr>
        <w:pStyle w:val="Heading2"/>
      </w:pPr>
      <w:r>
        <w:t>What Atelier must become</w:t>
      </w:r>
    </w:p>
    <w:p>
      <w:pPr>
        <w:numPr>
          <w:ilvl w:val="0"/>
          <w:numId w:val="10"/>
        </w:numPr>
        <w:spacing w:after="120" w:line="280" w:lineRule="auto"/>
      </w:pPr>
      <w:r>
        <w:rPr>
          <w:rFonts w:ascii="Calibri" w:hAnsi="Calibri"/>
          <w:color w:val="17181C"/>
          <w:sz w:val="22"/>
        </w:rPr>
        <w:t>A universal evidence and data intake layer where teams can import almost anything and verify how Atelier interpreted it.</w:t>
      </w:r>
    </w:p>
    <w:p>
      <w:pPr>
        <w:numPr>
          <w:ilvl w:val="0"/>
          <w:numId w:val="10"/>
        </w:numPr>
        <w:spacing w:after="120" w:line="280" w:lineRule="auto"/>
      </w:pPr>
      <w:r>
        <w:rPr>
          <w:rFonts w:ascii="Calibri" w:hAnsi="Calibri"/>
          <w:color w:val="17181C"/>
          <w:sz w:val="22"/>
        </w:rPr>
        <w:t>A durable brand memory that learns from products, decisions, explanations, outcomes, and changes in creative direction.</w:t>
      </w:r>
    </w:p>
    <w:p>
      <w:pPr>
        <w:numPr>
          <w:ilvl w:val="0"/>
          <w:numId w:val="10"/>
        </w:numPr>
        <w:spacing w:after="120" w:line="280" w:lineRule="auto"/>
      </w:pPr>
      <w:r>
        <w:rPr>
          <w:rFonts w:ascii="Calibri" w:hAnsi="Calibri"/>
          <w:color w:val="17181C"/>
          <w:sz w:val="22"/>
        </w:rPr>
        <w:t>A coordinated AI taste team—Scout, Archivist, Creative Director, Merchandiser, Technical Partner, and Skeptic—with humans retaining approval.</w:t>
      </w:r>
    </w:p>
    <w:p>
      <w:pPr>
        <w:numPr>
          <w:ilvl w:val="0"/>
          <w:numId w:val="10"/>
        </w:numPr>
        <w:spacing w:after="120" w:line="280" w:lineRule="auto"/>
      </w:pPr>
      <w:r>
        <w:rPr>
          <w:rFonts w:ascii="Calibri" w:hAnsi="Calibri"/>
          <w:color w:val="17181C"/>
          <w:sz w:val="22"/>
        </w:rPr>
        <w:t>A collection command center that governs one traceable loop from evidence to results.</w:t>
      </w:r>
    </w:p>
    <w:p>
      <w:pPr>
        <w:numPr>
          <w:ilvl w:val="0"/>
          <w:numId w:val="10"/>
        </w:numPr>
        <w:spacing w:after="120" w:line="280" w:lineRule="auto"/>
      </w:pPr>
      <w:r>
        <w:rPr>
          <w:rFonts w:ascii="Calibri" w:hAnsi="Calibri"/>
          <w:color w:val="17181C"/>
          <w:sz w:val="22"/>
        </w:rPr>
        <w:t>A professional planning system using ranges, scenarios, comparable products, and explicit uncertainty rather than false certainty.</w:t>
      </w:r>
    </w:p>
    <w:p>
      <w:pPr>
        <w:numPr>
          <w:ilvl w:val="0"/>
          <w:numId w:val="10"/>
        </w:numPr>
        <w:spacing w:after="120" w:line="280" w:lineRule="auto"/>
      </w:pPr>
      <w:r>
        <w:rPr>
          <w:rFonts w:ascii="Calibri" w:hAnsi="Calibri"/>
          <w:color w:val="17181C"/>
          <w:sz w:val="22"/>
        </w:rPr>
        <w:t>A controlled generative-design environment with reference fidelity, local editing, version lineage, material awareness, and rights controls.</w:t>
      </w:r>
    </w:p>
    <w:p>
      <w:pPr>
        <w:numPr>
          <w:ilvl w:val="0"/>
          <w:numId w:val="10"/>
        </w:numPr>
        <w:spacing w:after="120" w:line="280" w:lineRule="auto"/>
      </w:pPr>
      <w:r>
        <w:rPr>
          <w:rFonts w:ascii="Calibri" w:hAnsi="Calibri"/>
          <w:color w:val="17181C"/>
          <w:sz w:val="22"/>
        </w:rPr>
        <w:t>An integration layer around PLM, ERP, ecommerce, 3D, DAM/PIM, analytics, and collaboration tools rather than a replacement for every system.</w:t>
      </w:r>
    </w:p>
    <w:p>
      <w:pPr>
        <w:pStyle w:val="Heading2"/>
      </w:pPr>
      <w:r>
        <w:t>What matters most</w:t>
      </w:r>
    </w:p>
    <w:p>
      <w:pPr>
        <w:spacing w:after="120" w:line="264" w:lineRule="auto"/>
      </w:pPr>
      <w:r>
        <w:rPr>
          <w:rFonts w:ascii="Calibri" w:hAnsi="Calibri"/>
          <w:i w:val="0"/>
          <w:color w:val="17181C"/>
          <w:sz w:val="22"/>
        </w:rPr>
        <w:t>The first objective is not more screens or more models. It is one coherent, trustworthy collection that a team can operate through from brief to measured result. Everything in the roadmap should improve the quality, speed, or traceability of that loop.</w:t>
      </w:r>
    </w:p>
    <w:p>
      <w:pPr>
        <w:pStyle w:val="Heading1"/>
      </w:pPr>
      <w:r>
        <w:t>1. Research: what high-performing fashion systems actually do</w:t>
      </w:r>
    </w:p>
    <w:p>
      <w:pPr>
        <w:pStyle w:val="Heading2"/>
      </w:pPr>
      <w:r>
        <w:t>1.1 Inditex/Zara: responsiveness is the advantage</w:t>
      </w:r>
    </w:p>
    <w:p>
      <w:pPr>
        <w:spacing w:after="120" w:line="264" w:lineRule="auto"/>
      </w:pPr>
      <w:r>
        <w:rPr>
          <w:rFonts w:ascii="Calibri" w:hAnsi="Calibri"/>
          <w:i w:val="0"/>
          <w:color w:val="17181C"/>
          <w:sz w:val="22"/>
        </w:rPr>
        <w:t>Inditex publicly describes customer-oriented design, frequent newness, proximity production, and the ability to react during the season. The lesson for Atelier is not to imitate Zara’s volume or supply chain. It is to compress the distance between observation, decision, production commitment, and feedback.</w:t>
      </w:r>
      <w:r>
        <w:rPr>
          <w:rFonts w:ascii="Calibri" w:hAnsi="Calibri"/>
          <w:b/>
          <w:color w:val="2B4BEA"/>
          <w:sz w:val="16"/>
          <w:vertAlign w:val="superscript"/>
        </w:rPr>
        <w:t xml:space="preserve"> [1]</w:t>
      </w:r>
    </w:p>
    <w:p>
      <w:pPr>
        <w:numPr>
          <w:ilvl w:val="0"/>
          <w:numId w:val="10"/>
        </w:numPr>
        <w:spacing w:after="120" w:line="280" w:lineRule="auto"/>
      </w:pPr>
      <w:r>
        <w:rPr>
          <w:rFonts w:ascii="Calibri" w:hAnsi="Calibri"/>
          <w:color w:val="17181C"/>
          <w:sz w:val="22"/>
        </w:rPr>
        <w:t>Signals are useful only when they reach design and buying decisions quickly.</w:t>
      </w:r>
    </w:p>
    <w:p>
      <w:pPr>
        <w:numPr>
          <w:ilvl w:val="0"/>
          <w:numId w:val="10"/>
        </w:numPr>
        <w:spacing w:after="120" w:line="280" w:lineRule="auto"/>
      </w:pPr>
      <w:r>
        <w:rPr>
          <w:rFonts w:ascii="Calibri" w:hAnsi="Calibri"/>
          <w:color w:val="17181C"/>
          <w:sz w:val="22"/>
        </w:rPr>
        <w:t>Creative, commercial, store, and operational information must meet around the same product object.</w:t>
      </w:r>
    </w:p>
    <w:p>
      <w:pPr>
        <w:numPr>
          <w:ilvl w:val="0"/>
          <w:numId w:val="10"/>
        </w:numPr>
        <w:spacing w:after="120" w:line="280" w:lineRule="auto"/>
      </w:pPr>
      <w:r>
        <w:rPr>
          <w:rFonts w:ascii="Calibri" w:hAnsi="Calibri"/>
          <w:color w:val="17181C"/>
          <w:sz w:val="22"/>
        </w:rPr>
        <w:t>Cadence matters: a modest-quality signal used weekly can be more valuable than a perfect report used seasonally.</w:t>
      </w:r>
    </w:p>
    <w:p>
      <w:pPr>
        <w:numPr>
          <w:ilvl w:val="0"/>
          <w:numId w:val="10"/>
        </w:numPr>
        <w:spacing w:after="120" w:line="280" w:lineRule="auto"/>
      </w:pPr>
      <w:r>
        <w:rPr>
          <w:rFonts w:ascii="Calibri" w:hAnsi="Calibri"/>
          <w:color w:val="17181C"/>
          <w:sz w:val="22"/>
        </w:rPr>
        <w:t>Supply flexibility determines how much uncertainty a brand can tolerate; Atelier must treat lead time and MOQ as decision variables.</w:t>
      </w:r>
    </w:p>
    <w:p>
      <w:pPr>
        <w:pStyle w:val="Heading2"/>
      </w:pPr>
      <w:r>
        <w:t>1.2 Reformation: small tests and direct feedback</w:t>
      </w:r>
    </w:p>
    <w:p>
      <w:pPr>
        <w:spacing w:after="120" w:line="264" w:lineRule="auto"/>
      </w:pPr>
      <w:r>
        <w:rPr>
          <w:rFonts w:ascii="Calibri" w:hAnsi="Calibri"/>
          <w:i w:val="0"/>
          <w:color w:val="17181C"/>
          <w:sz w:val="22"/>
        </w:rPr>
        <w:t>Reformation’s own public material describes weekly limited editions, small initial quantities, and restocks informed by sales, preorders, and waitlists. Public interviews also emphasize fit, product quality, a responsive supply chain, and granular data from the shopping journey.</w:t>
      </w:r>
      <w:r>
        <w:rPr>
          <w:rFonts w:ascii="Calibri" w:hAnsi="Calibri"/>
          <w:b/>
          <w:color w:val="2B4BEA"/>
          <w:sz w:val="16"/>
          <w:vertAlign w:val="superscript"/>
        </w:rPr>
        <w:t xml:space="preserve"> [2]</w:t>
      </w:r>
      <w:r>
        <w:rPr>
          <w:rFonts w:ascii="Calibri" w:hAnsi="Calibri"/>
          <w:b/>
          <w:color w:val="2B4BEA"/>
          <w:sz w:val="16"/>
          <w:vertAlign w:val="superscript"/>
        </w:rPr>
        <w:t xml:space="preserve"> [3]</w:t>
      </w:r>
    </w:p>
    <w:p>
      <w:pPr>
        <w:numPr>
          <w:ilvl w:val="0"/>
          <w:numId w:val="10"/>
        </w:numPr>
        <w:spacing w:after="120" w:line="280" w:lineRule="auto"/>
      </w:pPr>
      <w:r>
        <w:rPr>
          <w:rFonts w:ascii="Calibri" w:hAnsi="Calibri"/>
          <w:color w:val="17181C"/>
          <w:sz w:val="22"/>
        </w:rPr>
        <w:t>A forecast is less dangerous when the initial commitment is small and replenishment is fast.</w:t>
      </w:r>
    </w:p>
    <w:p>
      <w:pPr>
        <w:numPr>
          <w:ilvl w:val="0"/>
          <w:numId w:val="10"/>
        </w:numPr>
        <w:spacing w:after="120" w:line="280" w:lineRule="auto"/>
      </w:pPr>
      <w:r>
        <w:rPr>
          <w:rFonts w:ascii="Calibri" w:hAnsi="Calibri"/>
          <w:color w:val="17181C"/>
          <w:sz w:val="22"/>
        </w:rPr>
        <w:t>Waitlists, preorders, conversion, fitting-room behavior, returns, and qualitative feedback are different kinds of demand evidence.</w:t>
      </w:r>
    </w:p>
    <w:p>
      <w:pPr>
        <w:numPr>
          <w:ilvl w:val="0"/>
          <w:numId w:val="10"/>
        </w:numPr>
        <w:spacing w:after="120" w:line="280" w:lineRule="auto"/>
      </w:pPr>
      <w:r>
        <w:rPr>
          <w:rFonts w:ascii="Calibri" w:hAnsi="Calibri"/>
          <w:color w:val="17181C"/>
          <w:sz w:val="22"/>
        </w:rPr>
        <w:t>A product team needs pre-agreed success, replenish, revise, and stop conditions—not post-hoc storytelling.</w:t>
      </w:r>
    </w:p>
    <w:p>
      <w:pPr>
        <w:numPr>
          <w:ilvl w:val="0"/>
          <w:numId w:val="10"/>
        </w:numPr>
        <w:spacing w:after="120" w:line="280" w:lineRule="auto"/>
      </w:pPr>
      <w:r>
        <w:rPr>
          <w:rFonts w:ascii="Calibri" w:hAnsi="Calibri"/>
          <w:color w:val="17181C"/>
          <w:sz w:val="22"/>
        </w:rPr>
        <w:t>Taste and sustainability align when experimentation is controlled and unproven inventory is limited.</w:t>
      </w:r>
    </w:p>
    <w:p>
      <w:pPr>
        <w:pStyle w:val="Heading2"/>
      </w:pPr>
      <w:r>
        <w:t>1.3 The market is moving into Atelier’s territory</w:t>
      </w:r>
    </w:p>
    <w:p>
      <w:pPr>
        <w:spacing w:after="120" w:line="264" w:lineRule="auto"/>
      </w:pPr>
      <w:r>
        <w:rPr>
          <w:rFonts w:ascii="Calibri" w:hAnsi="Calibri"/>
          <w:i w:val="0"/>
          <w:color w:val="17181C"/>
          <w:sz w:val="22"/>
        </w:rPr>
        <w:t>Centric markets an end-to-end stack across market intelligence, planning, PLM, pricing, sourcing, inventory, and commercialization. WGSN Fashion Buying combines forecast intelligence with historical sales and assortment sizing. EDITED connects competitive assortment, pricing, and merchandising intelligence. Zhiyi combines large-scale discovery, ecommerce/social data, AI selection, and AI design. Browzwear owns fit-accurate 3D product creation and production-ready outputs; Raspberry AI concentrates on creative generation from concept through campaign.</w:t>
      </w:r>
      <w:r>
        <w:rPr>
          <w:rFonts w:ascii="Calibri" w:hAnsi="Calibri"/>
          <w:b/>
          <w:color w:val="2B4BEA"/>
          <w:sz w:val="16"/>
          <w:vertAlign w:val="superscript"/>
        </w:rPr>
        <w:t xml:space="preserve"> [5]</w:t>
      </w:r>
      <w:r>
        <w:rPr>
          <w:rFonts w:ascii="Calibri" w:hAnsi="Calibri"/>
          <w:b/>
          <w:color w:val="2B4BEA"/>
          <w:sz w:val="16"/>
          <w:vertAlign w:val="superscript"/>
        </w:rPr>
        <w:t xml:space="preserve"> [6]</w:t>
      </w:r>
      <w:r>
        <w:rPr>
          <w:rFonts w:ascii="Calibri" w:hAnsi="Calibri"/>
          <w:b/>
          <w:color w:val="2B4BEA"/>
          <w:sz w:val="16"/>
          <w:vertAlign w:val="superscript"/>
        </w:rPr>
        <w:t xml:space="preserve"> [7]</w:t>
      </w:r>
      <w:r>
        <w:rPr>
          <w:rFonts w:ascii="Calibri" w:hAnsi="Calibri"/>
          <w:b/>
          <w:color w:val="2B4BEA"/>
          <w:sz w:val="16"/>
          <w:vertAlign w:val="superscript"/>
        </w:rPr>
        <w:t xml:space="preserve"> [8]</w:t>
      </w:r>
      <w:r>
        <w:rPr>
          <w:rFonts w:ascii="Calibri" w:hAnsi="Calibri"/>
          <w:b/>
          <w:color w:val="2B4BEA"/>
          <w:sz w:val="16"/>
          <w:vertAlign w:val="superscript"/>
        </w:rPr>
        <w:t xml:space="preserve"> [9]</w:t>
      </w:r>
      <w:r>
        <w:rPr>
          <w:rFonts w:ascii="Calibri" w:hAnsi="Calibri"/>
          <w:b/>
          <w:color w:val="2B4BEA"/>
          <w:sz w:val="16"/>
          <w:vertAlign w:val="superscript"/>
        </w:rPr>
        <w:t xml:space="preserve"> [10]</w:t>
      </w:r>
    </w:p>
    <w:tbl>
      <w:tblPr>
        <w:tblW w:type="dxa" w:w="9360"/>
        <w:jc w:val="left"/>
        <w:tblLayout w:type="fixed"/>
        <w:tblLook w:firstColumn="1" w:firstRow="1" w:lastColumn="0" w:lastRow="0" w:noHBand="0" w:noVBand="1" w:val="04A0"/>
        <w:tblInd w:type="dxa" w:w="120"/>
      </w:tblPr>
      <w:tblGrid>
        <w:gridCol w:w="1320"/>
        <w:gridCol w:w="2040"/>
        <w:gridCol w:w="2520"/>
        <w:gridCol w:w="3480"/>
      </w:tblGrid>
      <w:tr>
        <w:trPr>
          <w:tblHeader w:val="true"/>
          <w:cantSplit/>
        </w:trPr>
        <w:tc>
          <w:tcPr>
            <w:tcW w:type="dxa" w:w="132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Platform</w:t>
            </w:r>
          </w:p>
        </w:tc>
        <w:tc>
          <w:tcPr>
            <w:tcW w:type="dxa" w:w="204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Documented strength</w:t>
            </w:r>
          </w:p>
        </w:tc>
        <w:tc>
          <w:tcPr>
            <w:tcW w:type="dxa" w:w="252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Atelier should not copy</w:t>
            </w:r>
          </w:p>
        </w:tc>
        <w:tc>
          <w:tcPr>
            <w:tcW w:type="dxa" w:w="348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Atelier opportunity</w:t>
            </w:r>
          </w:p>
        </w:tc>
      </w:tr>
      <w:tr>
        <w:trPr>
          <w:cantSplit/>
        </w:trPr>
        <w:tc>
          <w:tcPr>
            <w:tcW w:type="dxa" w:w="13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Centric</w:t>
            </w:r>
          </w:p>
        </w:tc>
        <w:tc>
          <w:tcPr>
            <w:tcW w:type="dxa" w:w="204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PLM, planning, sourcing, pricing, inventory</w:t>
            </w:r>
          </w:p>
        </w:tc>
        <w:tc>
          <w:tcPr>
            <w:tcW w:type="dxa" w:w="25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Full enterprise system of record</w:t>
            </w:r>
          </w:p>
        </w:tc>
        <w:tc>
          <w:tcPr>
            <w:tcW w:type="dxa" w:w="34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Faster decision layer with evidence and outcomes</w:t>
            </w:r>
          </w:p>
        </w:tc>
      </w:tr>
      <w:tr>
        <w:trPr>
          <w:cantSplit/>
        </w:trPr>
        <w:tc>
          <w:tcPr>
            <w:tcW w:type="dxa" w:w="13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WGSN</w:t>
            </w:r>
          </w:p>
        </w:tc>
        <w:tc>
          <w:tcPr>
            <w:tcW w:type="dxa" w:w="204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Forecasting, trend expertise, buying tools</w:t>
            </w:r>
          </w:p>
        </w:tc>
        <w:tc>
          <w:tcPr>
            <w:tcW w:type="dxa" w:w="25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Global content operation</w:t>
            </w:r>
          </w:p>
        </w:tc>
        <w:tc>
          <w:tcPr>
            <w:tcW w:type="dxa" w:w="34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Translate direction into one brand’s governed product bets</w:t>
            </w:r>
          </w:p>
        </w:tc>
      </w:tr>
      <w:tr>
        <w:trPr>
          <w:cantSplit/>
        </w:trPr>
        <w:tc>
          <w:tcPr>
            <w:tcW w:type="dxa" w:w="13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EDITED</w:t>
            </w:r>
          </w:p>
        </w:tc>
        <w:tc>
          <w:tcPr>
            <w:tcW w:type="dxa" w:w="204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Competitive assortment, pricing, merchandising</w:t>
            </w:r>
          </w:p>
        </w:tc>
        <w:tc>
          <w:tcPr>
            <w:tcW w:type="dxa" w:w="25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Global retail data scale</w:t>
            </w:r>
          </w:p>
        </w:tc>
        <w:tc>
          <w:tcPr>
            <w:tcW w:type="dxa" w:w="34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Connect external market evidence to internal decisions</w:t>
            </w:r>
          </w:p>
        </w:tc>
      </w:tr>
      <w:tr>
        <w:trPr>
          <w:cantSplit/>
        </w:trPr>
        <w:tc>
          <w:tcPr>
            <w:tcW w:type="dxa" w:w="13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Zhiyi</w:t>
            </w:r>
          </w:p>
        </w:tc>
        <w:tc>
          <w:tcPr>
            <w:tcW w:type="dxa" w:w="204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Visual discovery, ecommerce/social data, AI design</w:t>
            </w:r>
          </w:p>
        </w:tc>
        <w:tc>
          <w:tcPr>
            <w:tcW w:type="dxa" w:w="25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High-volume discovery arms race</w:t>
            </w:r>
          </w:p>
        </w:tc>
        <w:tc>
          <w:tcPr>
            <w:tcW w:type="dxa" w:w="34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Private Western-brand workflow and governance</w:t>
            </w:r>
          </w:p>
        </w:tc>
      </w:tr>
      <w:tr>
        <w:trPr>
          <w:cantSplit/>
        </w:trPr>
        <w:tc>
          <w:tcPr>
            <w:tcW w:type="dxa" w:w="13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Browzwear/CLO</w:t>
            </w:r>
          </w:p>
        </w:tc>
        <w:tc>
          <w:tcPr>
            <w:tcW w:type="dxa" w:w="204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3D digital twins, fit, production output</w:t>
            </w:r>
          </w:p>
        </w:tc>
        <w:tc>
          <w:tcPr>
            <w:tcW w:type="dxa" w:w="25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Patternmaking and physics engine</w:t>
            </w:r>
          </w:p>
        </w:tc>
        <w:tc>
          <w:tcPr>
            <w:tcW w:type="dxa" w:w="34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Orchestrate approved concepts into 3D workflows</w:t>
            </w:r>
          </w:p>
        </w:tc>
      </w:tr>
      <w:tr>
        <w:trPr>
          <w:cantSplit/>
        </w:trPr>
        <w:tc>
          <w:tcPr>
            <w:tcW w:type="dxa" w:w="13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Raspberry AI</w:t>
            </w:r>
          </w:p>
        </w:tc>
        <w:tc>
          <w:tcPr>
            <w:tcW w:type="dxa" w:w="204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Fashion-native concept and campaign generation</w:t>
            </w:r>
          </w:p>
        </w:tc>
        <w:tc>
          <w:tcPr>
            <w:tcW w:type="dxa" w:w="252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Generic image-generation competition</w:t>
            </w:r>
          </w:p>
        </w:tc>
        <w:tc>
          <w:tcPr>
            <w:tcW w:type="dxa" w:w="34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Own everything around the image: plan, approval, test, result</w:t>
            </w:r>
          </w:p>
        </w:tc>
      </w:tr>
    </w:tbl>
    <w:p>
      <w:pPr>
        <w:spacing w:after="40"/>
      </w:pPr>
    </w:p>
    <w:p>
      <w:pPr>
        <w:pStyle w:val="Heading2"/>
      </w:pPr>
      <w:r>
        <w:t>1.4 Brands are asking for inventory intelligence</w:t>
      </w:r>
    </w:p>
    <w:p>
      <w:pPr>
        <w:spacing w:after="120" w:line="264" w:lineRule="auto"/>
      </w:pPr>
      <w:r>
        <w:rPr>
          <w:rFonts w:ascii="Calibri" w:hAnsi="Calibri"/>
          <w:i w:val="0"/>
          <w:color w:val="17181C"/>
          <w:sz w:val="22"/>
        </w:rPr>
        <w:t>McKinsey’s State of Fashion research highlights inventory optimization, data-driven planning, forecasting, localization, margin protection, and more agile supply networks as persistent priorities. The 2025 report says 75% of surveyed fashion executives planned to prioritize data-driven planning and forecasting; the 2026 report continues to emphasize assortment mix, inventory, pricing, and demand-driven optimization.</w:t>
      </w:r>
      <w:r>
        <w:rPr>
          <w:rFonts w:ascii="Calibri" w:hAnsi="Calibri"/>
          <w:b/>
          <w:color w:val="2B4BEA"/>
          <w:sz w:val="16"/>
          <w:vertAlign w:val="superscript"/>
        </w:rPr>
        <w:t xml:space="preserve"> [4]</w:t>
      </w:r>
    </w:p>
    <w:p>
      <w:pPr>
        <w:spacing w:after="120" w:line="264" w:lineRule="auto"/>
      </w:pPr>
      <w:r>
        <w:rPr>
          <w:rFonts w:ascii="Calibri" w:hAnsi="Calibri"/>
          <w:i w:val="0"/>
          <w:color w:val="17181C"/>
          <w:sz w:val="22"/>
        </w:rPr>
        <w:t>Therefore, Atelier’s loudest capability should not be image generation alone. It should be the governed answer to: what should this brand back, why, how much, under which constraints, and what result would prove the decision correct?</w:t>
      </w:r>
    </w:p>
    <w:p>
      <w:pPr>
        <w:pStyle w:val="Heading1"/>
      </w:pPr>
      <w:r>
        <w:t>2. Product thesis and positioning</w:t>
      </w:r>
    </w:p>
    <w:tbl>
      <w:tblPr>
        <w:tblW w:type="dxa" w:w="9360"/>
        <w:jc w:val="left"/>
        <w:tblLayout w:type="fixed"/>
        <w:tblLook w:firstColumn="1" w:firstRow="1" w:lastColumn="0" w:lastRow="0" w:noHBand="0" w:noVBand="1" w:val="04A0"/>
        <w:tblInd w:type="dxa" w:w="180"/>
      </w:tblPr>
      <w:tblGrid>
        <w:gridCol w:w="9360"/>
      </w:tblGrid>
      <w:tr>
        <w:trPr/>
        <w:tc>
          <w:tcPr>
            <w:tcW w:type="dxa" w:w="9360"/>
            <w:shd w:fill="EAEEFE"/>
            <w:tcBorders>
              <w:top w:val="single" w:sz="8" w:color="2B4BEA"/>
              <w:left w:val="single" w:sz="8" w:color="2B4BEA"/>
              <w:bottom w:val="single" w:sz="8" w:color="2B4BEA"/>
              <w:right w:val="single" w:sz="8" w:color="2B4BEA"/>
              <w:insideH w:val="single" w:sz="8" w:color="2B4BEA"/>
              <w:insideV w:val="single" w:sz="8" w:color="2B4BEA"/>
            </w:tcBorders>
            <w:tcMar>
              <w:top w:w="110" w:type="dxa"/>
              <w:bottom w:w="110" w:type="dxa"/>
              <w:start w:w="180" w:type="dxa"/>
              <w:end w:w="180" w:type="dxa"/>
            </w:tcMar>
          </w:tcPr>
          <w:p>
            <w:pPr>
              <w:spacing w:before="60" w:after="60" w:line="264" w:lineRule="auto"/>
            </w:pPr>
            <w:r>
              <w:rPr>
                <w:rFonts w:ascii="Calibri" w:hAnsi="Calibri"/>
                <w:b/>
                <w:color w:val="2B4BEA"/>
                <w:sz w:val="18"/>
              </w:rPr>
              <w:t xml:space="preserve">CATEGORY  </w:t>
            </w:r>
            <w:r>
              <w:rPr>
                <w:rFonts w:ascii="Calibri" w:hAnsi="Calibri"/>
                <w:b w:val="0"/>
                <w:color w:val="17181C"/>
                <w:sz w:val="22"/>
              </w:rPr>
              <w:t>Atelier is the AI Taste &amp; Collection Intelligence Operating System: a brand-specific decision layer between market intelligence, first-party data, creative development, PLM/production systems, and measured outcomes.</w:t>
            </w:r>
          </w:p>
        </w:tc>
      </w:tr>
    </w:tbl>
    <w:p>
      <w:pPr>
        <w:spacing w:after="40"/>
      </w:pPr>
    </w:p>
    <w:p>
      <w:pPr>
        <w:pStyle w:val="Heading2"/>
      </w:pPr>
      <w:r>
        <w:t>2.1 The product promise</w:t>
      </w:r>
    </w:p>
    <w:p>
      <w:pPr>
        <w:spacing w:after="120" w:line="264" w:lineRule="auto"/>
      </w:pPr>
      <w:r>
        <w:rPr>
          <w:rFonts w:ascii="Calibri" w:hAnsi="Calibri"/>
          <w:i w:val="0"/>
          <w:color w:val="17181C"/>
          <w:sz w:val="22"/>
        </w:rPr>
        <w:t>Atelier helps a fashion team develop a sharper point of view and operate it with commercial discipline. It does not promise clairvoyance. It helps teams make better evidenced decisions, commit proportionately to uncertainty, and learn faster.</w:t>
      </w:r>
    </w:p>
    <w:p>
      <w:pPr>
        <w:pStyle w:val="Heading2"/>
      </w:pPr>
      <w:r>
        <w:t>2.2 The object Atelier owns</w:t>
      </w:r>
    </w:p>
    <w:tbl>
      <w:tblPr>
        <w:tblW w:type="dxa" w:w="9360"/>
        <w:jc w:val="left"/>
        <w:tblLayout w:type="fixed"/>
        <w:tblLook w:firstColumn="1" w:firstRow="1" w:lastColumn="0" w:lastRow="0" w:noHBand="0" w:noVBand="1" w:val="04A0"/>
        <w:tblInd w:type="dxa" w:w="180"/>
      </w:tblPr>
      <w:tblGrid>
        <w:gridCol w:w="9360"/>
      </w:tblGrid>
      <w:tr>
        <w:trPr/>
        <w:tc>
          <w:tcPr>
            <w:tcW w:type="dxa" w:w="9360"/>
            <w:shd w:fill="F9EDE6"/>
            <w:tcBorders>
              <w:top w:val="single" w:sz="8" w:color="C4582B"/>
              <w:left w:val="single" w:sz="8" w:color="C4582B"/>
              <w:bottom w:val="single" w:sz="8" w:color="C4582B"/>
              <w:right w:val="single" w:sz="8" w:color="C4582B"/>
              <w:insideH w:val="single" w:sz="8" w:color="C4582B"/>
              <w:insideV w:val="single" w:sz="8" w:color="C4582B"/>
            </w:tcBorders>
            <w:tcMar>
              <w:top w:w="110" w:type="dxa"/>
              <w:bottom w:w="110" w:type="dxa"/>
              <w:start w:w="180" w:type="dxa"/>
              <w:end w:w="180" w:type="dxa"/>
            </w:tcMar>
          </w:tcPr>
          <w:p>
            <w:pPr>
              <w:spacing w:before="60" w:after="60" w:line="264" w:lineRule="auto"/>
            </w:pPr>
            <w:r>
              <w:rPr>
                <w:rFonts w:ascii="Calibri" w:hAnsi="Calibri"/>
                <w:b/>
                <w:color w:val="C4582B"/>
                <w:sz w:val="18"/>
              </w:rPr>
              <w:t xml:space="preserve">CORE OBJECT  </w:t>
            </w:r>
            <w:r>
              <w:rPr>
                <w:rFonts w:ascii="Calibri" w:hAnsi="Calibri"/>
                <w:b w:val="0"/>
                <w:color w:val="17181C"/>
                <w:sz w:val="22"/>
              </w:rPr>
              <w:t>Brand-specific product bet = market evidence + brand memory + customer evidence + financial constraints + technical feasibility + creative judgment + human approval + measured outcome.</w:t>
            </w:r>
          </w:p>
        </w:tc>
      </w:tr>
    </w:tbl>
    <w:p>
      <w:pPr>
        <w:spacing w:after="40"/>
      </w:pPr>
    </w:p>
    <w:p>
      <w:pPr>
        <w:pStyle w:val="Heading2"/>
      </w:pPr>
      <w:r>
        <w:t>2.3 Positioning language</w:t>
      </w:r>
    </w:p>
    <w:p>
      <w:pPr>
        <w:numPr>
          <w:ilvl w:val="0"/>
          <w:numId w:val="10"/>
        </w:numPr>
        <w:spacing w:after="120" w:line="280" w:lineRule="auto"/>
      </w:pPr>
      <w:r>
        <w:rPr>
          <w:rFonts w:ascii="Calibri" w:hAnsi="Calibri"/>
          <w:color w:val="17181C"/>
          <w:sz w:val="22"/>
        </w:rPr>
        <w:t>Use: “Give every brand an AI-enabled taste, merchandising, and learning team.”</w:t>
      </w:r>
    </w:p>
    <w:p>
      <w:pPr>
        <w:numPr>
          <w:ilvl w:val="0"/>
          <w:numId w:val="10"/>
        </w:numPr>
        <w:spacing w:after="120" w:line="280" w:lineRule="auto"/>
      </w:pPr>
      <w:r>
        <w:rPr>
          <w:rFonts w:ascii="Calibri" w:hAnsi="Calibri"/>
          <w:color w:val="17181C"/>
          <w:sz w:val="22"/>
        </w:rPr>
        <w:t>Use: “Turn everything your team knows into better collection decisions.”</w:t>
      </w:r>
    </w:p>
    <w:p>
      <w:pPr>
        <w:numPr>
          <w:ilvl w:val="0"/>
          <w:numId w:val="10"/>
        </w:numPr>
        <w:spacing w:after="120" w:line="280" w:lineRule="auto"/>
      </w:pPr>
      <w:r>
        <w:rPr>
          <w:rFonts w:ascii="Calibri" w:hAnsi="Calibri"/>
          <w:color w:val="17181C"/>
          <w:sz w:val="22"/>
        </w:rPr>
        <w:t>Use: “Test smaller, replenish intelligently, and preserve why every decision was made.”</w:t>
      </w:r>
    </w:p>
    <w:p>
      <w:pPr>
        <w:numPr>
          <w:ilvl w:val="0"/>
          <w:numId w:val="10"/>
        </w:numPr>
        <w:spacing w:after="120" w:line="280" w:lineRule="auto"/>
      </w:pPr>
      <w:r>
        <w:rPr>
          <w:rFonts w:ascii="Calibri" w:hAnsi="Calibri"/>
          <w:color w:val="17181C"/>
          <w:sz w:val="22"/>
        </w:rPr>
        <w:t>Avoid: “Replace your creative director.”</w:t>
      </w:r>
    </w:p>
    <w:p>
      <w:pPr>
        <w:numPr>
          <w:ilvl w:val="0"/>
          <w:numId w:val="10"/>
        </w:numPr>
        <w:spacing w:after="120" w:line="280" w:lineRule="auto"/>
      </w:pPr>
      <w:r>
        <w:rPr>
          <w:rFonts w:ascii="Calibri" w:hAnsi="Calibri"/>
          <w:color w:val="17181C"/>
          <w:sz w:val="22"/>
        </w:rPr>
        <w:t>Avoid: “Predict what will sell with certainty.”</w:t>
      </w:r>
    </w:p>
    <w:p>
      <w:pPr>
        <w:numPr>
          <w:ilvl w:val="0"/>
          <w:numId w:val="10"/>
        </w:numPr>
        <w:spacing w:after="120" w:line="280" w:lineRule="auto"/>
      </w:pPr>
      <w:r>
        <w:rPr>
          <w:rFonts w:ascii="Calibri" w:hAnsi="Calibri"/>
          <w:color w:val="17181C"/>
          <w:sz w:val="22"/>
        </w:rPr>
        <w:t>Avoid: “A complete replacement for Centric, WGSN, or your ERP.”</w:t>
      </w:r>
    </w:p>
    <w:p>
      <w:pPr>
        <w:pStyle w:val="Heading1"/>
      </w:pPr>
      <w:r>
        <w:t>3. Current Atelier: strengths and gaps</w:t>
      </w:r>
    </w:p>
    <w:p>
      <w:pPr>
        <w:spacing w:after="120" w:line="264" w:lineRule="auto"/>
      </w:pPr>
      <w:r>
        <w:rPr>
          <w:rFonts w:ascii="Calibri" w:hAnsi="Calibri"/>
          <w:i w:val="0"/>
          <w:color w:val="17181C"/>
          <w:sz w:val="22"/>
        </w:rPr>
        <w:t>The current codebase is more mature than a first impression suggests. The engine already contains much of the traceable collection spine; recent frontend work has made the collection stages increasingly coherent. The remaining problem is product shape, professional depth, data intake, validation, and operational reliability.</w:t>
      </w:r>
    </w:p>
    <w:tbl>
      <w:tblPr>
        <w:tblW w:type="dxa" w:w="9360"/>
        <w:jc w:val="left"/>
        <w:tblLayout w:type="fixed"/>
        <w:tblLook w:firstColumn="1" w:firstRow="1" w:lastColumn="0" w:lastRow="0" w:noHBand="0" w:noVBand="1" w:val="04A0"/>
        <w:tblInd w:type="dxa" w:w="120"/>
      </w:tblPr>
      <w:tblGrid>
        <w:gridCol w:w="1600"/>
        <w:gridCol w:w="2680"/>
        <w:gridCol w:w="1500"/>
        <w:gridCol w:w="3580"/>
      </w:tblGrid>
      <w:tr>
        <w:trPr>
          <w:tblHeader w:val="true"/>
          <w:cantSplit/>
        </w:trPr>
        <w:tc>
          <w:tcPr>
            <w:tcW w:type="dxa" w:w="16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Capability</w:t>
            </w:r>
          </w:p>
        </w:tc>
        <w:tc>
          <w:tcPr>
            <w:tcW w:type="dxa" w:w="268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Current position</w:t>
            </w:r>
          </w:p>
        </w:tc>
        <w:tc>
          <w:tcPr>
            <w:tcW w:type="dxa" w:w="15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Assessment</w:t>
            </w:r>
          </w:p>
        </w:tc>
        <w:tc>
          <w:tcPr>
            <w:tcW w:type="dxa" w:w="358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Required next move</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Brand/tenant scope</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Brand-scoped state and engine identity exist</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Pilot-grade</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Organization membership, normal sign-in, RBAC</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Collection brief</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Versioned, evidence-linked, approvable</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Strong foundation</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Templates, comparison, structured intake, role approvals</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Range plan</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Server-owned rows, totals, blockers</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Promising</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Scenarios, OTB, cost depth, top-down/bottom-up reconciliation</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Concepts</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Versions, approval, generation, studio workflow</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Visually strong</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Controlled edits, lineage, material/technical fidelity</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Launch lineage</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Approved versions pinned at launch</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Differentiating</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Expose complete audit and outcome learning everywhere</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Market layer</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Substantial crawl and evidence surfaces</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Useful but uneven</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Coverage, taxonomy, demand distinction, freshness controls</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Taste learning</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Some calibration and decision memory</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Early</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Explicit taste training, held-out evaluation, team disagreement</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Imports</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CSV and selective uploads only</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Major gap</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Universal import center and canonical knowledge graph</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Collaboration</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Shared state and some concurrency</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Limited</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Comments, assignments, notifications, compare, activity</w:t>
            </w:r>
          </w:p>
        </w:tc>
      </w:tr>
      <w:tr>
        <w:trPr>
          <w:cantSplit/>
        </w:trPr>
        <w:tc>
          <w:tcPr>
            <w:tcW w:type="dxa" w:w="1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Production readiness</w:t>
            </w:r>
          </w:p>
        </w:tc>
        <w:tc>
          <w:tcPr>
            <w:tcW w:type="dxa" w:w="26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Local/pilot environment</w:t>
            </w:r>
          </w:p>
        </w:tc>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Not enterprise-ready</w:t>
            </w:r>
          </w:p>
        </w:tc>
        <w:tc>
          <w:tcPr>
            <w:tcW w:type="dxa" w:w="35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Onboarding, security, observability, deployment, recovery</w:t>
            </w:r>
          </w:p>
        </w:tc>
      </w:tr>
    </w:tbl>
    <w:p>
      <w:pPr>
        <w:spacing w:after="40"/>
      </w:pPr>
    </w:p>
    <w:p>
      <w:pPr>
        <w:pStyle w:val="Heading2"/>
      </w:pPr>
      <w:r>
        <w:t>3.1 Preserve these strengths</w:t>
      </w:r>
    </w:p>
    <w:p>
      <w:pPr>
        <w:numPr>
          <w:ilvl w:val="0"/>
          <w:numId w:val="10"/>
        </w:numPr>
        <w:spacing w:after="120" w:line="280" w:lineRule="auto"/>
      </w:pPr>
      <w:r>
        <w:rPr>
          <w:rFonts w:ascii="Calibri" w:hAnsi="Calibri"/>
          <w:color w:val="17181C"/>
          <w:sz w:val="22"/>
        </w:rPr>
        <w:t>Empty-and-labeled beats plausible: never fabricate operational numbers.</w:t>
      </w:r>
    </w:p>
    <w:p>
      <w:pPr>
        <w:numPr>
          <w:ilvl w:val="0"/>
          <w:numId w:val="10"/>
        </w:numPr>
        <w:spacing w:after="120" w:line="280" w:lineRule="auto"/>
      </w:pPr>
      <w:r>
        <w:rPr>
          <w:rFonts w:ascii="Calibri" w:hAnsi="Calibri"/>
          <w:color w:val="17181C"/>
          <w:sz w:val="22"/>
        </w:rPr>
        <w:t>Approved artifacts are immutable and decisions preserve version lineage.</w:t>
      </w:r>
    </w:p>
    <w:p>
      <w:pPr>
        <w:numPr>
          <w:ilvl w:val="0"/>
          <w:numId w:val="10"/>
        </w:numPr>
        <w:spacing w:after="120" w:line="280" w:lineRule="auto"/>
      </w:pPr>
      <w:r>
        <w:rPr>
          <w:rFonts w:ascii="Calibri" w:hAnsi="Calibri"/>
          <w:color w:val="17181C"/>
          <w:sz w:val="22"/>
        </w:rPr>
        <w:t>Contradicting evidence is first-class rather than hidden.</w:t>
      </w:r>
    </w:p>
    <w:p>
      <w:pPr>
        <w:numPr>
          <w:ilvl w:val="0"/>
          <w:numId w:val="10"/>
        </w:numPr>
        <w:spacing w:after="120" w:line="280" w:lineRule="auto"/>
      </w:pPr>
      <w:r>
        <w:rPr>
          <w:rFonts w:ascii="Calibri" w:hAnsi="Calibri"/>
          <w:color w:val="17181C"/>
          <w:sz w:val="22"/>
        </w:rPr>
        <w:t>The engine, not the browser, judges financial and decision rules.</w:t>
      </w:r>
    </w:p>
    <w:p>
      <w:pPr>
        <w:numPr>
          <w:ilvl w:val="0"/>
          <w:numId w:val="10"/>
        </w:numPr>
        <w:spacing w:after="120" w:line="280" w:lineRule="auto"/>
      </w:pPr>
      <w:r>
        <w:rPr>
          <w:rFonts w:ascii="Calibri" w:hAnsi="Calibri"/>
          <w:color w:val="17181C"/>
          <w:sz w:val="22"/>
        </w:rPr>
        <w:t>One active collection flows through a persistent stage rail.</w:t>
      </w:r>
    </w:p>
    <w:p>
      <w:pPr>
        <w:numPr>
          <w:ilvl w:val="0"/>
          <w:numId w:val="10"/>
        </w:numPr>
        <w:spacing w:after="120" w:line="280" w:lineRule="auto"/>
      </w:pPr>
      <w:r>
        <w:rPr>
          <w:rFonts w:ascii="Calibri" w:hAnsi="Calibri"/>
          <w:color w:val="17181C"/>
          <w:sz w:val="22"/>
        </w:rPr>
        <w:t>Launch is distinct from approval, and outcomes trace back to governing versions.</w:t>
      </w:r>
    </w:p>
    <w:p>
      <w:pPr>
        <w:pStyle w:val="Heading2"/>
      </w:pPr>
      <w:r>
        <w:t>3.2 Immediate trust liabilities</w:t>
      </w:r>
    </w:p>
    <w:p>
      <w:pPr>
        <w:numPr>
          <w:ilvl w:val="0"/>
          <w:numId w:val="10"/>
        </w:numPr>
        <w:spacing w:after="120" w:line="280" w:lineRule="auto"/>
      </w:pPr>
      <w:r>
        <w:rPr>
          <w:rFonts w:ascii="Calibri" w:hAnsi="Calibri"/>
          <w:color w:val="17181C"/>
          <w:sz w:val="22"/>
        </w:rPr>
        <w:t>The local engine can be offline while most of the interface remains visible.</w:t>
      </w:r>
    </w:p>
    <w:p>
      <w:pPr>
        <w:numPr>
          <w:ilvl w:val="0"/>
          <w:numId w:val="10"/>
        </w:numPr>
        <w:spacing w:after="120" w:line="280" w:lineRule="auto"/>
      </w:pPr>
      <w:r>
        <w:rPr>
          <w:rFonts w:ascii="Calibri" w:hAnsi="Calibri"/>
          <w:color w:val="17181C"/>
          <w:sz w:val="22"/>
        </w:rPr>
        <w:t>The current sign-in experience exposes bearer-token and terminal concepts.</w:t>
      </w:r>
    </w:p>
    <w:p>
      <w:pPr>
        <w:numPr>
          <w:ilvl w:val="0"/>
          <w:numId w:val="10"/>
        </w:numPr>
        <w:spacing w:after="120" w:line="280" w:lineRule="auto"/>
      </w:pPr>
      <w:r>
        <w:rPr>
          <w:rFonts w:ascii="Calibri" w:hAnsi="Calibri"/>
          <w:color w:val="17181C"/>
          <w:sz w:val="22"/>
        </w:rPr>
        <w:t>Some surfaces still mix Spanish and English.</w:t>
      </w:r>
    </w:p>
    <w:p>
      <w:pPr>
        <w:numPr>
          <w:ilvl w:val="0"/>
          <w:numId w:val="10"/>
        </w:numPr>
        <w:spacing w:after="120" w:line="280" w:lineRule="auto"/>
      </w:pPr>
      <w:r>
        <w:rPr>
          <w:rFonts w:ascii="Calibri" w:hAnsi="Calibri"/>
          <w:color w:val="17181C"/>
          <w:sz w:val="22"/>
        </w:rPr>
        <w:t>Sample connectors and sample-heavy screens can be mistaken for operational capability.</w:t>
      </w:r>
    </w:p>
    <w:p>
      <w:pPr>
        <w:numPr>
          <w:ilvl w:val="0"/>
          <w:numId w:val="10"/>
        </w:numPr>
        <w:spacing w:after="120" w:line="280" w:lineRule="auto"/>
      </w:pPr>
      <w:r>
        <w:rPr>
          <w:rFonts w:ascii="Calibri" w:hAnsi="Calibri"/>
          <w:color w:val="17181C"/>
          <w:sz w:val="22"/>
        </w:rPr>
        <w:t>There is no polished first-run onboarding or capability-level explanation.</w:t>
      </w:r>
    </w:p>
    <w:p>
      <w:pPr>
        <w:numPr>
          <w:ilvl w:val="0"/>
          <w:numId w:val="10"/>
        </w:numPr>
        <w:spacing w:after="120" w:line="280" w:lineRule="auto"/>
      </w:pPr>
      <w:r>
        <w:rPr>
          <w:rFonts w:ascii="Calibri" w:hAnsi="Calibri"/>
          <w:color w:val="17181C"/>
          <w:sz w:val="22"/>
        </w:rPr>
        <w:t>There is no collection portfolio command center before entering a stage.</w:t>
      </w:r>
    </w:p>
    <w:p>
      <w:pPr>
        <w:pStyle w:val="Heading1"/>
      </w:pPr>
      <w:r>
        <w:t>4. Product principles</w:t>
      </w:r>
    </w:p>
    <w:p>
      <w:pPr>
        <w:numPr>
          <w:ilvl w:val="0"/>
          <w:numId w:val="10"/>
        </w:numPr>
        <w:spacing w:after="120" w:line="280" w:lineRule="auto"/>
      </w:pPr>
      <w:r>
        <w:rPr>
          <w:rFonts w:ascii="Calibri" w:hAnsi="Calibri"/>
          <w:b/>
          <w:color w:val="17181C"/>
          <w:sz w:val="22"/>
        </w:rPr>
        <w:t>Evidence before confidence.</w:t>
      </w:r>
      <w:r>
        <w:rPr>
          <w:rFonts w:ascii="Calibri" w:hAnsi="Calibri"/>
          <w:color w:val="17181C"/>
          <w:sz w:val="22"/>
        </w:rPr>
        <w:t xml:space="preserve"> Every recommendation cites its sources, dates, basis, uncertainty, and contradicting evidence.</w:t>
      </w:r>
    </w:p>
    <w:p>
      <w:pPr>
        <w:numPr>
          <w:ilvl w:val="0"/>
          <w:numId w:val="10"/>
        </w:numPr>
        <w:spacing w:after="120" w:line="280" w:lineRule="auto"/>
      </w:pPr>
      <w:r>
        <w:rPr>
          <w:rFonts w:ascii="Calibri" w:hAnsi="Calibri"/>
          <w:b/>
          <w:color w:val="17181C"/>
          <w:sz w:val="22"/>
        </w:rPr>
        <w:t>Human taste amplified.</w:t>
      </w:r>
      <w:r>
        <w:rPr>
          <w:rFonts w:ascii="Calibri" w:hAnsi="Calibri"/>
          <w:color w:val="17181C"/>
          <w:sz w:val="22"/>
        </w:rPr>
        <w:t xml:space="preserve"> AI proposes, compares, remembers, and challenges; accountable people approve.</w:t>
      </w:r>
    </w:p>
    <w:p>
      <w:pPr>
        <w:numPr>
          <w:ilvl w:val="0"/>
          <w:numId w:val="10"/>
        </w:numPr>
        <w:spacing w:after="120" w:line="280" w:lineRule="auto"/>
      </w:pPr>
      <w:r>
        <w:rPr>
          <w:rFonts w:ascii="Calibri" w:hAnsi="Calibri"/>
          <w:b/>
          <w:color w:val="17181C"/>
          <w:sz w:val="22"/>
        </w:rPr>
        <w:t>Brand specificity.</w:t>
      </w:r>
      <w:r>
        <w:rPr>
          <w:rFonts w:ascii="Calibri" w:hAnsi="Calibri"/>
          <w:color w:val="17181C"/>
          <w:sz w:val="22"/>
        </w:rPr>
        <w:t xml:space="preserve"> No data, decision, or model output silently crosses brands.</w:t>
      </w:r>
    </w:p>
    <w:p>
      <w:pPr>
        <w:numPr>
          <w:ilvl w:val="0"/>
          <w:numId w:val="10"/>
        </w:numPr>
        <w:spacing w:after="120" w:line="280" w:lineRule="auto"/>
      </w:pPr>
      <w:r>
        <w:rPr>
          <w:rFonts w:ascii="Calibri" w:hAnsi="Calibri"/>
          <w:b/>
          <w:color w:val="17181C"/>
          <w:sz w:val="22"/>
        </w:rPr>
        <w:t>Small bets before big claims.</w:t>
      </w:r>
      <w:r>
        <w:rPr>
          <w:rFonts w:ascii="Calibri" w:hAnsi="Calibri"/>
          <w:color w:val="17181C"/>
          <w:sz w:val="22"/>
        </w:rPr>
        <w:t xml:space="preserve"> Unproven products receive test ranges and stop conditions, not manufactured precision.</w:t>
      </w:r>
    </w:p>
    <w:p>
      <w:pPr>
        <w:numPr>
          <w:ilvl w:val="0"/>
          <w:numId w:val="10"/>
        </w:numPr>
        <w:spacing w:after="120" w:line="280" w:lineRule="auto"/>
      </w:pPr>
      <w:r>
        <w:rPr>
          <w:rFonts w:ascii="Calibri" w:hAnsi="Calibri"/>
          <w:b/>
          <w:color w:val="17181C"/>
          <w:sz w:val="22"/>
        </w:rPr>
        <w:t>One collection graph.</w:t>
      </w:r>
      <w:r>
        <w:rPr>
          <w:rFonts w:ascii="Calibri" w:hAnsi="Calibri"/>
          <w:color w:val="17181C"/>
          <w:sz w:val="22"/>
        </w:rPr>
        <w:t xml:space="preserve"> Brief, range, concept, sample, approval, launch, and result are versions of one governed object.</w:t>
      </w:r>
    </w:p>
    <w:p>
      <w:pPr>
        <w:numPr>
          <w:ilvl w:val="0"/>
          <w:numId w:val="10"/>
        </w:numPr>
        <w:spacing w:after="120" w:line="280" w:lineRule="auto"/>
      </w:pPr>
      <w:r>
        <w:rPr>
          <w:rFonts w:ascii="Calibri" w:hAnsi="Calibri"/>
          <w:b/>
          <w:color w:val="17181C"/>
          <w:sz w:val="22"/>
        </w:rPr>
        <w:t>Universal intake, structured memory.</w:t>
      </w:r>
      <w:r>
        <w:rPr>
          <w:rFonts w:ascii="Calibri" w:hAnsi="Calibri"/>
          <w:color w:val="17181C"/>
          <w:sz w:val="22"/>
        </w:rPr>
        <w:t xml:space="preserve"> Anything may be imported, but nothing becomes authoritative without mapping, provenance, and review.</w:t>
      </w:r>
    </w:p>
    <w:p>
      <w:pPr>
        <w:numPr>
          <w:ilvl w:val="0"/>
          <w:numId w:val="10"/>
        </w:numPr>
        <w:spacing w:after="120" w:line="280" w:lineRule="auto"/>
      </w:pPr>
      <w:r>
        <w:rPr>
          <w:rFonts w:ascii="Calibri" w:hAnsi="Calibri"/>
          <w:b/>
          <w:color w:val="17181C"/>
          <w:sz w:val="22"/>
        </w:rPr>
        <w:t>Explainable abstention.</w:t>
      </w:r>
      <w:r>
        <w:rPr>
          <w:rFonts w:ascii="Calibri" w:hAnsi="Calibri"/>
          <w:color w:val="17181C"/>
          <w:sz w:val="22"/>
        </w:rPr>
        <w:t xml:space="preserve"> Atelier must say ‘insufficient evidence’ when a conclusion is unsupported.</w:t>
      </w:r>
    </w:p>
    <w:p>
      <w:pPr>
        <w:numPr>
          <w:ilvl w:val="0"/>
          <w:numId w:val="10"/>
        </w:numPr>
        <w:spacing w:after="120" w:line="280" w:lineRule="auto"/>
      </w:pPr>
      <w:r>
        <w:rPr>
          <w:rFonts w:ascii="Calibri" w:hAnsi="Calibri"/>
          <w:b/>
          <w:color w:val="17181C"/>
          <w:sz w:val="22"/>
        </w:rPr>
        <w:t>Integrate around the decision.</w:t>
      </w:r>
      <w:r>
        <w:rPr>
          <w:rFonts w:ascii="Calibri" w:hAnsi="Calibri"/>
          <w:color w:val="17181C"/>
          <w:sz w:val="22"/>
        </w:rPr>
        <w:t xml:space="preserve"> Use PLM, ERP, 3D, ecommerce, and market platforms as systems of record or evidence when appropriate.</w:t>
      </w:r>
    </w:p>
    <w:p>
      <w:pPr>
        <w:numPr>
          <w:ilvl w:val="0"/>
          <w:numId w:val="10"/>
        </w:numPr>
        <w:spacing w:after="120" w:line="280" w:lineRule="auto"/>
      </w:pPr>
      <w:r>
        <w:rPr>
          <w:rFonts w:ascii="Calibri" w:hAnsi="Calibri"/>
          <w:b/>
          <w:color w:val="17181C"/>
          <w:sz w:val="22"/>
        </w:rPr>
        <w:t>Outcome learning.</w:t>
      </w:r>
      <w:r>
        <w:rPr>
          <w:rFonts w:ascii="Calibri" w:hAnsi="Calibri"/>
          <w:color w:val="17181C"/>
          <w:sz w:val="22"/>
        </w:rPr>
        <w:t xml:space="preserve"> The product improves only when decisions are linked to what happened later.</w:t>
      </w:r>
    </w:p>
    <w:p>
      <w:pPr>
        <w:numPr>
          <w:ilvl w:val="0"/>
          <w:numId w:val="10"/>
        </w:numPr>
        <w:spacing w:after="120" w:line="280" w:lineRule="auto"/>
      </w:pPr>
      <w:r>
        <w:rPr>
          <w:rFonts w:ascii="Calibri" w:hAnsi="Calibri"/>
          <w:b/>
          <w:color w:val="17181C"/>
          <w:sz w:val="22"/>
        </w:rPr>
        <w:t>Private by default.</w:t>
      </w:r>
      <w:r>
        <w:rPr>
          <w:rFonts w:ascii="Calibri" w:hAnsi="Calibri"/>
          <w:color w:val="17181C"/>
          <w:sz w:val="22"/>
        </w:rPr>
        <w:t xml:space="preserve"> Client data, creative assets, and learned brand representations require explicit ownership, retention, and training controls.</w:t>
      </w:r>
    </w:p>
    <w:p>
      <w:pPr>
        <w:pStyle w:val="Heading1"/>
      </w:pPr>
      <w:r>
        <w:t>5. The AI Taste Team</w:t>
      </w:r>
    </w:p>
    <w:p>
      <w:pPr>
        <w:spacing w:after="120" w:line="264" w:lineRule="auto"/>
      </w:pPr>
      <w:r>
        <w:rPr>
          <w:rFonts w:ascii="Calibri" w:hAnsi="Calibri"/>
          <w:i w:val="0"/>
          <w:color w:val="17181C"/>
          <w:sz w:val="22"/>
        </w:rPr>
        <w:t>The Taste Team should be a coordinated set of specialized agents and tools, not one personality pretending to be an expert. Each role has a different mandate, evidence boundary, and authority.</w:t>
      </w:r>
    </w:p>
    <w:tbl>
      <w:tblPr>
        <w:tblW w:type="dxa" w:w="9360"/>
        <w:jc w:val="left"/>
        <w:tblLayout w:type="fixed"/>
        <w:tblLook w:firstColumn="1" w:firstRow="1" w:lastColumn="0" w:lastRow="0" w:noHBand="0" w:noVBand="1" w:val="04A0"/>
        <w:tblInd w:type="dxa" w:w="120"/>
      </w:tblPr>
      <w:tblGrid>
        <w:gridCol w:w="1900"/>
        <w:gridCol w:w="7460"/>
      </w:tblGrid>
      <w:tr>
        <w:trPr>
          <w:tblHeader w:val="true"/>
          <w:cantSplit/>
        </w:trPr>
        <w:tc>
          <w:tcPr>
            <w:tcW w:type="dxa" w:w="19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8"/>
              </w:rPr>
              <w:t>Role</w:t>
            </w:r>
          </w:p>
        </w:tc>
        <w:tc>
          <w:tcPr>
            <w:tcW w:type="dxa" w:w="746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8"/>
              </w:rPr>
              <w:t>Mandate</w:t>
            </w:r>
          </w:p>
        </w:tc>
      </w:tr>
      <w:tr>
        <w:trPr>
          <w:cantSplit/>
        </w:trPr>
        <w:tc>
          <w:tcPr>
            <w:tcW w:type="dxa" w:w="1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Scout</w:t>
            </w:r>
          </w:p>
        </w:tc>
        <w:tc>
          <w:tcPr>
            <w:tcW w:type="dxa" w:w="74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Finds emerging market, culture, customer, competitor, and product signals; distinguishes demand, attention, and supply.</w:t>
            </w:r>
          </w:p>
        </w:tc>
      </w:tr>
      <w:tr>
        <w:trPr>
          <w:cantSplit/>
        </w:trPr>
        <w:tc>
          <w:tcPr>
            <w:tcW w:type="dxa" w:w="1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Brand Archivist</w:t>
            </w:r>
          </w:p>
        </w:tc>
        <w:tc>
          <w:tcPr>
            <w:tcW w:type="dxa" w:w="74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Maintains brand codes, history, decisions, explanations, successes, failures, and deliberate evolution.</w:t>
            </w:r>
          </w:p>
        </w:tc>
      </w:tr>
      <w:tr>
        <w:trPr>
          <w:cantSplit/>
        </w:trPr>
        <w:tc>
          <w:tcPr>
            <w:tcW w:type="dxa" w:w="1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Creative Director</w:t>
            </w:r>
          </w:p>
        </w:tc>
        <w:tc>
          <w:tcPr>
            <w:tcW w:type="dxa" w:w="74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Creates and critiques directions against the brief, customer, occasion, collection, and brand memory.</w:t>
            </w:r>
          </w:p>
        </w:tc>
      </w:tr>
      <w:tr>
        <w:trPr>
          <w:cantSplit/>
        </w:trPr>
        <w:tc>
          <w:tcPr>
            <w:tcW w:type="dxa" w:w="1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Merchandiser</w:t>
            </w:r>
          </w:p>
        </w:tc>
        <w:tc>
          <w:tcPr>
            <w:tcW w:type="dxa" w:w="74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Evaluates assortment need, price architecture, option count, units, margin, channel, and cannibalization.</w:t>
            </w:r>
          </w:p>
        </w:tc>
      </w:tr>
      <w:tr>
        <w:trPr>
          <w:cantSplit/>
        </w:trPr>
        <w:tc>
          <w:tcPr>
            <w:tcW w:type="dxa" w:w="1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Technical Partner</w:t>
            </w:r>
          </w:p>
        </w:tc>
        <w:tc>
          <w:tcPr>
            <w:tcW w:type="dxa" w:w="74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Checks material, construction, MOQ, lead time, supplier capability, cost, fit, and sample risk.</w:t>
            </w:r>
          </w:p>
        </w:tc>
      </w:tr>
      <w:tr>
        <w:trPr>
          <w:cantSplit/>
        </w:trPr>
        <w:tc>
          <w:tcPr>
            <w:tcW w:type="dxa" w:w="1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Customer Advocate</w:t>
            </w:r>
          </w:p>
        </w:tc>
        <w:tc>
          <w:tcPr>
            <w:tcW w:type="dxa" w:w="74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Brings reviews, returns, waitlists, search, fit feedback, and segment differences into the decision.</w:t>
            </w:r>
          </w:p>
        </w:tc>
      </w:tr>
      <w:tr>
        <w:trPr>
          <w:cantSplit/>
        </w:trPr>
        <w:tc>
          <w:tcPr>
            <w:tcW w:type="dxa" w:w="1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Skeptic / Red Team</w:t>
            </w:r>
          </w:p>
        </w:tc>
        <w:tc>
          <w:tcPr>
            <w:tcW w:type="dxa" w:w="74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Finds copying, weak evidence, brand drift, feasibility gaps, contradictory signals, and unjustified confidence.</w:t>
            </w:r>
          </w:p>
        </w:tc>
      </w:tr>
      <w:tr>
        <w:trPr>
          <w:cantSplit/>
        </w:trPr>
        <w:tc>
          <w:tcPr>
            <w:tcW w:type="dxa" w:w="1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Facilitator</w:t>
            </w:r>
          </w:p>
        </w:tc>
        <w:tc>
          <w:tcPr>
            <w:tcW w:type="dxa" w:w="74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8"/>
              </w:rPr>
              <w:t>Synthesizes disagreement into options, records the decision, assigns next actions, and preserves rationale.</w:t>
            </w:r>
          </w:p>
        </w:tc>
      </w:tr>
    </w:tbl>
    <w:p>
      <w:pPr>
        <w:spacing w:after="40"/>
      </w:pPr>
    </w:p>
    <w:p>
      <w:pPr>
        <w:pStyle w:val="Heading2"/>
      </w:pPr>
      <w:r>
        <w:t>5.1 Taste calibration</w:t>
      </w:r>
    </w:p>
    <w:p>
      <w:pPr>
        <w:numPr>
          <w:ilvl w:val="0"/>
          <w:numId w:val="10"/>
        </w:numPr>
        <w:spacing w:after="120" w:line="280" w:lineRule="auto"/>
      </w:pPr>
      <w:r>
        <w:rPr>
          <w:rFonts w:ascii="Calibri" w:hAnsi="Calibri"/>
          <w:color w:val="17181C"/>
          <w:sz w:val="22"/>
        </w:rPr>
        <w:t>Pairwise choices: select the stronger of two products and explain why.</w:t>
      </w:r>
    </w:p>
    <w:p>
      <w:pPr>
        <w:numPr>
          <w:ilvl w:val="0"/>
          <w:numId w:val="10"/>
        </w:numPr>
        <w:spacing w:after="120" w:line="280" w:lineRule="auto"/>
      </w:pPr>
      <w:r>
        <w:rPr>
          <w:rFonts w:ascii="Calibri" w:hAnsi="Calibri"/>
          <w:color w:val="17181C"/>
          <w:sz w:val="22"/>
        </w:rPr>
        <w:t>Ranking: order a group from most to least brand-right.</w:t>
      </w:r>
    </w:p>
    <w:p>
      <w:pPr>
        <w:numPr>
          <w:ilvl w:val="0"/>
          <w:numId w:val="10"/>
        </w:numPr>
        <w:spacing w:after="120" w:line="280" w:lineRule="auto"/>
      </w:pPr>
      <w:r>
        <w:rPr>
          <w:rFonts w:ascii="Calibri" w:hAnsi="Calibri"/>
          <w:color w:val="17181C"/>
          <w:sz w:val="22"/>
        </w:rPr>
        <w:t>Boundary training: label Core, Evolution, Experiment, or Off-brand.</w:t>
      </w:r>
    </w:p>
    <w:p>
      <w:pPr>
        <w:numPr>
          <w:ilvl w:val="0"/>
          <w:numId w:val="10"/>
        </w:numPr>
        <w:spacing w:after="120" w:line="280" w:lineRule="auto"/>
      </w:pPr>
      <w:r>
        <w:rPr>
          <w:rFonts w:ascii="Calibri" w:hAnsi="Calibri"/>
          <w:color w:val="17181C"/>
          <w:sz w:val="22"/>
        </w:rPr>
        <w:t>Attribute critique: identify silhouette, proportion, color, texture, print, trim, styling, and construction reasons.</w:t>
      </w:r>
    </w:p>
    <w:p>
      <w:pPr>
        <w:numPr>
          <w:ilvl w:val="0"/>
          <w:numId w:val="10"/>
        </w:numPr>
        <w:spacing w:after="120" w:line="280" w:lineRule="auto"/>
      </w:pPr>
      <w:r>
        <w:rPr>
          <w:rFonts w:ascii="Calibri" w:hAnsi="Calibri"/>
          <w:color w:val="17181C"/>
          <w:sz w:val="22"/>
        </w:rPr>
        <w:t>Decision replay: revisit past approvals after outcomes are known.</w:t>
      </w:r>
    </w:p>
    <w:p>
      <w:pPr>
        <w:numPr>
          <w:ilvl w:val="0"/>
          <w:numId w:val="10"/>
        </w:numPr>
        <w:spacing w:after="120" w:line="280" w:lineRule="auto"/>
      </w:pPr>
      <w:r>
        <w:rPr>
          <w:rFonts w:ascii="Calibri" w:hAnsi="Calibri"/>
          <w:color w:val="17181C"/>
          <w:sz w:val="22"/>
        </w:rPr>
        <w:t>Disagreement capture: preserve where creative, commercial, and technical leaders differ.</w:t>
      </w:r>
    </w:p>
    <w:p>
      <w:pPr>
        <w:numPr>
          <w:ilvl w:val="0"/>
          <w:numId w:val="10"/>
        </w:numPr>
        <w:spacing w:after="120" w:line="280" w:lineRule="auto"/>
      </w:pPr>
      <w:r>
        <w:rPr>
          <w:rFonts w:ascii="Calibri" w:hAnsi="Calibri"/>
          <w:color w:val="17181C"/>
          <w:sz w:val="22"/>
        </w:rPr>
        <w:t>Held-out evaluation: measure whether Atelier predicts team judgments on examples it has not seen.</w:t>
      </w:r>
    </w:p>
    <w:p>
      <w:pPr>
        <w:pStyle w:val="Heading2"/>
      </w:pPr>
      <w:r>
        <w:t>5.2 Taste memory</w:t>
      </w:r>
    </w:p>
    <w:p>
      <w:pPr>
        <w:spacing w:after="120" w:line="264" w:lineRule="auto"/>
      </w:pPr>
      <w:r>
        <w:rPr>
          <w:rFonts w:ascii="Calibri" w:hAnsi="Calibri"/>
          <w:i w:val="0"/>
          <w:color w:val="17181C"/>
          <w:sz w:val="22"/>
        </w:rPr>
        <w:t>Taste memory should store not only selections, but the reason, context, dissent, collection stage, time, decision maker, and subsequent outcome. It should support temporal evolution: a code may be foundational, seasonal, experimental, or retired.</w:t>
      </w:r>
    </w:p>
    <w:p>
      <w:pPr>
        <w:spacing w:after="120" w:line="264" w:lineRule="auto"/>
      </w:pPr>
      <w:r>
        <w:rPr>
          <w:rFonts w:ascii="Calibri" w:hAnsi="Calibri"/>
          <w:i w:val="0"/>
          <w:color w:val="17181C"/>
          <w:sz w:val="22"/>
        </w:rPr>
        <w:t>The output should be language a team recognizes: ‘We favor controlled volume, tactile natural surfaces, and one disruptive detail; we reject literal trend adoption and decorative excess.’ A generic brand-fit percentage is not enough.</w:t>
      </w:r>
    </w:p>
    <w:p>
      <w:pPr>
        <w:pStyle w:val="Heading2"/>
      </w:pPr>
      <w:r>
        <w:t>5.3 Daily and weekly rituals</w:t>
      </w:r>
    </w:p>
    <w:p>
      <w:pPr>
        <w:numPr>
          <w:ilvl w:val="0"/>
          <w:numId w:val="10"/>
        </w:numPr>
        <w:spacing w:after="120" w:line="280" w:lineRule="auto"/>
      </w:pPr>
      <w:r>
        <w:rPr>
          <w:rFonts w:ascii="Calibri" w:hAnsi="Calibri"/>
          <w:color w:val="17181C"/>
          <w:sz w:val="22"/>
        </w:rPr>
        <w:t>Morning Edit: five relevant changes, three possible actions, and one item Atelier intentionally ignored.</w:t>
      </w:r>
    </w:p>
    <w:p>
      <w:pPr>
        <w:numPr>
          <w:ilvl w:val="0"/>
          <w:numId w:val="10"/>
        </w:numPr>
        <w:spacing w:after="120" w:line="280" w:lineRule="auto"/>
      </w:pPr>
      <w:r>
        <w:rPr>
          <w:rFonts w:ascii="Calibri" w:hAnsi="Calibri"/>
          <w:color w:val="17181C"/>
          <w:sz w:val="22"/>
        </w:rPr>
        <w:t>Weekly Taste Review: proposed directions, counterarguments, decisions, and what the system learned.</w:t>
      </w:r>
    </w:p>
    <w:p>
      <w:pPr>
        <w:numPr>
          <w:ilvl w:val="0"/>
          <w:numId w:val="10"/>
        </w:numPr>
        <w:spacing w:after="120" w:line="280" w:lineRule="auto"/>
      </w:pPr>
      <w:r>
        <w:rPr>
          <w:rFonts w:ascii="Calibri" w:hAnsi="Calibri"/>
          <w:color w:val="17181C"/>
          <w:sz w:val="22"/>
        </w:rPr>
        <w:t>Range Review: gaps, duplication, price architecture, financial scenarios, and unproven exposure.</w:t>
      </w:r>
    </w:p>
    <w:p>
      <w:pPr>
        <w:numPr>
          <w:ilvl w:val="0"/>
          <w:numId w:val="10"/>
        </w:numPr>
        <w:spacing w:after="120" w:line="280" w:lineRule="auto"/>
      </w:pPr>
      <w:r>
        <w:rPr>
          <w:rFonts w:ascii="Calibri" w:hAnsi="Calibri"/>
          <w:color w:val="17181C"/>
          <w:sz w:val="22"/>
        </w:rPr>
        <w:t>Launch Readiness: blockers, approvals, delivery risks, and version lineage.</w:t>
      </w:r>
    </w:p>
    <w:p>
      <w:pPr>
        <w:numPr>
          <w:ilvl w:val="0"/>
          <w:numId w:val="10"/>
        </w:numPr>
        <w:spacing w:after="120" w:line="280" w:lineRule="auto"/>
      </w:pPr>
      <w:r>
        <w:rPr>
          <w:rFonts w:ascii="Calibri" w:hAnsi="Calibri"/>
          <w:color w:val="17181C"/>
          <w:sz w:val="22"/>
        </w:rPr>
        <w:t>Hindsight: which assumptions held, which failed, and what should change in brand memory.</w:t>
      </w:r>
    </w:p>
    <w:p>
      <w:pPr>
        <w:pStyle w:val="Heading1"/>
      </w:pPr>
      <w:r>
        <w:t>6. Universal import and the Atelier Knowledge Graph</w:t>
      </w:r>
    </w:p>
    <w:tbl>
      <w:tblPr>
        <w:tblW w:type="dxa" w:w="9360"/>
        <w:jc w:val="left"/>
        <w:tblLayout w:type="fixed"/>
        <w:tblLook w:firstColumn="1" w:firstRow="1" w:lastColumn="0" w:lastRow="0" w:noHBand="0" w:noVBand="1" w:val="04A0"/>
        <w:tblInd w:type="dxa" w:w="180"/>
      </w:tblPr>
      <w:tblGrid>
        <w:gridCol w:w="9360"/>
      </w:tblGrid>
      <w:tr>
        <w:trPr/>
        <w:tc>
          <w:tcPr>
            <w:tcW w:type="dxa" w:w="9360"/>
            <w:shd w:fill="EAEEFE"/>
            <w:tcBorders>
              <w:top w:val="single" w:sz="8" w:color="2B4BEA"/>
              <w:left w:val="single" w:sz="8" w:color="2B4BEA"/>
              <w:bottom w:val="single" w:sz="8" w:color="2B4BEA"/>
              <w:right w:val="single" w:sz="8" w:color="2B4BEA"/>
              <w:insideH w:val="single" w:sz="8" w:color="2B4BEA"/>
              <w:insideV w:val="single" w:sz="8" w:color="2B4BEA"/>
            </w:tcBorders>
            <w:tcMar>
              <w:top w:w="110" w:type="dxa"/>
              <w:bottom w:w="110" w:type="dxa"/>
              <w:start w:w="180" w:type="dxa"/>
              <w:end w:w="180" w:type="dxa"/>
            </w:tcMar>
          </w:tcPr>
          <w:p>
            <w:pPr>
              <w:spacing w:before="60" w:after="60" w:line="264" w:lineRule="auto"/>
            </w:pPr>
            <w:r>
              <w:rPr>
                <w:rFonts w:ascii="Calibri" w:hAnsi="Calibri"/>
                <w:b/>
                <w:color w:val="2B4BEA"/>
                <w:sz w:val="18"/>
              </w:rPr>
              <w:t xml:space="preserve">PRODUCT INTERACTION  </w:t>
            </w:r>
            <w:r>
              <w:rPr>
                <w:rFonts w:ascii="Calibri" w:hAnsi="Calibri"/>
                <w:b w:val="0"/>
                <w:color w:val="17181C"/>
                <w:sz w:val="22"/>
              </w:rPr>
              <w:t>Drop anything here. Tell Atelier what it means. Review what Atelier learned before it uses the information.</w:t>
            </w:r>
          </w:p>
        </w:tc>
      </w:tr>
    </w:tbl>
    <w:p>
      <w:pPr>
        <w:spacing w:after="40"/>
      </w:pPr>
    </w:p>
    <w:p>
      <w:pPr>
        <w:pStyle w:val="Heading2"/>
      </w:pPr>
      <w:r>
        <w:t>6.1 Supported inputs</w:t>
      </w:r>
    </w:p>
    <w:p>
      <w:pPr>
        <w:numPr>
          <w:ilvl w:val="0"/>
          <w:numId w:val="10"/>
        </w:numPr>
        <w:spacing w:after="120" w:line="280" w:lineRule="auto"/>
      </w:pPr>
      <w:r>
        <w:rPr>
          <w:rFonts w:ascii="Calibri" w:hAnsi="Calibri"/>
          <w:color w:val="17181C"/>
          <w:sz w:val="22"/>
        </w:rPr>
        <w:t>Documents: PDF, DOCX, PPTX, text, brand books, trend reports, research, meeting notes.</w:t>
      </w:r>
    </w:p>
    <w:p>
      <w:pPr>
        <w:numPr>
          <w:ilvl w:val="0"/>
          <w:numId w:val="10"/>
        </w:numPr>
        <w:spacing w:after="120" w:line="280" w:lineRule="auto"/>
      </w:pPr>
      <w:r>
        <w:rPr>
          <w:rFonts w:ascii="Calibri" w:hAnsi="Calibri"/>
          <w:color w:val="17181C"/>
          <w:sz w:val="22"/>
        </w:rPr>
        <w:t>Structured data: XLSX, CSV, TSV, exports from ecommerce, ERP, PLM, PIM, WMS, returns, analytics, and finance.</w:t>
      </w:r>
    </w:p>
    <w:p>
      <w:pPr>
        <w:numPr>
          <w:ilvl w:val="0"/>
          <w:numId w:val="10"/>
        </w:numPr>
        <w:spacing w:after="120" w:line="280" w:lineRule="auto"/>
      </w:pPr>
      <w:r>
        <w:rPr>
          <w:rFonts w:ascii="Calibri" w:hAnsi="Calibri"/>
          <w:color w:val="17181C"/>
          <w:sz w:val="22"/>
        </w:rPr>
        <w:t>Visuals: images, sketches, moodboards, campaigns, product photos, CADs, prints, material swatches, video frames.</w:t>
      </w:r>
    </w:p>
    <w:p>
      <w:pPr>
        <w:numPr>
          <w:ilvl w:val="0"/>
          <w:numId w:val="10"/>
        </w:numPr>
        <w:spacing w:after="120" w:line="280" w:lineRule="auto"/>
      </w:pPr>
      <w:r>
        <w:rPr>
          <w:rFonts w:ascii="Calibri" w:hAnsi="Calibri"/>
          <w:color w:val="17181C"/>
          <w:sz w:val="22"/>
        </w:rPr>
        <w:t>Links: product pages, competitor pages, articles, social posts, Pinterest boards, cloud folders.</w:t>
      </w:r>
    </w:p>
    <w:p>
      <w:pPr>
        <w:numPr>
          <w:ilvl w:val="0"/>
          <w:numId w:val="10"/>
        </w:numPr>
        <w:spacing w:after="120" w:line="280" w:lineRule="auto"/>
      </w:pPr>
      <w:r>
        <w:rPr>
          <w:rFonts w:ascii="Calibri" w:hAnsi="Calibri"/>
          <w:color w:val="17181C"/>
          <w:sz w:val="22"/>
        </w:rPr>
        <w:t>Product development: line sheets, tech packs, BOMs, measurements, fit comments, supplier quotes, material sheets.</w:t>
      </w:r>
    </w:p>
    <w:p>
      <w:pPr>
        <w:numPr>
          <w:ilvl w:val="0"/>
          <w:numId w:val="10"/>
        </w:numPr>
        <w:spacing w:after="120" w:line="280" w:lineRule="auto"/>
      </w:pPr>
      <w:r>
        <w:rPr>
          <w:rFonts w:ascii="Calibri" w:hAnsi="Calibri"/>
          <w:color w:val="17181C"/>
          <w:sz w:val="22"/>
        </w:rPr>
        <w:t>Customer evidence: reviews, search terms, waitlists, preorders, customer-service notes, store feedback, return reasons.</w:t>
      </w:r>
    </w:p>
    <w:p>
      <w:pPr>
        <w:numPr>
          <w:ilvl w:val="0"/>
          <w:numId w:val="10"/>
        </w:numPr>
        <w:spacing w:after="120" w:line="280" w:lineRule="auto"/>
      </w:pPr>
      <w:r>
        <w:rPr>
          <w:rFonts w:ascii="Calibri" w:hAnsi="Calibri"/>
          <w:color w:val="17181C"/>
          <w:sz w:val="22"/>
        </w:rPr>
        <w:t>Collaboration: approved email, Slack, Teams, Notion, Drive, SharePoint, Box, and project-system exports.</w:t>
      </w:r>
    </w:p>
    <w:p>
      <w:pPr>
        <w:pStyle w:val="Heading2"/>
      </w:pPr>
      <w:r>
        <w:t>6.2 Import pipeline</w:t>
      </w:r>
    </w:p>
    <w:p>
      <w:pPr>
        <w:numPr>
          <w:ilvl w:val="0"/>
          <w:numId w:val="12"/>
        </w:numPr>
        <w:spacing w:after="120" w:line="280" w:lineRule="auto"/>
      </w:pPr>
      <w:r>
        <w:rPr>
          <w:rFonts w:ascii="Calibri" w:hAnsi="Calibri"/>
          <w:color w:val="17181C"/>
          <w:sz w:val="22"/>
        </w:rPr>
        <w:t>Receive the source and record owner, brand, collection, permissions, and intended use.</w:t>
      </w:r>
    </w:p>
    <w:p>
      <w:pPr>
        <w:numPr>
          <w:ilvl w:val="0"/>
          <w:numId w:val="12"/>
        </w:numPr>
        <w:spacing w:after="120" w:line="280" w:lineRule="auto"/>
      </w:pPr>
      <w:r>
        <w:rPr>
          <w:rFonts w:ascii="Calibri" w:hAnsi="Calibri"/>
          <w:color w:val="17181C"/>
          <w:sz w:val="22"/>
        </w:rPr>
        <w:t>Classify the artifact and detect language, date range, currency, geography, and likely entities.</w:t>
      </w:r>
    </w:p>
    <w:p>
      <w:pPr>
        <w:numPr>
          <w:ilvl w:val="0"/>
          <w:numId w:val="12"/>
        </w:numPr>
        <w:spacing w:after="120" w:line="280" w:lineRule="auto"/>
      </w:pPr>
      <w:r>
        <w:rPr>
          <w:rFonts w:ascii="Calibri" w:hAnsi="Calibri"/>
          <w:color w:val="17181C"/>
          <w:sz w:val="22"/>
        </w:rPr>
        <w:t>Extract text, images, tables, product attributes, metrics, relationships, and claims.</w:t>
      </w:r>
    </w:p>
    <w:p>
      <w:pPr>
        <w:numPr>
          <w:ilvl w:val="0"/>
          <w:numId w:val="12"/>
        </w:numPr>
        <w:spacing w:after="120" w:line="280" w:lineRule="auto"/>
      </w:pPr>
      <w:r>
        <w:rPr>
          <w:rFonts w:ascii="Calibri" w:hAnsi="Calibri"/>
          <w:color w:val="17181C"/>
          <w:sz w:val="22"/>
        </w:rPr>
        <w:t>Map the extraction into Atelier’s canonical objects.</w:t>
      </w:r>
    </w:p>
    <w:p>
      <w:pPr>
        <w:numPr>
          <w:ilvl w:val="0"/>
          <w:numId w:val="12"/>
        </w:numPr>
        <w:spacing w:after="120" w:line="280" w:lineRule="auto"/>
      </w:pPr>
      <w:r>
        <w:rPr>
          <w:rFonts w:ascii="Calibri" w:hAnsi="Calibri"/>
          <w:color w:val="17181C"/>
          <w:sz w:val="22"/>
        </w:rPr>
        <w:t>Show a review screen with confidence, ambiguous mappings, duplicates, conflicts, and missing fields.</w:t>
      </w:r>
    </w:p>
    <w:p>
      <w:pPr>
        <w:numPr>
          <w:ilvl w:val="0"/>
          <w:numId w:val="12"/>
        </w:numPr>
        <w:spacing w:after="120" w:line="280" w:lineRule="auto"/>
      </w:pPr>
      <w:r>
        <w:rPr>
          <w:rFonts w:ascii="Calibri" w:hAnsi="Calibri"/>
          <w:color w:val="17181C"/>
          <w:sz w:val="22"/>
        </w:rPr>
        <w:t>Require confirmation before high-impact data becomes authoritative.</w:t>
      </w:r>
    </w:p>
    <w:p>
      <w:pPr>
        <w:numPr>
          <w:ilvl w:val="0"/>
          <w:numId w:val="12"/>
        </w:numPr>
        <w:spacing w:after="120" w:line="280" w:lineRule="auto"/>
      </w:pPr>
      <w:r>
        <w:rPr>
          <w:rFonts w:ascii="Calibri" w:hAnsi="Calibri"/>
          <w:color w:val="17181C"/>
          <w:sz w:val="22"/>
        </w:rPr>
        <w:t>Create an immutable source snapshot and field-level provenance.</w:t>
      </w:r>
    </w:p>
    <w:p>
      <w:pPr>
        <w:numPr>
          <w:ilvl w:val="0"/>
          <w:numId w:val="12"/>
        </w:numPr>
        <w:spacing w:after="120" w:line="280" w:lineRule="auto"/>
      </w:pPr>
      <w:r>
        <w:rPr>
          <w:rFonts w:ascii="Calibri" w:hAnsi="Calibri"/>
          <w:color w:val="17181C"/>
          <w:sz w:val="22"/>
        </w:rPr>
        <w:t>Index for semantic, visual, structured, and temporal retrieval.</w:t>
      </w:r>
    </w:p>
    <w:p>
      <w:pPr>
        <w:numPr>
          <w:ilvl w:val="0"/>
          <w:numId w:val="12"/>
        </w:numPr>
        <w:spacing w:after="120" w:line="280" w:lineRule="auto"/>
      </w:pPr>
      <w:r>
        <w:rPr>
          <w:rFonts w:ascii="Calibri" w:hAnsi="Calibri"/>
          <w:color w:val="17181C"/>
          <w:sz w:val="22"/>
        </w:rPr>
        <w:t>Apply freshness and retention policies; reprocess when parsers or taxonomies change.</w:t>
      </w:r>
    </w:p>
    <w:p>
      <w:pPr>
        <w:numPr>
          <w:ilvl w:val="0"/>
          <w:numId w:val="12"/>
        </w:numPr>
        <w:spacing w:after="120" w:line="280" w:lineRule="auto"/>
      </w:pPr>
      <w:r>
        <w:rPr>
          <w:rFonts w:ascii="Calibri" w:hAnsi="Calibri"/>
          <w:color w:val="17181C"/>
          <w:sz w:val="22"/>
        </w:rPr>
        <w:t>Make deletion complete: source, derived embeddings, learned associations, and cached generations.</w:t>
      </w:r>
    </w:p>
    <w:p>
      <w:pPr>
        <w:pStyle w:val="Heading2"/>
      </w:pPr>
      <w:r>
        <w:t>6.3 Canonical objects</w:t>
      </w:r>
    </w:p>
    <w:p>
      <w:pPr>
        <w:numPr>
          <w:ilvl w:val="0"/>
          <w:numId w:val="10"/>
        </w:numPr>
        <w:spacing w:after="120" w:line="280" w:lineRule="auto"/>
      </w:pPr>
      <w:r>
        <w:rPr>
          <w:rFonts w:ascii="Calibri" w:hAnsi="Calibri"/>
          <w:color w:val="17181C"/>
          <w:sz w:val="22"/>
        </w:rPr>
        <w:t>Organization, brand, user, team, permission</w:t>
      </w:r>
    </w:p>
    <w:p>
      <w:pPr>
        <w:numPr>
          <w:ilvl w:val="0"/>
          <w:numId w:val="10"/>
        </w:numPr>
        <w:spacing w:after="120" w:line="280" w:lineRule="auto"/>
      </w:pPr>
      <w:r>
        <w:rPr>
          <w:rFonts w:ascii="Calibri" w:hAnsi="Calibri"/>
          <w:color w:val="17181C"/>
          <w:sz w:val="22"/>
        </w:rPr>
        <w:t>Artifact, source snapshot, evidence claim, extraction, citation</w:t>
      </w:r>
    </w:p>
    <w:p>
      <w:pPr>
        <w:numPr>
          <w:ilvl w:val="0"/>
          <w:numId w:val="10"/>
        </w:numPr>
        <w:spacing w:after="120" w:line="280" w:lineRule="auto"/>
      </w:pPr>
      <w:r>
        <w:rPr>
          <w:rFonts w:ascii="Calibri" w:hAnsi="Calibri"/>
          <w:color w:val="17181C"/>
          <w:sz w:val="22"/>
        </w:rPr>
        <w:t>Customer, segment, occasion, geography, channel</w:t>
      </w:r>
    </w:p>
    <w:p>
      <w:pPr>
        <w:numPr>
          <w:ilvl w:val="0"/>
          <w:numId w:val="10"/>
        </w:numPr>
        <w:spacing w:after="120" w:line="280" w:lineRule="auto"/>
      </w:pPr>
      <w:r>
        <w:rPr>
          <w:rFonts w:ascii="Calibri" w:hAnsi="Calibri"/>
          <w:color w:val="17181C"/>
          <w:sz w:val="22"/>
        </w:rPr>
        <w:t>Collection, brief version, evidence link, constraint</w:t>
      </w:r>
    </w:p>
    <w:p>
      <w:pPr>
        <w:numPr>
          <w:ilvl w:val="0"/>
          <w:numId w:val="10"/>
        </w:numPr>
        <w:spacing w:after="120" w:line="280" w:lineRule="auto"/>
      </w:pPr>
      <w:r>
        <w:rPr>
          <w:rFonts w:ascii="Calibri" w:hAnsi="Calibri"/>
          <w:color w:val="17181C"/>
          <w:sz w:val="22"/>
        </w:rPr>
        <w:t>Style, colorway, size/SKU, product family, comparable</w:t>
      </w:r>
    </w:p>
    <w:p>
      <w:pPr>
        <w:numPr>
          <w:ilvl w:val="0"/>
          <w:numId w:val="10"/>
        </w:numPr>
        <w:spacing w:after="120" w:line="280" w:lineRule="auto"/>
      </w:pPr>
      <w:r>
        <w:rPr>
          <w:rFonts w:ascii="Calibri" w:hAnsi="Calibri"/>
          <w:color w:val="17181C"/>
          <w:sz w:val="22"/>
        </w:rPr>
        <w:t>Material, component, supplier, quote, MOQ, lead time</w:t>
      </w:r>
    </w:p>
    <w:p>
      <w:pPr>
        <w:numPr>
          <w:ilvl w:val="0"/>
          <w:numId w:val="10"/>
        </w:numPr>
        <w:spacing w:after="120" w:line="280" w:lineRule="auto"/>
      </w:pPr>
      <w:r>
        <w:rPr>
          <w:rFonts w:ascii="Calibri" w:hAnsi="Calibri"/>
          <w:color w:val="17181C"/>
          <w:sz w:val="22"/>
        </w:rPr>
        <w:t>Concept, generation, edit, version, reference, rights status</w:t>
      </w:r>
    </w:p>
    <w:p>
      <w:pPr>
        <w:numPr>
          <w:ilvl w:val="0"/>
          <w:numId w:val="10"/>
        </w:numPr>
        <w:spacing w:after="120" w:line="280" w:lineRule="auto"/>
      </w:pPr>
      <w:r>
        <w:rPr>
          <w:rFonts w:ascii="Calibri" w:hAnsi="Calibri"/>
          <w:color w:val="17181C"/>
          <w:sz w:val="22"/>
        </w:rPr>
        <w:t>Assortment slot, financial scenario, buy plan, test plan</w:t>
      </w:r>
    </w:p>
    <w:p>
      <w:pPr>
        <w:numPr>
          <w:ilvl w:val="0"/>
          <w:numId w:val="10"/>
        </w:numPr>
        <w:spacing w:after="120" w:line="280" w:lineRule="auto"/>
      </w:pPr>
      <w:r>
        <w:rPr>
          <w:rFonts w:ascii="Calibri" w:hAnsi="Calibri"/>
          <w:color w:val="17181C"/>
          <w:sz w:val="22"/>
        </w:rPr>
        <w:t>Decision, approval, dissent, action, launch, outcome</w:t>
      </w:r>
    </w:p>
    <w:p>
      <w:pPr>
        <w:numPr>
          <w:ilvl w:val="0"/>
          <w:numId w:val="10"/>
        </w:numPr>
        <w:spacing w:after="120" w:line="280" w:lineRule="auto"/>
      </w:pPr>
      <w:r>
        <w:rPr>
          <w:rFonts w:ascii="Calibri" w:hAnsi="Calibri"/>
          <w:color w:val="17181C"/>
          <w:sz w:val="22"/>
        </w:rPr>
        <w:t>Brand code, taste judgment, calibration set, model evaluation</w:t>
      </w:r>
    </w:p>
    <w:p>
      <w:pPr>
        <w:pStyle w:val="Heading2"/>
      </w:pPr>
      <w:r>
        <w:t>6.4 Import-center experience</w:t>
      </w:r>
    </w:p>
    <w:p>
      <w:pPr>
        <w:numPr>
          <w:ilvl w:val="0"/>
          <w:numId w:val="10"/>
        </w:numPr>
        <w:spacing w:after="120" w:line="280" w:lineRule="auto"/>
      </w:pPr>
      <w:r>
        <w:rPr>
          <w:rFonts w:ascii="Calibri" w:hAnsi="Calibri"/>
          <w:color w:val="17181C"/>
          <w:sz w:val="22"/>
        </w:rPr>
        <w:t>Inbox with status: processing, needs review, accepted, conflicted, stale, or failed.</w:t>
      </w:r>
    </w:p>
    <w:p>
      <w:pPr>
        <w:numPr>
          <w:ilvl w:val="0"/>
          <w:numId w:val="10"/>
        </w:numPr>
        <w:spacing w:after="120" w:line="280" w:lineRule="auto"/>
      </w:pPr>
      <w:r>
        <w:rPr>
          <w:rFonts w:ascii="Calibri" w:hAnsi="Calibri"/>
          <w:color w:val="17181C"/>
          <w:sz w:val="22"/>
        </w:rPr>
        <w:t>Side-by-side original versus extracted representation.</w:t>
      </w:r>
    </w:p>
    <w:p>
      <w:pPr>
        <w:numPr>
          <w:ilvl w:val="0"/>
          <w:numId w:val="10"/>
        </w:numPr>
        <w:spacing w:after="120" w:line="280" w:lineRule="auto"/>
      </w:pPr>
      <w:r>
        <w:rPr>
          <w:rFonts w:ascii="Calibri" w:hAnsi="Calibri"/>
          <w:color w:val="17181C"/>
          <w:sz w:val="22"/>
        </w:rPr>
        <w:t>Field mapping with ‘use once,’ ‘remember this mapping,’ and ‘do not use’ controls.</w:t>
      </w:r>
    </w:p>
    <w:p>
      <w:pPr>
        <w:numPr>
          <w:ilvl w:val="0"/>
          <w:numId w:val="10"/>
        </w:numPr>
        <w:spacing w:after="120" w:line="280" w:lineRule="auto"/>
      </w:pPr>
      <w:r>
        <w:rPr>
          <w:rFonts w:ascii="Calibri" w:hAnsi="Calibri"/>
          <w:color w:val="17181C"/>
          <w:sz w:val="22"/>
        </w:rPr>
        <w:t>Data-quality profile: completeness, duplicates, anomalies, currencies, units, dates, and coverage.</w:t>
      </w:r>
    </w:p>
    <w:p>
      <w:pPr>
        <w:numPr>
          <w:ilvl w:val="0"/>
          <w:numId w:val="10"/>
        </w:numPr>
        <w:spacing w:after="120" w:line="280" w:lineRule="auto"/>
      </w:pPr>
      <w:r>
        <w:rPr>
          <w:rFonts w:ascii="Calibri" w:hAnsi="Calibri"/>
          <w:color w:val="17181C"/>
          <w:sz w:val="22"/>
        </w:rPr>
        <w:t>Preview of which screens and decisions the import will affect.</w:t>
      </w:r>
    </w:p>
    <w:p>
      <w:pPr>
        <w:numPr>
          <w:ilvl w:val="0"/>
          <w:numId w:val="10"/>
        </w:numPr>
        <w:spacing w:after="120" w:line="280" w:lineRule="auto"/>
      </w:pPr>
      <w:r>
        <w:rPr>
          <w:rFonts w:ascii="Calibri" w:hAnsi="Calibri"/>
          <w:color w:val="17181C"/>
          <w:sz w:val="22"/>
        </w:rPr>
        <w:t>Source-level permissions and collection/brand scope.</w:t>
      </w:r>
    </w:p>
    <w:p>
      <w:pPr>
        <w:numPr>
          <w:ilvl w:val="0"/>
          <w:numId w:val="10"/>
        </w:numPr>
        <w:spacing w:after="120" w:line="280" w:lineRule="auto"/>
      </w:pPr>
      <w:r>
        <w:rPr>
          <w:rFonts w:ascii="Calibri" w:hAnsi="Calibri"/>
          <w:color w:val="17181C"/>
          <w:sz w:val="22"/>
        </w:rPr>
        <w:t>Import templates for common exports plus API and SFTP options for recurring feeds.</w:t>
      </w:r>
    </w:p>
    <w:p>
      <w:pPr>
        <w:numPr>
          <w:ilvl w:val="0"/>
          <w:numId w:val="10"/>
        </w:numPr>
        <w:spacing w:after="120" w:line="280" w:lineRule="auto"/>
      </w:pPr>
      <w:r>
        <w:rPr>
          <w:rFonts w:ascii="Calibri" w:hAnsi="Calibri"/>
          <w:color w:val="17181C"/>
          <w:sz w:val="22"/>
        </w:rPr>
        <w:t>A visible ‘What Atelier knows’ page with correction and deletion controls.</w:t>
      </w:r>
    </w:p>
    <w:p>
      <w:pPr>
        <w:pStyle w:val="Heading2"/>
      </w:pPr>
      <w:r>
        <w:t>6.5 Non-negotiable trust controls</w:t>
      </w:r>
    </w:p>
    <w:tbl>
      <w:tblPr>
        <w:tblW w:type="dxa" w:w="9360"/>
        <w:jc w:val="left"/>
        <w:tblLayout w:type="fixed"/>
        <w:tblLook w:firstColumn="1" w:firstRow="1" w:lastColumn="0" w:lastRow="0" w:noHBand="0" w:noVBand="1" w:val="04A0"/>
        <w:tblInd w:type="dxa" w:w="180"/>
      </w:tblPr>
      <w:tblGrid>
        <w:gridCol w:w="9360"/>
      </w:tblGrid>
      <w:tr>
        <w:trPr/>
        <w:tc>
          <w:tcPr>
            <w:tcW w:type="dxa" w:w="9360"/>
            <w:shd w:fill="F9EDE6"/>
            <w:tcBorders>
              <w:top w:val="single" w:sz="8" w:color="C4582B"/>
              <w:left w:val="single" w:sz="8" w:color="C4582B"/>
              <w:bottom w:val="single" w:sz="8" w:color="C4582B"/>
              <w:right w:val="single" w:sz="8" w:color="C4582B"/>
              <w:insideH w:val="single" w:sz="8" w:color="C4582B"/>
              <w:insideV w:val="single" w:sz="8" w:color="C4582B"/>
            </w:tcBorders>
            <w:tcMar>
              <w:top w:w="110" w:type="dxa"/>
              <w:bottom w:w="110" w:type="dxa"/>
              <w:start w:w="180" w:type="dxa"/>
              <w:end w:w="180" w:type="dxa"/>
            </w:tcMar>
          </w:tcPr>
          <w:p>
            <w:pPr>
              <w:spacing w:before="60" w:after="60" w:line="264" w:lineRule="auto"/>
            </w:pPr>
            <w:r>
              <w:rPr>
                <w:rFonts w:ascii="Calibri" w:hAnsi="Calibri"/>
                <w:b/>
                <w:color w:val="C4582B"/>
                <w:sz w:val="18"/>
              </w:rPr>
              <w:t xml:space="preserve">WARNING  </w:t>
            </w:r>
            <w:r>
              <w:rPr>
                <w:rFonts w:ascii="Calibri" w:hAnsi="Calibri"/>
                <w:b w:val="0"/>
                <w:color w:val="17181C"/>
                <w:sz w:val="22"/>
              </w:rPr>
              <w:t>Do not turn universal import into an untraceable vector database. Every important answer must recover the original source, extracted field, timestamp, transformation, and permission that allowed it to be used.</w:t>
            </w:r>
          </w:p>
        </w:tc>
      </w:tr>
    </w:tbl>
    <w:p>
      <w:pPr>
        <w:spacing w:after="40"/>
      </w:pPr>
    </w:p>
    <w:p>
      <w:pPr>
        <w:pStyle w:val="Heading1"/>
      </w:pPr>
      <w:r>
        <w:t>7. The complete collection operating system</w:t>
      </w:r>
    </w:p>
    <w:p>
      <w:pPr>
        <w:spacing w:after="120" w:line="264" w:lineRule="auto"/>
      </w:pPr>
      <w:r>
        <w:rPr>
          <w:rFonts w:ascii="Calibri" w:hAnsi="Calibri"/>
          <w:i w:val="0"/>
          <w:color w:val="17181C"/>
          <w:sz w:val="22"/>
        </w:rPr>
        <w:t>The product should be organized around one collection, not around features. The portfolio view selects a collection; the collection command center governs its stages; specialist tools open in context and return evidence or work to the same graph.</w:t>
      </w:r>
    </w:p>
    <w:p>
      <w:pPr>
        <w:pStyle w:val="Heading2"/>
      </w:pPr>
      <w:r>
        <w:t>7.1 Collections portfolio</w:t>
      </w:r>
    </w:p>
    <w:p>
      <w:pPr>
        <w:numPr>
          <w:ilvl w:val="0"/>
          <w:numId w:val="10"/>
        </w:numPr>
        <w:spacing w:after="120" w:line="280" w:lineRule="auto"/>
      </w:pPr>
      <w:r>
        <w:rPr>
          <w:rFonts w:ascii="Calibri" w:hAnsi="Calibri"/>
          <w:color w:val="17181C"/>
          <w:sz w:val="22"/>
        </w:rPr>
        <w:t>Season, drop, channel, market, owner, status, last activity</w:t>
      </w:r>
    </w:p>
    <w:p>
      <w:pPr>
        <w:numPr>
          <w:ilvl w:val="0"/>
          <w:numId w:val="10"/>
        </w:numPr>
        <w:spacing w:after="120" w:line="280" w:lineRule="auto"/>
      </w:pPr>
      <w:r>
        <w:rPr>
          <w:rFonts w:ascii="Calibri" w:hAnsi="Calibri"/>
          <w:color w:val="17181C"/>
          <w:sz w:val="22"/>
        </w:rPr>
        <w:t>Current stage and percent complete based on real objects—not manually stored progress</w:t>
      </w:r>
    </w:p>
    <w:p>
      <w:pPr>
        <w:numPr>
          <w:ilvl w:val="0"/>
          <w:numId w:val="10"/>
        </w:numPr>
        <w:spacing w:after="120" w:line="280" w:lineRule="auto"/>
      </w:pPr>
      <w:r>
        <w:rPr>
          <w:rFonts w:ascii="Calibri" w:hAnsi="Calibri"/>
          <w:color w:val="17181C"/>
          <w:sz w:val="22"/>
        </w:rPr>
        <w:t>Open blockers and next decision</w:t>
      </w:r>
    </w:p>
    <w:p>
      <w:pPr>
        <w:numPr>
          <w:ilvl w:val="0"/>
          <w:numId w:val="10"/>
        </w:numPr>
        <w:spacing w:after="120" w:line="280" w:lineRule="auto"/>
      </w:pPr>
      <w:r>
        <w:rPr>
          <w:rFonts w:ascii="Calibri" w:hAnsi="Calibri"/>
          <w:color w:val="17181C"/>
          <w:sz w:val="22"/>
        </w:rPr>
        <w:t>Budget, planned units, styles, newness, and unproven exposure</w:t>
      </w:r>
    </w:p>
    <w:p>
      <w:pPr>
        <w:numPr>
          <w:ilvl w:val="0"/>
          <w:numId w:val="10"/>
        </w:numPr>
        <w:spacing w:after="120" w:line="280" w:lineRule="auto"/>
      </w:pPr>
      <w:r>
        <w:rPr>
          <w:rFonts w:ascii="Calibri" w:hAnsi="Calibri"/>
          <w:color w:val="17181C"/>
          <w:sz w:val="22"/>
        </w:rPr>
        <w:t>Approval readiness and overdue milestones</w:t>
      </w:r>
    </w:p>
    <w:p>
      <w:pPr>
        <w:numPr>
          <w:ilvl w:val="0"/>
          <w:numId w:val="10"/>
        </w:numPr>
        <w:spacing w:after="120" w:line="280" w:lineRule="auto"/>
      </w:pPr>
      <w:r>
        <w:rPr>
          <w:rFonts w:ascii="Calibri" w:hAnsi="Calibri"/>
          <w:color w:val="17181C"/>
          <w:sz w:val="22"/>
        </w:rPr>
        <w:t>Expected launch window and risk</w:t>
      </w:r>
    </w:p>
    <w:p>
      <w:pPr>
        <w:numPr>
          <w:ilvl w:val="0"/>
          <w:numId w:val="10"/>
        </w:numPr>
        <w:spacing w:after="120" w:line="280" w:lineRule="auto"/>
      </w:pPr>
      <w:r>
        <w:rPr>
          <w:rFonts w:ascii="Calibri" w:hAnsi="Calibri"/>
          <w:color w:val="17181C"/>
          <w:sz w:val="22"/>
        </w:rPr>
        <w:t>Post-launch status and measured outcome coverage</w:t>
      </w:r>
    </w:p>
    <w:p>
      <w:pPr>
        <w:pStyle w:val="Heading2"/>
      </w:pPr>
      <w:r>
        <w:t>7.2 Collection command center</w:t>
      </w:r>
    </w:p>
    <w:p>
      <w:pPr>
        <w:numPr>
          <w:ilvl w:val="0"/>
          <w:numId w:val="10"/>
        </w:numPr>
        <w:spacing w:after="120" w:line="280" w:lineRule="auto"/>
      </w:pPr>
      <w:r>
        <w:rPr>
          <w:rFonts w:ascii="Calibri" w:hAnsi="Calibri"/>
          <w:color w:val="17181C"/>
          <w:sz w:val="22"/>
        </w:rPr>
        <w:t>North-star brief and customer/occasion</w:t>
      </w:r>
    </w:p>
    <w:p>
      <w:pPr>
        <w:numPr>
          <w:ilvl w:val="0"/>
          <w:numId w:val="10"/>
        </w:numPr>
        <w:spacing w:after="120" w:line="280" w:lineRule="auto"/>
      </w:pPr>
      <w:r>
        <w:rPr>
          <w:rFonts w:ascii="Calibri" w:hAnsi="Calibri"/>
          <w:color w:val="17181C"/>
          <w:sz w:val="22"/>
        </w:rPr>
        <w:t>Evidence supporting and contradicting the direction</w:t>
      </w:r>
    </w:p>
    <w:p>
      <w:pPr>
        <w:numPr>
          <w:ilvl w:val="0"/>
          <w:numId w:val="10"/>
        </w:numPr>
        <w:spacing w:after="120" w:line="280" w:lineRule="auto"/>
      </w:pPr>
      <w:r>
        <w:rPr>
          <w:rFonts w:ascii="Calibri" w:hAnsi="Calibri"/>
          <w:color w:val="17181C"/>
          <w:sz w:val="22"/>
        </w:rPr>
        <w:t>Assortment architecture and financial scenarios</w:t>
      </w:r>
    </w:p>
    <w:p>
      <w:pPr>
        <w:numPr>
          <w:ilvl w:val="0"/>
          <w:numId w:val="10"/>
        </w:numPr>
        <w:spacing w:after="120" w:line="280" w:lineRule="auto"/>
      </w:pPr>
      <w:r>
        <w:rPr>
          <w:rFonts w:ascii="Calibri" w:hAnsi="Calibri"/>
          <w:color w:val="17181C"/>
          <w:sz w:val="22"/>
        </w:rPr>
        <w:t>Creative development status and version comparison</w:t>
      </w:r>
    </w:p>
    <w:p>
      <w:pPr>
        <w:numPr>
          <w:ilvl w:val="0"/>
          <w:numId w:val="10"/>
        </w:numPr>
        <w:spacing w:after="120" w:line="280" w:lineRule="auto"/>
      </w:pPr>
      <w:r>
        <w:rPr>
          <w:rFonts w:ascii="Calibri" w:hAnsi="Calibri"/>
          <w:color w:val="17181C"/>
          <w:sz w:val="22"/>
        </w:rPr>
        <w:t>Critical path, technical blockers, and supplier risk</w:t>
      </w:r>
    </w:p>
    <w:p>
      <w:pPr>
        <w:numPr>
          <w:ilvl w:val="0"/>
          <w:numId w:val="10"/>
        </w:numPr>
        <w:spacing w:after="120" w:line="280" w:lineRule="auto"/>
      </w:pPr>
      <w:r>
        <w:rPr>
          <w:rFonts w:ascii="Calibri" w:hAnsi="Calibri"/>
          <w:color w:val="17181C"/>
          <w:sz w:val="22"/>
        </w:rPr>
        <w:t>Creative, merchandising, and technical approvals</w:t>
      </w:r>
    </w:p>
    <w:p>
      <w:pPr>
        <w:numPr>
          <w:ilvl w:val="0"/>
          <w:numId w:val="10"/>
        </w:numPr>
        <w:spacing w:after="120" w:line="280" w:lineRule="auto"/>
      </w:pPr>
      <w:r>
        <w:rPr>
          <w:rFonts w:ascii="Calibri" w:hAnsi="Calibri"/>
          <w:color w:val="17181C"/>
          <w:sz w:val="22"/>
        </w:rPr>
        <w:t>Launch lineage and outcomes</w:t>
      </w:r>
    </w:p>
    <w:p>
      <w:pPr>
        <w:numPr>
          <w:ilvl w:val="0"/>
          <w:numId w:val="10"/>
        </w:numPr>
        <w:spacing w:after="120" w:line="280" w:lineRule="auto"/>
      </w:pPr>
      <w:r>
        <w:rPr>
          <w:rFonts w:ascii="Calibri" w:hAnsi="Calibri"/>
          <w:color w:val="17181C"/>
          <w:sz w:val="22"/>
        </w:rPr>
        <w:t>AI Taste Team summary: what it recommends, where it disagrees, and why</w:t>
      </w:r>
    </w:p>
    <w:p>
      <w:pPr>
        <w:pStyle w:val="Heading2"/>
      </w:pPr>
      <w:r>
        <w:t>7.3 Stage requirements</w:t>
      </w:r>
    </w:p>
    <w:tbl>
      <w:tblPr>
        <w:tblW w:type="dxa" w:w="9360"/>
        <w:jc w:val="left"/>
        <w:tblLayout w:type="fixed"/>
        <w:tblLook w:firstColumn="1" w:firstRow="1" w:lastColumn="0" w:lastRow="0" w:noHBand="0" w:noVBand="1" w:val="04A0"/>
        <w:tblInd w:type="dxa" w:w="120"/>
      </w:tblPr>
      <w:tblGrid>
        <w:gridCol w:w="1200"/>
        <w:gridCol w:w="5100"/>
        <w:gridCol w:w="3060"/>
      </w:tblGrid>
      <w:tr>
        <w:trPr>
          <w:tblHeader w:val="true"/>
          <w:cantSplit/>
        </w:trPr>
        <w:tc>
          <w:tcPr>
            <w:tcW w:type="dxa" w:w="12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7"/>
              </w:rPr>
              <w:t>Stage</w:t>
            </w:r>
          </w:p>
        </w:tc>
        <w:tc>
          <w:tcPr>
            <w:tcW w:type="dxa" w:w="51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7"/>
              </w:rPr>
              <w:t>Required professional depth</w:t>
            </w:r>
          </w:p>
        </w:tc>
        <w:tc>
          <w:tcPr>
            <w:tcW w:type="dxa" w:w="306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7"/>
              </w:rPr>
              <w:t>Exit condition</w:t>
            </w:r>
          </w:p>
        </w:tc>
      </w:tr>
      <w:tr>
        <w:trPr>
          <w:cantSplit/>
        </w:trPr>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Direction</w:t>
            </w:r>
          </w:p>
        </w:tc>
        <w:tc>
          <w:tcPr>
            <w:tcW w:type="dxa" w:w="5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Market, brand, customer, and contradicting evidence</w:t>
            </w:r>
          </w:p>
        </w:tc>
        <w:tc>
          <w:tcPr>
            <w:tcW w:type="dxa" w:w="3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Chosen direction with explicit uncertainty</w:t>
            </w:r>
          </w:p>
        </w:tc>
      </w:tr>
      <w:tr>
        <w:trPr>
          <w:cantSplit/>
        </w:trPr>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Brief</w:t>
            </w:r>
          </w:p>
        </w:tc>
        <w:tc>
          <w:tcPr>
            <w:tcW w:type="dxa" w:w="5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Customer, occasion, objective, constraints, analogues, approvers</w:t>
            </w:r>
          </w:p>
        </w:tc>
        <w:tc>
          <w:tcPr>
            <w:tcW w:type="dxa" w:w="3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Approved immutable brief version</w:t>
            </w:r>
          </w:p>
        </w:tc>
      </w:tr>
      <w:tr>
        <w:trPr>
          <w:cantSplit/>
        </w:trPr>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Range</w:t>
            </w:r>
          </w:p>
        </w:tc>
        <w:tc>
          <w:tcPr>
            <w:tcW w:type="dxa" w:w="5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Slots, price/cost/margin, units, MOQ, lead time, scenarios</w:t>
            </w:r>
          </w:p>
        </w:tc>
        <w:tc>
          <w:tcPr>
            <w:tcW w:type="dxa" w:w="3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Financially and operationally approvable plan</w:t>
            </w:r>
          </w:p>
        </w:tc>
      </w:tr>
      <w:tr>
        <w:trPr>
          <w:cantSplit/>
        </w:trPr>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Develop</w:t>
            </w:r>
          </w:p>
        </w:tc>
        <w:tc>
          <w:tcPr>
            <w:tcW w:type="dxa" w:w="5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Concepts, variants, materials, references, technical intent</w:t>
            </w:r>
          </w:p>
        </w:tc>
        <w:tc>
          <w:tcPr>
            <w:tcW w:type="dxa" w:w="3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Review-ready immutable concept versions</w:t>
            </w:r>
          </w:p>
        </w:tc>
      </w:tr>
      <w:tr>
        <w:trPr>
          <w:cantSplit/>
        </w:trPr>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Review</w:t>
            </w:r>
          </w:p>
        </w:tc>
        <w:tc>
          <w:tcPr>
            <w:tcW w:type="dxa" w:w="5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Creative, commercial, technical comparison and comments</w:t>
            </w:r>
          </w:p>
        </w:tc>
        <w:tc>
          <w:tcPr>
            <w:tcW w:type="dxa" w:w="3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Required approvals on exact versions</w:t>
            </w:r>
          </w:p>
        </w:tc>
      </w:tr>
      <w:tr>
        <w:trPr>
          <w:cantSplit/>
        </w:trPr>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Launch</w:t>
            </w:r>
          </w:p>
        </w:tc>
        <w:tc>
          <w:tcPr>
            <w:tcW w:type="dxa" w:w="5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Product mapping, delivery, channel, test/replenish rules</w:t>
            </w:r>
          </w:p>
        </w:tc>
        <w:tc>
          <w:tcPr>
            <w:tcW w:type="dxa" w:w="3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Exact brief/plan/concept lineage pinned</w:t>
            </w:r>
          </w:p>
        </w:tc>
      </w:tr>
      <w:tr>
        <w:trPr>
          <w:cantSplit/>
        </w:trPr>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Results</w:t>
            </w:r>
          </w:p>
        </w:tc>
        <w:tc>
          <w:tcPr>
            <w:tcW w:type="dxa" w:w="5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Sales, stock, returns, margin, customer and qualitative outcomes</w:t>
            </w:r>
          </w:p>
        </w:tc>
        <w:tc>
          <w:tcPr>
            <w:tcW w:type="dxa" w:w="3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Hindsight updates decision and brand memory</w:t>
            </w:r>
          </w:p>
        </w:tc>
      </w:tr>
    </w:tbl>
    <w:p>
      <w:pPr>
        <w:spacing w:after="40"/>
      </w:pPr>
    </w:p>
    <w:p>
      <w:pPr>
        <w:pStyle w:val="Heading1"/>
      </w:pPr>
      <w:r>
        <w:t>8. Generative design: what to add and how to keep it professional</w:t>
      </w:r>
    </w:p>
    <w:p>
      <w:pPr>
        <w:spacing w:after="120" w:line="264" w:lineRule="auto"/>
      </w:pPr>
      <w:r>
        <w:rPr>
          <w:rFonts w:ascii="Calibri" w:hAnsi="Calibri"/>
          <w:i w:val="0"/>
          <w:color w:val="17181C"/>
          <w:sz w:val="22"/>
        </w:rPr>
        <w:t>More generative imagery is valuable when it increases controlled exploration, communication, and decision quality. Unbounded text-to-image generation makes the platform look like a creative toy and competes directly with better-funded specialists.</w:t>
      </w:r>
    </w:p>
    <w:p>
      <w:pPr>
        <w:pStyle w:val="Heading2"/>
      </w:pPr>
      <w:r>
        <w:t>8.1 High-value generation workflows</w:t>
      </w:r>
    </w:p>
    <w:p>
      <w:pPr>
        <w:numPr>
          <w:ilvl w:val="0"/>
          <w:numId w:val="10"/>
        </w:numPr>
        <w:spacing w:after="120" w:line="280" w:lineRule="auto"/>
      </w:pPr>
      <w:r>
        <w:rPr>
          <w:rFonts w:ascii="Calibri" w:hAnsi="Calibri"/>
          <w:color w:val="17181C"/>
          <w:sz w:val="22"/>
        </w:rPr>
        <w:t>Sketch-to-concept while preserving silhouette and construction intent.</w:t>
      </w:r>
    </w:p>
    <w:p>
      <w:pPr>
        <w:numPr>
          <w:ilvl w:val="0"/>
          <w:numId w:val="10"/>
        </w:numPr>
        <w:spacing w:after="120" w:line="280" w:lineRule="auto"/>
      </w:pPr>
      <w:r>
        <w:rPr>
          <w:rFonts w:ascii="Calibri" w:hAnsi="Calibri"/>
          <w:color w:val="17181C"/>
          <w:sz w:val="22"/>
        </w:rPr>
        <w:t>Reference-driven generation from approved brand products, collection evidence, and materials.</w:t>
      </w:r>
    </w:p>
    <w:p>
      <w:pPr>
        <w:numPr>
          <w:ilvl w:val="0"/>
          <w:numId w:val="10"/>
        </w:numPr>
        <w:spacing w:after="120" w:line="280" w:lineRule="auto"/>
      </w:pPr>
      <w:r>
        <w:rPr>
          <w:rFonts w:ascii="Calibri" w:hAnsi="Calibri"/>
          <w:color w:val="17181C"/>
          <w:sz w:val="22"/>
        </w:rPr>
        <w:t>Controlled variation grids where the user locks silhouette and changes only color, fabric, print, length, sleeve, neckline, fit, trim, or hardware.</w:t>
      </w:r>
    </w:p>
    <w:p>
      <w:pPr>
        <w:numPr>
          <w:ilvl w:val="0"/>
          <w:numId w:val="10"/>
        </w:numPr>
        <w:spacing w:after="120" w:line="280" w:lineRule="auto"/>
      </w:pPr>
      <w:r>
        <w:rPr>
          <w:rFonts w:ascii="Calibri" w:hAnsi="Calibri"/>
          <w:color w:val="17181C"/>
          <w:sz w:val="22"/>
        </w:rPr>
        <w:t>Core, Evolution, and Experiment modes with explicit brand-distance explanations.</w:t>
      </w:r>
    </w:p>
    <w:p>
      <w:pPr>
        <w:numPr>
          <w:ilvl w:val="0"/>
          <w:numId w:val="10"/>
        </w:numPr>
        <w:spacing w:after="120" w:line="280" w:lineRule="auto"/>
      </w:pPr>
      <w:r>
        <w:rPr>
          <w:rFonts w:ascii="Calibri" w:hAnsi="Calibri"/>
          <w:color w:val="17181C"/>
          <w:sz w:val="22"/>
        </w:rPr>
        <w:t>Localized editing: mask/inpaint, remove, extend, replace, recolor, and restyle without redrawing the garment.</w:t>
      </w:r>
    </w:p>
    <w:p>
      <w:pPr>
        <w:numPr>
          <w:ilvl w:val="0"/>
          <w:numId w:val="10"/>
        </w:numPr>
        <w:spacing w:after="120" w:line="280" w:lineRule="auto"/>
      </w:pPr>
      <w:r>
        <w:rPr>
          <w:rFonts w:ascii="Calibri" w:hAnsi="Calibri"/>
          <w:color w:val="17181C"/>
          <w:sz w:val="22"/>
        </w:rPr>
        <w:t>Material-aware visualization reflecting drape, weight, structure, transparency, texture, and finish.</w:t>
      </w:r>
    </w:p>
    <w:p>
      <w:pPr>
        <w:numPr>
          <w:ilvl w:val="0"/>
          <w:numId w:val="10"/>
        </w:numPr>
        <w:spacing w:after="120" w:line="280" w:lineRule="auto"/>
      </w:pPr>
      <w:r>
        <w:rPr>
          <w:rFonts w:ascii="Calibri" w:hAnsi="Calibri"/>
          <w:color w:val="17181C"/>
          <w:sz w:val="22"/>
        </w:rPr>
        <w:t>On-model, flat-lay, ghost-mannequin, editorial, line-sheet, ecommerce, and campaign output modes.</w:t>
      </w:r>
    </w:p>
    <w:p>
      <w:pPr>
        <w:numPr>
          <w:ilvl w:val="0"/>
          <w:numId w:val="10"/>
        </w:numPr>
        <w:spacing w:after="120" w:line="280" w:lineRule="auto"/>
      </w:pPr>
      <w:r>
        <w:rPr>
          <w:rFonts w:ascii="Calibri" w:hAnsi="Calibri"/>
          <w:color w:val="17181C"/>
          <w:sz w:val="22"/>
        </w:rPr>
        <w:t>Collection coherence generation: create complementary—not repetitive—styles around approved anchors.</w:t>
      </w:r>
    </w:p>
    <w:p>
      <w:pPr>
        <w:numPr>
          <w:ilvl w:val="0"/>
          <w:numId w:val="10"/>
        </w:numPr>
        <w:spacing w:after="120" w:line="280" w:lineRule="auto"/>
      </w:pPr>
      <w:r>
        <w:rPr>
          <w:rFonts w:ascii="Calibri" w:hAnsi="Calibri"/>
          <w:color w:val="17181C"/>
          <w:sz w:val="22"/>
        </w:rPr>
        <w:t>Print and surface design with repeat tiles, color separation, scale control, and rights review.</w:t>
      </w:r>
    </w:p>
    <w:p>
      <w:pPr>
        <w:pStyle w:val="Heading2"/>
      </w:pPr>
      <w:r>
        <w:t>8.2 Required controls</w:t>
      </w:r>
    </w:p>
    <w:p>
      <w:pPr>
        <w:numPr>
          <w:ilvl w:val="0"/>
          <w:numId w:val="10"/>
        </w:numPr>
        <w:spacing w:after="120" w:line="280" w:lineRule="auto"/>
      </w:pPr>
      <w:r>
        <w:rPr>
          <w:rFonts w:ascii="Calibri" w:hAnsi="Calibri"/>
          <w:color w:val="17181C"/>
          <w:sz w:val="22"/>
        </w:rPr>
        <w:t>Reference weighting and explicit lock controls</w:t>
      </w:r>
    </w:p>
    <w:p>
      <w:pPr>
        <w:numPr>
          <w:ilvl w:val="0"/>
          <w:numId w:val="10"/>
        </w:numPr>
        <w:spacing w:after="120" w:line="280" w:lineRule="auto"/>
      </w:pPr>
      <w:r>
        <w:rPr>
          <w:rFonts w:ascii="Calibri" w:hAnsi="Calibri"/>
          <w:color w:val="17181C"/>
          <w:sz w:val="22"/>
        </w:rPr>
        <w:t>Parent/child version lineage and exact change description</w:t>
      </w:r>
    </w:p>
    <w:p>
      <w:pPr>
        <w:numPr>
          <w:ilvl w:val="0"/>
          <w:numId w:val="10"/>
        </w:numPr>
        <w:spacing w:after="120" w:line="280" w:lineRule="auto"/>
      </w:pPr>
      <w:r>
        <w:rPr>
          <w:rFonts w:ascii="Calibri" w:hAnsi="Calibri"/>
          <w:color w:val="17181C"/>
          <w:sz w:val="22"/>
        </w:rPr>
        <w:t>Prompt, model, seed/configuration, date, user, and cost provenance</w:t>
      </w:r>
    </w:p>
    <w:p>
      <w:pPr>
        <w:numPr>
          <w:ilvl w:val="0"/>
          <w:numId w:val="10"/>
        </w:numPr>
        <w:spacing w:after="120" w:line="280" w:lineRule="auto"/>
      </w:pPr>
      <w:r>
        <w:rPr>
          <w:rFonts w:ascii="Calibri" w:hAnsi="Calibri"/>
          <w:color w:val="17181C"/>
          <w:sz w:val="22"/>
        </w:rPr>
        <w:t>Physical-plausibility warnings and ‘concept visualization’ labeling</w:t>
      </w:r>
    </w:p>
    <w:p>
      <w:pPr>
        <w:numPr>
          <w:ilvl w:val="0"/>
          <w:numId w:val="10"/>
        </w:numPr>
        <w:spacing w:after="120" w:line="280" w:lineRule="auto"/>
      </w:pPr>
      <w:r>
        <w:rPr>
          <w:rFonts w:ascii="Calibri" w:hAnsi="Calibri"/>
          <w:color w:val="17181C"/>
          <w:sz w:val="22"/>
        </w:rPr>
        <w:t>Similarity and potential copying review</w:t>
      </w:r>
    </w:p>
    <w:p>
      <w:pPr>
        <w:numPr>
          <w:ilvl w:val="0"/>
          <w:numId w:val="10"/>
        </w:numPr>
        <w:spacing w:after="120" w:line="280" w:lineRule="auto"/>
      </w:pPr>
      <w:r>
        <w:rPr>
          <w:rFonts w:ascii="Calibri" w:hAnsi="Calibri"/>
          <w:color w:val="17181C"/>
          <w:sz w:val="22"/>
        </w:rPr>
        <w:t>Private-client-data and model-training policy</w:t>
      </w:r>
    </w:p>
    <w:p>
      <w:pPr>
        <w:numPr>
          <w:ilvl w:val="0"/>
          <w:numId w:val="10"/>
        </w:numPr>
        <w:spacing w:after="120" w:line="280" w:lineRule="auto"/>
      </w:pPr>
      <w:r>
        <w:rPr>
          <w:rFonts w:ascii="Calibri" w:hAnsi="Calibri"/>
          <w:color w:val="17181C"/>
          <w:sz w:val="22"/>
        </w:rPr>
        <w:t>Human selection and approval before operational use</w:t>
      </w:r>
    </w:p>
    <w:p>
      <w:pPr>
        <w:numPr>
          <w:ilvl w:val="0"/>
          <w:numId w:val="10"/>
        </w:numPr>
        <w:spacing w:after="120" w:line="280" w:lineRule="auto"/>
      </w:pPr>
      <w:r>
        <w:rPr>
          <w:rFonts w:ascii="Calibri" w:hAnsi="Calibri"/>
          <w:color w:val="17181C"/>
          <w:sz w:val="22"/>
        </w:rPr>
        <w:t>Export into 3D/PLM/tech-pack workflow rather than pretending the image is production-ready</w:t>
      </w:r>
    </w:p>
    <w:p>
      <w:pPr>
        <w:pStyle w:val="Heading2"/>
      </w:pPr>
      <w:r>
        <w:t>8.3 Evaluation</w:t>
      </w:r>
    </w:p>
    <w:p>
      <w:pPr>
        <w:spacing w:after="120" w:line="264" w:lineRule="auto"/>
      </w:pPr>
      <w:r>
        <w:rPr>
          <w:rFonts w:ascii="Calibri" w:hAnsi="Calibri"/>
          <w:i w:val="0"/>
          <w:color w:val="17181C"/>
          <w:sz w:val="22"/>
        </w:rPr>
        <w:t>Evaluate generative features on reference fidelity, edit controllability, brand recognizability, novelty without drift, physical plausibility, diversity without randomness, designer adoption, number of useful options per session, and downstream sample changes—not on image attractiveness alone.</w:t>
      </w:r>
    </w:p>
    <w:p>
      <w:pPr>
        <w:pStyle w:val="Heading1"/>
      </w:pPr>
      <w:r>
        <w:t>9. Assortment, forecasting, and test-and-react</w:t>
      </w:r>
    </w:p>
    <w:p>
      <w:pPr>
        <w:pStyle w:val="Heading2"/>
      </w:pPr>
      <w:r>
        <w:t>9.1 Deeper range planning</w:t>
      </w:r>
    </w:p>
    <w:p>
      <w:pPr>
        <w:numPr>
          <w:ilvl w:val="0"/>
          <w:numId w:val="10"/>
        </w:numPr>
        <w:spacing w:after="120" w:line="280" w:lineRule="auto"/>
      </w:pPr>
      <w:r>
        <w:rPr>
          <w:rFonts w:ascii="Calibri" w:hAnsi="Calibri"/>
          <w:color w:val="17181C"/>
          <w:sz w:val="22"/>
        </w:rPr>
        <w:t>Style/colorway/SKU hierarchy</w:t>
      </w:r>
    </w:p>
    <w:p>
      <w:pPr>
        <w:numPr>
          <w:ilvl w:val="0"/>
          <w:numId w:val="10"/>
        </w:numPr>
        <w:spacing w:after="120" w:line="280" w:lineRule="auto"/>
      </w:pPr>
      <w:r>
        <w:rPr>
          <w:rFonts w:ascii="Calibri" w:hAnsi="Calibri"/>
          <w:color w:val="17181C"/>
          <w:sz w:val="22"/>
        </w:rPr>
        <w:t>Category, color, material, price, occasion, and channel architecture</w:t>
      </w:r>
    </w:p>
    <w:p>
      <w:pPr>
        <w:numPr>
          <w:ilvl w:val="0"/>
          <w:numId w:val="10"/>
        </w:numPr>
        <w:spacing w:after="120" w:line="280" w:lineRule="auto"/>
      </w:pPr>
      <w:r>
        <w:rPr>
          <w:rFonts w:ascii="Calibri" w:hAnsi="Calibri"/>
          <w:color w:val="17181C"/>
          <w:sz w:val="22"/>
        </w:rPr>
        <w:t>Core/carryover, evolution, and experimental exposure</w:t>
      </w:r>
    </w:p>
    <w:p>
      <w:pPr>
        <w:numPr>
          <w:ilvl w:val="0"/>
          <w:numId w:val="10"/>
        </w:numPr>
        <w:spacing w:after="120" w:line="280" w:lineRule="auto"/>
      </w:pPr>
      <w:r>
        <w:rPr>
          <w:rFonts w:ascii="Calibri" w:hAnsi="Calibri"/>
          <w:color w:val="17181C"/>
          <w:sz w:val="22"/>
        </w:rPr>
        <w:t>Good/better/best price tiers</w:t>
      </w:r>
    </w:p>
    <w:p>
      <w:pPr>
        <w:numPr>
          <w:ilvl w:val="0"/>
          <w:numId w:val="10"/>
        </w:numPr>
        <w:spacing w:after="120" w:line="280" w:lineRule="auto"/>
      </w:pPr>
      <w:r>
        <w:rPr>
          <w:rFonts w:ascii="Calibri" w:hAnsi="Calibri"/>
          <w:color w:val="17181C"/>
          <w:sz w:val="22"/>
        </w:rPr>
        <w:t>Cost, landed cost, retail, wholesale, margin, duty, freight, and currency</w:t>
      </w:r>
    </w:p>
    <w:p>
      <w:pPr>
        <w:numPr>
          <w:ilvl w:val="0"/>
          <w:numId w:val="10"/>
        </w:numPr>
        <w:spacing w:after="120" w:line="280" w:lineRule="auto"/>
      </w:pPr>
      <w:r>
        <w:rPr>
          <w:rFonts w:ascii="Calibri" w:hAnsi="Calibri"/>
          <w:color w:val="17181C"/>
          <w:sz w:val="22"/>
        </w:rPr>
        <w:t>Top-down targets reconciled with bottom-up slots</w:t>
      </w:r>
    </w:p>
    <w:p>
      <w:pPr>
        <w:numPr>
          <w:ilvl w:val="0"/>
          <w:numId w:val="10"/>
        </w:numPr>
        <w:spacing w:after="120" w:line="280" w:lineRule="auto"/>
      </w:pPr>
      <w:r>
        <w:rPr>
          <w:rFonts w:ascii="Calibri" w:hAnsi="Calibri"/>
          <w:color w:val="17181C"/>
          <w:sz w:val="22"/>
        </w:rPr>
        <w:t>Open-to-buy, budget, option count, units, and revenue/margin contribution</w:t>
      </w:r>
    </w:p>
    <w:p>
      <w:pPr>
        <w:numPr>
          <w:ilvl w:val="0"/>
          <w:numId w:val="10"/>
        </w:numPr>
        <w:spacing w:after="120" w:line="280" w:lineRule="auto"/>
      </w:pPr>
      <w:r>
        <w:rPr>
          <w:rFonts w:ascii="Calibri" w:hAnsi="Calibri"/>
          <w:color w:val="17181C"/>
          <w:sz w:val="22"/>
        </w:rPr>
        <w:t>Conservative, base, and upside scenarios</w:t>
      </w:r>
    </w:p>
    <w:p>
      <w:pPr>
        <w:numPr>
          <w:ilvl w:val="0"/>
          <w:numId w:val="10"/>
        </w:numPr>
        <w:spacing w:after="120" w:line="280" w:lineRule="auto"/>
      </w:pPr>
      <w:r>
        <w:rPr>
          <w:rFonts w:ascii="Calibri" w:hAnsi="Calibri"/>
          <w:color w:val="17181C"/>
          <w:sz w:val="22"/>
        </w:rPr>
        <w:t>Regional and channel assortments</w:t>
      </w:r>
    </w:p>
    <w:p>
      <w:pPr>
        <w:numPr>
          <w:ilvl w:val="0"/>
          <w:numId w:val="10"/>
        </w:numPr>
        <w:spacing w:after="120" w:line="280" w:lineRule="auto"/>
      </w:pPr>
      <w:r>
        <w:rPr>
          <w:rFonts w:ascii="Calibri" w:hAnsi="Calibri"/>
          <w:color w:val="17181C"/>
          <w:sz w:val="22"/>
        </w:rPr>
        <w:t>Version comparison and Excel/PDF export</w:t>
      </w:r>
    </w:p>
    <w:p>
      <w:pPr>
        <w:pStyle w:val="Heading2"/>
      </w:pPr>
      <w:r>
        <w:t>9.2 Forecasting rules</w:t>
      </w:r>
    </w:p>
    <w:p>
      <w:pPr>
        <w:numPr>
          <w:ilvl w:val="0"/>
          <w:numId w:val="10"/>
        </w:numPr>
        <w:spacing w:after="120" w:line="280" w:lineRule="auto"/>
      </w:pPr>
      <w:r>
        <w:rPr>
          <w:rFonts w:ascii="Calibri" w:hAnsi="Calibri"/>
          <w:color w:val="17181C"/>
          <w:sz w:val="22"/>
        </w:rPr>
        <w:t>Forecast at the level justified by data; never infer SKU precision from category evidence.</w:t>
      </w:r>
    </w:p>
    <w:p>
      <w:pPr>
        <w:numPr>
          <w:ilvl w:val="0"/>
          <w:numId w:val="10"/>
        </w:numPr>
        <w:spacing w:after="120" w:line="280" w:lineRule="auto"/>
      </w:pPr>
      <w:r>
        <w:rPr>
          <w:rFonts w:ascii="Calibri" w:hAnsi="Calibri"/>
          <w:color w:val="17181C"/>
          <w:sz w:val="22"/>
        </w:rPr>
        <w:t>Use comparable products selected transparently and allow merchants to override with a reason.</w:t>
      </w:r>
    </w:p>
    <w:p>
      <w:pPr>
        <w:numPr>
          <w:ilvl w:val="0"/>
          <w:numId w:val="10"/>
        </w:numPr>
        <w:spacing w:after="120" w:line="280" w:lineRule="auto"/>
      </w:pPr>
      <w:r>
        <w:rPr>
          <w:rFonts w:ascii="Calibri" w:hAnsi="Calibri"/>
          <w:color w:val="17181C"/>
          <w:sz w:val="22"/>
        </w:rPr>
        <w:t>Show prediction intervals, sample size, data cutoff, freshness, error history, and scenario assumptions.</w:t>
      </w:r>
    </w:p>
    <w:p>
      <w:pPr>
        <w:numPr>
          <w:ilvl w:val="0"/>
          <w:numId w:val="10"/>
        </w:numPr>
        <w:spacing w:after="120" w:line="280" w:lineRule="auto"/>
      </w:pPr>
      <w:r>
        <w:rPr>
          <w:rFonts w:ascii="Calibri" w:hAnsi="Calibri"/>
          <w:color w:val="17181C"/>
          <w:sz w:val="22"/>
        </w:rPr>
        <w:t>Separate carryover/replenishment forecasts from new-product test ranges.</w:t>
      </w:r>
    </w:p>
    <w:p>
      <w:pPr>
        <w:numPr>
          <w:ilvl w:val="0"/>
          <w:numId w:val="10"/>
        </w:numPr>
        <w:spacing w:after="120" w:line="280" w:lineRule="auto"/>
      </w:pPr>
      <w:r>
        <w:rPr>
          <w:rFonts w:ascii="Calibri" w:hAnsi="Calibri"/>
          <w:color w:val="17181C"/>
          <w:sz w:val="22"/>
        </w:rPr>
        <w:t>Calibrate models by category, channel, geography, lifecycle, and forecast horizon.</w:t>
      </w:r>
    </w:p>
    <w:p>
      <w:pPr>
        <w:numPr>
          <w:ilvl w:val="0"/>
          <w:numId w:val="10"/>
        </w:numPr>
        <w:spacing w:after="120" w:line="280" w:lineRule="auto"/>
      </w:pPr>
      <w:r>
        <w:rPr>
          <w:rFonts w:ascii="Calibri" w:hAnsi="Calibri"/>
          <w:color w:val="17181C"/>
          <w:sz w:val="22"/>
        </w:rPr>
        <w:t>Abstain when history is inadequate or the product is outside the validated domain.</w:t>
      </w:r>
    </w:p>
    <w:p>
      <w:pPr>
        <w:numPr>
          <w:ilvl w:val="0"/>
          <w:numId w:val="10"/>
        </w:numPr>
        <w:spacing w:after="120" w:line="280" w:lineRule="auto"/>
      </w:pPr>
      <w:r>
        <w:rPr>
          <w:rFonts w:ascii="Calibri" w:hAnsi="Calibri"/>
          <w:color w:val="17181C"/>
          <w:sz w:val="22"/>
        </w:rPr>
        <w:t>Backtest with time-based holdouts and preserve the result even when it shows no useful signal.</w:t>
      </w:r>
    </w:p>
    <w:p>
      <w:pPr>
        <w:pStyle w:val="Heading2"/>
      </w:pPr>
      <w:r>
        <w:t>9.3 Test-and-react workflow</w:t>
      </w:r>
    </w:p>
    <w:p>
      <w:pPr>
        <w:numPr>
          <w:ilvl w:val="0"/>
          <w:numId w:val="13"/>
        </w:numPr>
        <w:spacing w:after="120" w:line="280" w:lineRule="auto"/>
      </w:pPr>
      <w:r>
        <w:rPr>
          <w:rFonts w:ascii="Calibri" w:hAnsi="Calibri"/>
          <w:color w:val="17181C"/>
          <w:sz w:val="22"/>
        </w:rPr>
        <w:t>Define initial test quantity or range.</w:t>
      </w:r>
    </w:p>
    <w:p>
      <w:pPr>
        <w:numPr>
          <w:ilvl w:val="0"/>
          <w:numId w:val="13"/>
        </w:numPr>
        <w:spacing w:after="120" w:line="280" w:lineRule="auto"/>
      </w:pPr>
      <w:r>
        <w:rPr>
          <w:rFonts w:ascii="Calibri" w:hAnsi="Calibri"/>
          <w:color w:val="17181C"/>
          <w:sz w:val="22"/>
        </w:rPr>
        <w:t>Define test locations/channels and duration.</w:t>
      </w:r>
    </w:p>
    <w:p>
      <w:pPr>
        <w:numPr>
          <w:ilvl w:val="0"/>
          <w:numId w:val="13"/>
        </w:numPr>
        <w:spacing w:after="120" w:line="280" w:lineRule="auto"/>
      </w:pPr>
      <w:r>
        <w:rPr>
          <w:rFonts w:ascii="Calibri" w:hAnsi="Calibri"/>
          <w:color w:val="17181C"/>
          <w:sz w:val="22"/>
        </w:rPr>
        <w:t>Record success, watch, replenish, revise, and stop thresholds before launch.</w:t>
      </w:r>
    </w:p>
    <w:p>
      <w:pPr>
        <w:numPr>
          <w:ilvl w:val="0"/>
          <w:numId w:val="13"/>
        </w:numPr>
        <w:spacing w:after="120" w:line="280" w:lineRule="auto"/>
      </w:pPr>
      <w:r>
        <w:rPr>
          <w:rFonts w:ascii="Calibri" w:hAnsi="Calibri"/>
          <w:color w:val="17181C"/>
          <w:sz w:val="22"/>
        </w:rPr>
        <w:t>Ingest sales, conversion, waitlist, preorder, returns, fit, reviews, and store feedback.</w:t>
      </w:r>
    </w:p>
    <w:p>
      <w:pPr>
        <w:numPr>
          <w:ilvl w:val="0"/>
          <w:numId w:val="13"/>
        </w:numPr>
        <w:spacing w:after="120" w:line="280" w:lineRule="auto"/>
      </w:pPr>
      <w:r>
        <w:rPr>
          <w:rFonts w:ascii="Calibri" w:hAnsi="Calibri"/>
          <w:color w:val="17181C"/>
          <w:sz w:val="22"/>
        </w:rPr>
        <w:t>Recommend action with economic and operational consequences.</w:t>
      </w:r>
    </w:p>
    <w:p>
      <w:pPr>
        <w:numPr>
          <w:ilvl w:val="0"/>
          <w:numId w:val="13"/>
        </w:numPr>
        <w:spacing w:after="120" w:line="280" w:lineRule="auto"/>
      </w:pPr>
      <w:r>
        <w:rPr>
          <w:rFonts w:ascii="Calibri" w:hAnsi="Calibri"/>
          <w:color w:val="17181C"/>
          <w:sz w:val="22"/>
        </w:rPr>
        <w:t>Require human approval for quantity-changing actions.</w:t>
      </w:r>
    </w:p>
    <w:p>
      <w:pPr>
        <w:numPr>
          <w:ilvl w:val="0"/>
          <w:numId w:val="13"/>
        </w:numPr>
        <w:spacing w:after="120" w:line="280" w:lineRule="auto"/>
      </w:pPr>
      <w:r>
        <w:rPr>
          <w:rFonts w:ascii="Calibri" w:hAnsi="Calibri"/>
          <w:color w:val="17181C"/>
          <w:sz w:val="22"/>
        </w:rPr>
        <w:t>Update comparable-product and taste memory after the outcome.</w:t>
      </w:r>
    </w:p>
    <w:p>
      <w:pPr>
        <w:pStyle w:val="Heading1"/>
      </w:pPr>
      <w:r>
        <w:t>10. Product development, sourcing, and operational depth</w:t>
      </w:r>
    </w:p>
    <w:p>
      <w:pPr>
        <w:spacing w:after="120" w:line="264" w:lineRule="auto"/>
      </w:pPr>
      <w:r>
        <w:rPr>
          <w:rFonts w:ascii="Calibri" w:hAnsi="Calibri"/>
          <w:i w:val="0"/>
          <w:color w:val="17181C"/>
          <w:sz w:val="22"/>
        </w:rPr>
        <w:t>Brands need the work around design: technical definition, calendar discipline, supplier feasibility, and production handoff. Atelier should own decision visibility and integrate specialist execution where appropriate.</w:t>
      </w:r>
    </w:p>
    <w:p>
      <w:pPr>
        <w:pStyle w:val="Heading2"/>
      </w:pPr>
      <w:r>
        <w:t>10.1 Product master</w:t>
      </w:r>
    </w:p>
    <w:p>
      <w:pPr>
        <w:numPr>
          <w:ilvl w:val="0"/>
          <w:numId w:val="10"/>
        </w:numPr>
        <w:spacing w:after="120" w:line="280" w:lineRule="auto"/>
      </w:pPr>
      <w:r>
        <w:rPr>
          <w:rFonts w:ascii="Calibri" w:hAnsi="Calibri"/>
          <w:color w:val="17181C"/>
          <w:sz w:val="22"/>
        </w:rPr>
        <w:t>Collection → style → colorway → size/SKU</w:t>
      </w:r>
    </w:p>
    <w:p>
      <w:pPr>
        <w:numPr>
          <w:ilvl w:val="0"/>
          <w:numId w:val="10"/>
        </w:numPr>
        <w:spacing w:after="120" w:line="280" w:lineRule="auto"/>
      </w:pPr>
      <w:r>
        <w:rPr>
          <w:rFonts w:ascii="Calibri" w:hAnsi="Calibri"/>
          <w:color w:val="17181C"/>
          <w:sz w:val="22"/>
        </w:rPr>
        <w:t>Codes, category, season, channel, geography, lifecycle state</w:t>
      </w:r>
    </w:p>
    <w:p>
      <w:pPr>
        <w:numPr>
          <w:ilvl w:val="0"/>
          <w:numId w:val="10"/>
        </w:numPr>
        <w:spacing w:after="120" w:line="280" w:lineRule="auto"/>
      </w:pPr>
      <w:r>
        <w:rPr>
          <w:rFonts w:ascii="Calibri" w:hAnsi="Calibri"/>
          <w:color w:val="17181C"/>
          <w:sz w:val="22"/>
        </w:rPr>
        <w:t>Images, files, materials, components, supplier, and ownership</w:t>
      </w:r>
    </w:p>
    <w:p>
      <w:pPr>
        <w:numPr>
          <w:ilvl w:val="0"/>
          <w:numId w:val="10"/>
        </w:numPr>
        <w:spacing w:after="120" w:line="280" w:lineRule="auto"/>
      </w:pPr>
      <w:r>
        <w:rPr>
          <w:rFonts w:ascii="Calibri" w:hAnsi="Calibri"/>
          <w:color w:val="17181C"/>
          <w:sz w:val="22"/>
        </w:rPr>
        <w:t>Costs, prices, currencies, margins, MOQ, lead time, delivery</w:t>
      </w:r>
    </w:p>
    <w:p>
      <w:pPr>
        <w:numPr>
          <w:ilvl w:val="0"/>
          <w:numId w:val="10"/>
        </w:numPr>
        <w:spacing w:after="120" w:line="280" w:lineRule="auto"/>
      </w:pPr>
      <w:r>
        <w:rPr>
          <w:rFonts w:ascii="Calibri" w:hAnsi="Calibri"/>
          <w:color w:val="17181C"/>
          <w:sz w:val="22"/>
        </w:rPr>
        <w:t>Carryover/newness and product-family relationships</w:t>
      </w:r>
    </w:p>
    <w:p>
      <w:pPr>
        <w:numPr>
          <w:ilvl w:val="0"/>
          <w:numId w:val="10"/>
        </w:numPr>
        <w:spacing w:after="120" w:line="280" w:lineRule="auto"/>
      </w:pPr>
      <w:r>
        <w:rPr>
          <w:rFonts w:ascii="Calibri" w:hAnsi="Calibri"/>
          <w:color w:val="17181C"/>
          <w:sz w:val="22"/>
        </w:rPr>
        <w:t>Stable IDs and field-level sync history with external systems</w:t>
      </w:r>
    </w:p>
    <w:p>
      <w:pPr>
        <w:pStyle w:val="Heading2"/>
      </w:pPr>
      <w:r>
        <w:t>10.2 Technical product development</w:t>
      </w:r>
    </w:p>
    <w:p>
      <w:pPr>
        <w:numPr>
          <w:ilvl w:val="0"/>
          <w:numId w:val="10"/>
        </w:numPr>
        <w:spacing w:after="120" w:line="280" w:lineRule="auto"/>
      </w:pPr>
      <w:r>
        <w:rPr>
          <w:rFonts w:ascii="Calibri" w:hAnsi="Calibri"/>
          <w:color w:val="17181C"/>
          <w:sz w:val="22"/>
        </w:rPr>
        <w:t>Tech pack and BOM references</w:t>
      </w:r>
    </w:p>
    <w:p>
      <w:pPr>
        <w:numPr>
          <w:ilvl w:val="0"/>
          <w:numId w:val="10"/>
        </w:numPr>
        <w:spacing w:after="120" w:line="280" w:lineRule="auto"/>
      </w:pPr>
      <w:r>
        <w:rPr>
          <w:rFonts w:ascii="Calibri" w:hAnsi="Calibri"/>
          <w:color w:val="17181C"/>
          <w:sz w:val="22"/>
        </w:rPr>
        <w:t>Measurements, grading, construction, trim, label, and packaging specifications</w:t>
      </w:r>
    </w:p>
    <w:p>
      <w:pPr>
        <w:numPr>
          <w:ilvl w:val="0"/>
          <w:numId w:val="10"/>
        </w:numPr>
        <w:spacing w:after="120" w:line="280" w:lineRule="auto"/>
      </w:pPr>
      <w:r>
        <w:rPr>
          <w:rFonts w:ascii="Calibri" w:hAnsi="Calibri"/>
          <w:color w:val="17181C"/>
          <w:sz w:val="22"/>
        </w:rPr>
        <w:t>Sample rounds and fit comments</w:t>
      </w:r>
    </w:p>
    <w:p>
      <w:pPr>
        <w:numPr>
          <w:ilvl w:val="0"/>
          <w:numId w:val="10"/>
        </w:numPr>
        <w:spacing w:after="120" w:line="280" w:lineRule="auto"/>
      </w:pPr>
      <w:r>
        <w:rPr>
          <w:rFonts w:ascii="Calibri" w:hAnsi="Calibri"/>
          <w:color w:val="17181C"/>
          <w:sz w:val="22"/>
        </w:rPr>
        <w:t>2D/3D file links and version comparison</w:t>
      </w:r>
    </w:p>
    <w:p>
      <w:pPr>
        <w:numPr>
          <w:ilvl w:val="0"/>
          <w:numId w:val="10"/>
        </w:numPr>
        <w:spacing w:after="120" w:line="280" w:lineRule="auto"/>
      </w:pPr>
      <w:r>
        <w:rPr>
          <w:rFonts w:ascii="Calibri" w:hAnsi="Calibri"/>
          <w:color w:val="17181C"/>
          <w:sz w:val="22"/>
        </w:rPr>
        <w:t>Quality, compliance, and testing requirements</w:t>
      </w:r>
    </w:p>
    <w:p>
      <w:pPr>
        <w:numPr>
          <w:ilvl w:val="0"/>
          <w:numId w:val="10"/>
        </w:numPr>
        <w:spacing w:after="120" w:line="280" w:lineRule="auto"/>
      </w:pPr>
      <w:r>
        <w:rPr>
          <w:rFonts w:ascii="Calibri" w:hAnsi="Calibri"/>
          <w:color w:val="17181C"/>
          <w:sz w:val="22"/>
        </w:rPr>
        <w:t>Production-readiness checklist</w:t>
      </w:r>
    </w:p>
    <w:p>
      <w:pPr>
        <w:spacing w:after="120" w:line="264" w:lineRule="auto"/>
      </w:pPr>
      <w:r>
        <w:rPr>
          <w:rFonts w:ascii="Calibri" w:hAnsi="Calibri"/>
          <w:i w:val="0"/>
          <w:color w:val="17181C"/>
          <w:sz w:val="22"/>
        </w:rPr>
        <w:t>Recommendation: integrate with Centric, Backbone, CLO, Browzwear, Adobe, or a brand’s existing PLM/3D tool. Atelier should ingest status and evidence, initiate workflows, and preserve decisions rather than rebuild full patternmaking and simulation.</w:t>
      </w:r>
    </w:p>
    <w:p>
      <w:pPr>
        <w:pStyle w:val="Heading2"/>
      </w:pPr>
      <w:r>
        <w:t>10.3 Critical path</w:t>
      </w:r>
    </w:p>
    <w:p>
      <w:pPr>
        <w:numPr>
          <w:ilvl w:val="0"/>
          <w:numId w:val="10"/>
        </w:numPr>
        <w:spacing w:after="120" w:line="280" w:lineRule="auto"/>
      </w:pPr>
      <w:r>
        <w:rPr>
          <w:rFonts w:ascii="Calibri" w:hAnsi="Calibri"/>
          <w:color w:val="17181C"/>
          <w:sz w:val="22"/>
        </w:rPr>
        <w:t>Brief approval, design freeze, tech-pack issue</w:t>
      </w:r>
    </w:p>
    <w:p>
      <w:pPr>
        <w:numPr>
          <w:ilvl w:val="0"/>
          <w:numId w:val="10"/>
        </w:numPr>
        <w:spacing w:after="120" w:line="280" w:lineRule="auto"/>
      </w:pPr>
      <w:r>
        <w:rPr>
          <w:rFonts w:ascii="Calibri" w:hAnsi="Calibri"/>
          <w:color w:val="17181C"/>
          <w:sz w:val="22"/>
        </w:rPr>
        <w:t>Supplier quote, proto, fit, salesman/photo sample</w:t>
      </w:r>
    </w:p>
    <w:p>
      <w:pPr>
        <w:numPr>
          <w:ilvl w:val="0"/>
          <w:numId w:val="10"/>
        </w:numPr>
        <w:spacing w:after="120" w:line="280" w:lineRule="auto"/>
      </w:pPr>
      <w:r>
        <w:rPr>
          <w:rFonts w:ascii="Calibri" w:hAnsi="Calibri"/>
          <w:color w:val="17181C"/>
          <w:sz w:val="22"/>
        </w:rPr>
        <w:t>Material booking, order placement, quality inspection</w:t>
      </w:r>
    </w:p>
    <w:p>
      <w:pPr>
        <w:numPr>
          <w:ilvl w:val="0"/>
          <w:numId w:val="10"/>
        </w:numPr>
        <w:spacing w:after="120" w:line="280" w:lineRule="auto"/>
      </w:pPr>
      <w:r>
        <w:rPr>
          <w:rFonts w:ascii="Calibri" w:hAnsi="Calibri"/>
          <w:color w:val="17181C"/>
          <w:sz w:val="22"/>
        </w:rPr>
        <w:t>Ex-factory, freight, warehouse arrival, launch</w:t>
      </w:r>
    </w:p>
    <w:p>
      <w:pPr>
        <w:numPr>
          <w:ilvl w:val="0"/>
          <w:numId w:val="10"/>
        </w:numPr>
        <w:spacing w:after="120" w:line="280" w:lineRule="auto"/>
      </w:pPr>
      <w:r>
        <w:rPr>
          <w:rFonts w:ascii="Calibri" w:hAnsi="Calibri"/>
          <w:color w:val="17181C"/>
          <w:sz w:val="22"/>
        </w:rPr>
        <w:t>Dependencies, slack, owner, predicted delay, and recovery action</w:t>
      </w:r>
    </w:p>
    <w:p>
      <w:pPr>
        <w:pStyle w:val="Heading2"/>
      </w:pPr>
      <w:r>
        <w:t>10.4 Supplier and sourcing intelligence</w:t>
      </w:r>
    </w:p>
    <w:p>
      <w:pPr>
        <w:numPr>
          <w:ilvl w:val="0"/>
          <w:numId w:val="10"/>
        </w:numPr>
        <w:spacing w:after="120" w:line="280" w:lineRule="auto"/>
      </w:pPr>
      <w:r>
        <w:rPr>
          <w:rFonts w:ascii="Calibri" w:hAnsi="Calibri"/>
          <w:color w:val="17181C"/>
          <w:sz w:val="22"/>
        </w:rPr>
        <w:t>Supplier directory, capabilities, categories, markets, and certifications</w:t>
      </w:r>
    </w:p>
    <w:p>
      <w:pPr>
        <w:numPr>
          <w:ilvl w:val="0"/>
          <w:numId w:val="10"/>
        </w:numPr>
        <w:spacing w:after="120" w:line="280" w:lineRule="auto"/>
      </w:pPr>
      <w:r>
        <w:rPr>
          <w:rFonts w:ascii="Calibri" w:hAnsi="Calibri"/>
          <w:color w:val="17181C"/>
          <w:sz w:val="22"/>
        </w:rPr>
        <w:t>RFQ and quote comparison</w:t>
      </w:r>
    </w:p>
    <w:p>
      <w:pPr>
        <w:numPr>
          <w:ilvl w:val="0"/>
          <w:numId w:val="10"/>
        </w:numPr>
        <w:spacing w:after="120" w:line="280" w:lineRule="auto"/>
      </w:pPr>
      <w:r>
        <w:rPr>
          <w:rFonts w:ascii="Calibri" w:hAnsi="Calibri"/>
          <w:color w:val="17181C"/>
          <w:sz w:val="22"/>
        </w:rPr>
        <w:t>MOQ, capacity, lead-time history, sample performance, quality, and on-time delivery</w:t>
      </w:r>
    </w:p>
    <w:p>
      <w:pPr>
        <w:numPr>
          <w:ilvl w:val="0"/>
          <w:numId w:val="10"/>
        </w:numPr>
        <w:spacing w:after="120" w:line="280" w:lineRule="auto"/>
      </w:pPr>
      <w:r>
        <w:rPr>
          <w:rFonts w:ascii="Calibri" w:hAnsi="Calibri"/>
          <w:color w:val="17181C"/>
          <w:sz w:val="22"/>
        </w:rPr>
        <w:t>Material availability, alternatives, and sustainability/compliance documentation</w:t>
      </w:r>
    </w:p>
    <w:p>
      <w:pPr>
        <w:numPr>
          <w:ilvl w:val="0"/>
          <w:numId w:val="10"/>
        </w:numPr>
        <w:spacing w:after="120" w:line="280" w:lineRule="auto"/>
      </w:pPr>
      <w:r>
        <w:rPr>
          <w:rFonts w:ascii="Calibri" w:hAnsi="Calibri"/>
          <w:color w:val="17181C"/>
          <w:sz w:val="22"/>
        </w:rPr>
        <w:t>Risk alerts for currency, geography, tariffs, logistics, and concentration</w:t>
      </w:r>
    </w:p>
    <w:p>
      <w:pPr>
        <w:pStyle w:val="Heading1"/>
      </w:pPr>
      <w:r>
        <w:t>11. Collaboration, approvals, and professional workflow</w:t>
      </w:r>
    </w:p>
    <w:p>
      <w:pPr>
        <w:pStyle w:val="Heading2"/>
      </w:pPr>
      <w:r>
        <w:t>11.1 Collaboration</w:t>
      </w:r>
    </w:p>
    <w:p>
      <w:pPr>
        <w:numPr>
          <w:ilvl w:val="0"/>
          <w:numId w:val="10"/>
        </w:numPr>
        <w:spacing w:after="120" w:line="280" w:lineRule="auto"/>
      </w:pPr>
      <w:r>
        <w:rPr>
          <w:rFonts w:ascii="Calibri" w:hAnsi="Calibri"/>
          <w:color w:val="17181C"/>
          <w:sz w:val="22"/>
        </w:rPr>
        <w:t>Comments anchored to a field, image region, row, version, or evidence item</w:t>
      </w:r>
    </w:p>
    <w:p>
      <w:pPr>
        <w:numPr>
          <w:ilvl w:val="0"/>
          <w:numId w:val="10"/>
        </w:numPr>
        <w:spacing w:after="120" w:line="280" w:lineRule="auto"/>
      </w:pPr>
      <w:r>
        <w:rPr>
          <w:rFonts w:ascii="Calibri" w:hAnsi="Calibri"/>
          <w:color w:val="17181C"/>
          <w:sz w:val="22"/>
        </w:rPr>
        <w:t>Mentions, assignments, due dates, reminders, and daily/weekly digests</w:t>
      </w:r>
    </w:p>
    <w:p>
      <w:pPr>
        <w:numPr>
          <w:ilvl w:val="0"/>
          <w:numId w:val="10"/>
        </w:numPr>
        <w:spacing w:after="120" w:line="280" w:lineRule="auto"/>
      </w:pPr>
      <w:r>
        <w:rPr>
          <w:rFonts w:ascii="Calibri" w:hAnsi="Calibri"/>
          <w:color w:val="17181C"/>
          <w:sz w:val="22"/>
        </w:rPr>
        <w:t>Saved views for designer, buyer, technical, sourcing, and leadership roles</w:t>
      </w:r>
    </w:p>
    <w:p>
      <w:pPr>
        <w:numPr>
          <w:ilvl w:val="0"/>
          <w:numId w:val="10"/>
        </w:numPr>
        <w:spacing w:after="120" w:line="280" w:lineRule="auto"/>
      </w:pPr>
      <w:r>
        <w:rPr>
          <w:rFonts w:ascii="Calibri" w:hAnsi="Calibri"/>
          <w:color w:val="17181C"/>
          <w:sz w:val="22"/>
        </w:rPr>
        <w:t>Presence, autosave, conflict resolution, and compare/restore</w:t>
      </w:r>
    </w:p>
    <w:p>
      <w:pPr>
        <w:numPr>
          <w:ilvl w:val="0"/>
          <w:numId w:val="10"/>
        </w:numPr>
        <w:spacing w:after="120" w:line="280" w:lineRule="auto"/>
      </w:pPr>
      <w:r>
        <w:rPr>
          <w:rFonts w:ascii="Calibri" w:hAnsi="Calibri"/>
          <w:color w:val="17181C"/>
          <w:sz w:val="22"/>
        </w:rPr>
        <w:t>Decision meetings with agenda, evidence pack, live voting, dissent, and recap</w:t>
      </w:r>
    </w:p>
    <w:p>
      <w:pPr>
        <w:numPr>
          <w:ilvl w:val="0"/>
          <w:numId w:val="10"/>
        </w:numPr>
        <w:spacing w:after="120" w:line="280" w:lineRule="auto"/>
      </w:pPr>
      <w:r>
        <w:rPr>
          <w:rFonts w:ascii="Calibri" w:hAnsi="Calibri"/>
          <w:color w:val="17181C"/>
          <w:sz w:val="22"/>
        </w:rPr>
        <w:t>Slack, Teams, email, and calendar notifications</w:t>
      </w:r>
    </w:p>
    <w:p>
      <w:pPr>
        <w:pStyle w:val="Heading2"/>
      </w:pPr>
      <w:r>
        <w:t>11.2 Approval lanes</w:t>
      </w:r>
    </w:p>
    <w:tbl>
      <w:tblPr>
        <w:tblW w:type="dxa" w:w="9360"/>
        <w:jc w:val="left"/>
        <w:tblLayout w:type="fixed"/>
        <w:tblLook w:firstColumn="1" w:firstRow="1" w:lastColumn="0" w:lastRow="0" w:noHBand="0" w:noVBand="1" w:val="04A0"/>
        <w:tblInd w:type="dxa" w:w="120"/>
      </w:tblPr>
      <w:tblGrid>
        <w:gridCol w:w="1700"/>
        <w:gridCol w:w="3760"/>
        <w:gridCol w:w="3900"/>
      </w:tblGrid>
      <w:tr>
        <w:trPr>
          <w:tblHeader w:val="true"/>
          <w:cantSplit/>
        </w:trPr>
        <w:tc>
          <w:tcPr>
            <w:tcW w:type="dxa" w:w="17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7"/>
              </w:rPr>
              <w:t>Lane</w:t>
            </w:r>
          </w:p>
        </w:tc>
        <w:tc>
          <w:tcPr>
            <w:tcW w:type="dxa" w:w="376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7"/>
              </w:rPr>
              <w:t>Approves</w:t>
            </w:r>
          </w:p>
        </w:tc>
        <w:tc>
          <w:tcPr>
            <w:tcW w:type="dxa" w:w="39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7"/>
              </w:rPr>
              <w:t>Typical blockers</w:t>
            </w:r>
          </w:p>
        </w:tc>
      </w:tr>
      <w:tr>
        <w:trPr>
          <w:cantSplit/>
        </w:trPr>
        <w:tc>
          <w:tcPr>
            <w:tcW w:type="dxa" w:w="17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Creative</w:t>
            </w:r>
          </w:p>
        </w:tc>
        <w:tc>
          <w:tcPr>
            <w:tcW w:type="dxa" w:w="37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Brand fit, design intent, collection coherence</w:t>
            </w:r>
          </w:p>
        </w:tc>
        <w:tc>
          <w:tcPr>
            <w:tcW w:type="dxa" w:w="3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Off-brief, derivative, unresolved visual direction</w:t>
            </w:r>
          </w:p>
        </w:tc>
      </w:tr>
      <w:tr>
        <w:trPr>
          <w:cantSplit/>
        </w:trPr>
        <w:tc>
          <w:tcPr>
            <w:tcW w:type="dxa" w:w="17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Merchandising</w:t>
            </w:r>
          </w:p>
        </w:tc>
        <w:tc>
          <w:tcPr>
            <w:tcW w:type="dxa" w:w="37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Assortment need, units, price, margin, budget</w:t>
            </w:r>
          </w:p>
        </w:tc>
        <w:tc>
          <w:tcPr>
            <w:tcW w:type="dxa" w:w="3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Duplication, weak economics, unjustified depth</w:t>
            </w:r>
          </w:p>
        </w:tc>
      </w:tr>
      <w:tr>
        <w:trPr>
          <w:cantSplit/>
        </w:trPr>
        <w:tc>
          <w:tcPr>
            <w:tcW w:type="dxa" w:w="17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Technical</w:t>
            </w:r>
          </w:p>
        </w:tc>
        <w:tc>
          <w:tcPr>
            <w:tcW w:type="dxa" w:w="37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Construction, material, fit, quality, feasibility</w:t>
            </w:r>
          </w:p>
        </w:tc>
        <w:tc>
          <w:tcPr>
            <w:tcW w:type="dxa" w:w="3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Missing specification, unverified material, sample issue</w:t>
            </w:r>
          </w:p>
        </w:tc>
      </w:tr>
      <w:tr>
        <w:trPr>
          <w:cantSplit/>
        </w:trPr>
        <w:tc>
          <w:tcPr>
            <w:tcW w:type="dxa" w:w="17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Sourcing/Production</w:t>
            </w:r>
          </w:p>
        </w:tc>
        <w:tc>
          <w:tcPr>
            <w:tcW w:type="dxa" w:w="37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Supplier, MOQ, capacity, timing, compliance</w:t>
            </w:r>
          </w:p>
        </w:tc>
        <w:tc>
          <w:tcPr>
            <w:tcW w:type="dxa" w:w="3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Lead-time risk, quote, documentation, capacity</w:t>
            </w:r>
          </w:p>
        </w:tc>
      </w:tr>
      <w:tr>
        <w:trPr>
          <w:cantSplit/>
        </w:trPr>
        <w:tc>
          <w:tcPr>
            <w:tcW w:type="dxa" w:w="17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Leadership (optional)</w:t>
            </w:r>
          </w:p>
        </w:tc>
        <w:tc>
          <w:tcPr>
            <w:tcW w:type="dxa" w:w="37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Exception or high-exposure decisions</w:t>
            </w:r>
          </w:p>
        </w:tc>
        <w:tc>
          <w:tcPr>
            <w:tcW w:type="dxa" w:w="39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7"/>
              </w:rPr>
              <w:t>Budget override, brand risk, strategic exception</w:t>
            </w:r>
          </w:p>
        </w:tc>
      </w:tr>
    </w:tbl>
    <w:p>
      <w:pPr>
        <w:spacing w:after="40"/>
      </w:pPr>
    </w:p>
    <w:p>
      <w:pPr>
        <w:spacing w:after="120" w:line="264" w:lineRule="auto"/>
      </w:pPr>
      <w:r>
        <w:rPr>
          <w:rFonts w:ascii="Calibri" w:hAnsi="Calibri"/>
          <w:i w:val="0"/>
          <w:color w:val="17181C"/>
          <w:sz w:val="22"/>
        </w:rPr>
        <w:t>Every approval must reference exact immutable versions and the authenticated person, time, permission, comments, exceptions, and evidence visible when they decided.</w:t>
      </w:r>
    </w:p>
    <w:p>
      <w:pPr>
        <w:pStyle w:val="Heading2"/>
      </w:pPr>
      <w:r>
        <w:t>11.3 Professional exports</w:t>
      </w:r>
    </w:p>
    <w:p>
      <w:pPr>
        <w:numPr>
          <w:ilvl w:val="0"/>
          <w:numId w:val="10"/>
        </w:numPr>
        <w:spacing w:after="120" w:line="280" w:lineRule="auto"/>
      </w:pPr>
      <w:r>
        <w:rPr>
          <w:rFonts w:ascii="Calibri" w:hAnsi="Calibri"/>
          <w:color w:val="17181C"/>
          <w:sz w:val="22"/>
        </w:rPr>
        <w:t>Collection overview and decision pack</w:t>
      </w:r>
    </w:p>
    <w:p>
      <w:pPr>
        <w:numPr>
          <w:ilvl w:val="0"/>
          <w:numId w:val="10"/>
        </w:numPr>
        <w:spacing w:after="120" w:line="280" w:lineRule="auto"/>
      </w:pPr>
      <w:r>
        <w:rPr>
          <w:rFonts w:ascii="Calibri" w:hAnsi="Calibri"/>
          <w:color w:val="17181C"/>
          <w:sz w:val="22"/>
        </w:rPr>
        <w:t>Versioned brief and evidence appendix</w:t>
      </w:r>
    </w:p>
    <w:p>
      <w:pPr>
        <w:numPr>
          <w:ilvl w:val="0"/>
          <w:numId w:val="10"/>
        </w:numPr>
        <w:spacing w:after="120" w:line="280" w:lineRule="auto"/>
      </w:pPr>
      <w:r>
        <w:rPr>
          <w:rFonts w:ascii="Calibri" w:hAnsi="Calibri"/>
          <w:color w:val="17181C"/>
          <w:sz w:val="22"/>
        </w:rPr>
        <w:t>Range plan in XLSX/CSV and buyer-facing PDF</w:t>
      </w:r>
    </w:p>
    <w:p>
      <w:pPr>
        <w:numPr>
          <w:ilvl w:val="0"/>
          <w:numId w:val="10"/>
        </w:numPr>
        <w:spacing w:after="120" w:line="280" w:lineRule="auto"/>
      </w:pPr>
      <w:r>
        <w:rPr>
          <w:rFonts w:ascii="Calibri" w:hAnsi="Calibri"/>
          <w:color w:val="17181C"/>
          <w:sz w:val="22"/>
        </w:rPr>
        <w:t>Line sheet and concept review deck</w:t>
      </w:r>
    </w:p>
    <w:p>
      <w:pPr>
        <w:numPr>
          <w:ilvl w:val="0"/>
          <w:numId w:val="10"/>
        </w:numPr>
        <w:spacing w:after="120" w:line="280" w:lineRule="auto"/>
      </w:pPr>
      <w:r>
        <w:rPr>
          <w:rFonts w:ascii="Calibri" w:hAnsi="Calibri"/>
          <w:color w:val="17181C"/>
          <w:sz w:val="22"/>
        </w:rPr>
        <w:t>Approval and exception record</w:t>
      </w:r>
    </w:p>
    <w:p>
      <w:pPr>
        <w:numPr>
          <w:ilvl w:val="0"/>
          <w:numId w:val="10"/>
        </w:numPr>
        <w:spacing w:after="120" w:line="280" w:lineRule="auto"/>
      </w:pPr>
      <w:r>
        <w:rPr>
          <w:rFonts w:ascii="Calibri" w:hAnsi="Calibri"/>
          <w:color w:val="17181C"/>
          <w:sz w:val="22"/>
        </w:rPr>
        <w:t>Critical path and supplier-risk report</w:t>
      </w:r>
    </w:p>
    <w:p>
      <w:pPr>
        <w:numPr>
          <w:ilvl w:val="0"/>
          <w:numId w:val="10"/>
        </w:numPr>
        <w:spacing w:after="120" w:line="280" w:lineRule="auto"/>
      </w:pPr>
      <w:r>
        <w:rPr>
          <w:rFonts w:ascii="Calibri" w:hAnsi="Calibri"/>
          <w:color w:val="17181C"/>
          <w:sz w:val="22"/>
        </w:rPr>
        <w:t>Launch lineage and hindsight report</w:t>
      </w:r>
    </w:p>
    <w:p>
      <w:pPr>
        <w:numPr>
          <w:ilvl w:val="0"/>
          <w:numId w:val="10"/>
        </w:numPr>
        <w:spacing w:after="120" w:line="280" w:lineRule="auto"/>
      </w:pPr>
      <w:r>
        <w:rPr>
          <w:rFonts w:ascii="Calibri" w:hAnsi="Calibri"/>
          <w:color w:val="17181C"/>
          <w:sz w:val="22"/>
        </w:rPr>
        <w:t>Board/executive summary</w:t>
      </w:r>
    </w:p>
    <w:p>
      <w:pPr>
        <w:pStyle w:val="Heading1"/>
      </w:pPr>
      <w:r>
        <w:t>12. Enterprise foundation and integrations</w:t>
      </w:r>
    </w:p>
    <w:p>
      <w:pPr>
        <w:pStyle w:val="Heading2"/>
      </w:pPr>
      <w:r>
        <w:t>12.1 Identity and governance</w:t>
      </w:r>
    </w:p>
    <w:p>
      <w:pPr>
        <w:numPr>
          <w:ilvl w:val="0"/>
          <w:numId w:val="10"/>
        </w:numPr>
        <w:spacing w:after="120" w:line="280" w:lineRule="auto"/>
      </w:pPr>
      <w:r>
        <w:rPr>
          <w:rFonts w:ascii="Calibri" w:hAnsi="Calibri"/>
          <w:color w:val="17181C"/>
          <w:sz w:val="22"/>
        </w:rPr>
        <w:t>Organizations, multiple brands, teams, memberships, and external collaborators</w:t>
      </w:r>
    </w:p>
    <w:p>
      <w:pPr>
        <w:numPr>
          <w:ilvl w:val="0"/>
          <w:numId w:val="10"/>
        </w:numPr>
        <w:spacing w:after="120" w:line="280" w:lineRule="auto"/>
      </w:pPr>
      <w:r>
        <w:rPr>
          <w:rFonts w:ascii="Calibri" w:hAnsi="Calibri"/>
          <w:color w:val="17181C"/>
          <w:sz w:val="22"/>
        </w:rPr>
        <w:t>Role- and attribute-based permissions down to brand, collection, and artifact</w:t>
      </w:r>
    </w:p>
    <w:p>
      <w:pPr>
        <w:numPr>
          <w:ilvl w:val="0"/>
          <w:numId w:val="10"/>
        </w:numPr>
        <w:spacing w:after="120" w:line="280" w:lineRule="auto"/>
      </w:pPr>
      <w:r>
        <w:rPr>
          <w:rFonts w:ascii="Calibri" w:hAnsi="Calibri"/>
          <w:color w:val="17181C"/>
          <w:sz w:val="22"/>
        </w:rPr>
        <w:t>Normal sign-in, passwordless/SSO, MFA, session management, and service accounts</w:t>
      </w:r>
    </w:p>
    <w:p>
      <w:pPr>
        <w:numPr>
          <w:ilvl w:val="0"/>
          <w:numId w:val="10"/>
        </w:numPr>
        <w:spacing w:after="120" w:line="280" w:lineRule="auto"/>
      </w:pPr>
      <w:r>
        <w:rPr>
          <w:rFonts w:ascii="Calibri" w:hAnsi="Calibri"/>
          <w:color w:val="17181C"/>
          <w:sz w:val="22"/>
        </w:rPr>
        <w:t>Audit log, retention, legal hold, export, deletion, and regional data controls</w:t>
      </w:r>
    </w:p>
    <w:p>
      <w:pPr>
        <w:numPr>
          <w:ilvl w:val="0"/>
          <w:numId w:val="10"/>
        </w:numPr>
        <w:spacing w:after="120" w:line="280" w:lineRule="auto"/>
      </w:pPr>
      <w:r>
        <w:rPr>
          <w:rFonts w:ascii="Calibri" w:hAnsi="Calibri"/>
          <w:color w:val="17181C"/>
          <w:sz w:val="22"/>
        </w:rPr>
        <w:t>Environment separation, backups, disaster recovery, monitoring, alerting, and support tooling</w:t>
      </w:r>
    </w:p>
    <w:p>
      <w:pPr>
        <w:numPr>
          <w:ilvl w:val="0"/>
          <w:numId w:val="10"/>
        </w:numPr>
        <w:spacing w:after="120" w:line="280" w:lineRule="auto"/>
      </w:pPr>
      <w:r>
        <w:rPr>
          <w:rFonts w:ascii="Calibri" w:hAnsi="Calibri"/>
          <w:color w:val="17181C"/>
          <w:sz w:val="22"/>
        </w:rPr>
        <w:t>API rate limits, idempotency, queues, retries, and integration health</w:t>
      </w:r>
    </w:p>
    <w:p>
      <w:pPr>
        <w:pStyle w:val="Heading2"/>
      </w:pPr>
      <w:r>
        <w:t>12.2 Integration strategy</w:t>
      </w:r>
    </w:p>
    <w:tbl>
      <w:tblPr>
        <w:tblW w:type="dxa" w:w="9360"/>
        <w:jc w:val="left"/>
        <w:tblLayout w:type="fixed"/>
        <w:tblLook w:firstColumn="1" w:firstRow="1" w:lastColumn="0" w:lastRow="0" w:noHBand="0" w:noVBand="1" w:val="04A0"/>
        <w:tblInd w:type="dxa" w:w="120"/>
      </w:tblPr>
      <w:tblGrid>
        <w:gridCol w:w="1500"/>
        <w:gridCol w:w="2800"/>
        <w:gridCol w:w="5060"/>
      </w:tblGrid>
      <w:tr>
        <w:trPr>
          <w:tblHeader w:val="true"/>
          <w:cantSplit/>
        </w:trPr>
        <w:tc>
          <w:tcPr>
            <w:tcW w:type="dxa" w:w="15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Domain</w:t>
            </w:r>
          </w:p>
        </w:tc>
        <w:tc>
          <w:tcPr>
            <w:tcW w:type="dxa" w:w="28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Examples</w:t>
            </w:r>
          </w:p>
        </w:tc>
        <w:tc>
          <w:tcPr>
            <w:tcW w:type="dxa" w:w="506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Atelier role</w:t>
            </w:r>
          </w:p>
        </w:tc>
      </w:tr>
      <w:tr>
        <w:trPr>
          <w:cantSplit/>
        </w:trPr>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Commerce</w:t>
            </w:r>
          </w:p>
        </w:tc>
        <w:tc>
          <w:tcPr>
            <w:tcW w:type="dxa" w:w="28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Shopify, marketplaces, POS</w:t>
            </w:r>
          </w:p>
        </w:tc>
        <w:tc>
          <w:tcPr>
            <w:tcW w:type="dxa" w:w="5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Read sales, stock, waitlists, customers; write approved actions cautiously</w:t>
            </w:r>
          </w:p>
        </w:tc>
      </w:tr>
      <w:tr>
        <w:trPr>
          <w:cantSplit/>
        </w:trPr>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PLM</w:t>
            </w:r>
          </w:p>
        </w:tc>
        <w:tc>
          <w:tcPr>
            <w:tcW w:type="dxa" w:w="28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Centric, Backbone, WFX</w:t>
            </w:r>
          </w:p>
        </w:tc>
        <w:tc>
          <w:tcPr>
            <w:tcW w:type="dxa" w:w="5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Sync product master, status, specs, approvals, and version links</w:t>
            </w:r>
          </w:p>
        </w:tc>
      </w:tr>
      <w:tr>
        <w:trPr>
          <w:cantSplit/>
        </w:trPr>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ERP/WMS</w:t>
            </w:r>
          </w:p>
        </w:tc>
        <w:tc>
          <w:tcPr>
            <w:tcW w:type="dxa" w:w="28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NetSuite, SAP, Dynamics</w:t>
            </w:r>
          </w:p>
        </w:tc>
        <w:tc>
          <w:tcPr>
            <w:tcW w:type="dxa" w:w="5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Read costs, POs, inventory, receipts, and supplier data</w:t>
            </w:r>
          </w:p>
        </w:tc>
      </w:tr>
      <w:tr>
        <w:trPr>
          <w:cantSplit/>
        </w:trPr>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PIM/DAM</w:t>
            </w:r>
          </w:p>
        </w:tc>
        <w:tc>
          <w:tcPr>
            <w:tcW w:type="dxa" w:w="28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Akeneo, Bynder, Drive, Box</w:t>
            </w:r>
          </w:p>
        </w:tc>
        <w:tc>
          <w:tcPr>
            <w:tcW w:type="dxa" w:w="5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Index approved product and media assets with permissions</w:t>
            </w:r>
          </w:p>
        </w:tc>
      </w:tr>
      <w:tr>
        <w:trPr>
          <w:cantSplit/>
        </w:trPr>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3D/Creative</w:t>
            </w:r>
          </w:p>
        </w:tc>
        <w:tc>
          <w:tcPr>
            <w:tcW w:type="dxa" w:w="28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CLO, Browzwear, Adobe, Figma</w:t>
            </w:r>
          </w:p>
        </w:tc>
        <w:tc>
          <w:tcPr>
            <w:tcW w:type="dxa" w:w="5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Send references; receive versions, renders, and technical artifacts</w:t>
            </w:r>
          </w:p>
        </w:tc>
      </w:tr>
      <w:tr>
        <w:trPr>
          <w:cantSplit/>
        </w:trPr>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Analytics</w:t>
            </w:r>
          </w:p>
        </w:tc>
        <w:tc>
          <w:tcPr>
            <w:tcW w:type="dxa" w:w="28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GA, BI, data warehouse</w:t>
            </w:r>
          </w:p>
        </w:tc>
        <w:tc>
          <w:tcPr>
            <w:tcW w:type="dxa" w:w="5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Read behavior and outcomes; export decision ledger</w:t>
            </w:r>
          </w:p>
        </w:tc>
      </w:tr>
      <w:tr>
        <w:trPr>
          <w:cantSplit/>
        </w:trPr>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Collaboration</w:t>
            </w:r>
          </w:p>
        </w:tc>
        <w:tc>
          <w:tcPr>
            <w:tcW w:type="dxa" w:w="28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Slack, Teams, email, calendar</w:t>
            </w:r>
          </w:p>
        </w:tc>
        <w:tc>
          <w:tcPr>
            <w:tcW w:type="dxa" w:w="5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Notify, collect structured feedback, and schedule decisions</w:t>
            </w:r>
          </w:p>
        </w:tc>
      </w:tr>
      <w:tr>
        <w:trPr>
          <w:cantSplit/>
        </w:trPr>
        <w:tc>
          <w:tcPr>
            <w:tcW w:type="dxa" w:w="15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Market data</w:t>
            </w:r>
          </w:p>
        </w:tc>
        <w:tc>
          <w:tcPr>
            <w:tcW w:type="dxa" w:w="28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WGSN, EDITED, APIs, approved reports</w:t>
            </w:r>
          </w:p>
        </w:tc>
        <w:tc>
          <w:tcPr>
            <w:tcW w:type="dxa" w:w="506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Use licensed evidence with source and entitlement controls</w:t>
            </w:r>
          </w:p>
        </w:tc>
      </w:tr>
    </w:tbl>
    <w:p>
      <w:pPr>
        <w:spacing w:after="40"/>
      </w:pPr>
    </w:p>
    <w:p>
      <w:pPr>
        <w:pStyle w:val="Heading2"/>
      </w:pPr>
      <w:r>
        <w:t>12.3 Build versus integrate</w:t>
      </w:r>
    </w:p>
    <w:tbl>
      <w:tblPr>
        <w:tblW w:type="dxa" w:w="9360"/>
        <w:jc w:val="left"/>
        <w:tblLayout w:type="fixed"/>
        <w:tblLook w:firstColumn="1" w:firstRow="1" w:lastColumn="0" w:lastRow="0" w:noHBand="0" w:noVBand="1" w:val="04A0"/>
        <w:tblInd w:type="dxa" w:w="180"/>
      </w:tblPr>
      <w:tblGrid>
        <w:gridCol w:w="9360"/>
      </w:tblGrid>
      <w:tr>
        <w:trPr/>
        <w:tc>
          <w:tcPr>
            <w:tcW w:type="dxa" w:w="9360"/>
            <w:shd w:fill="EAEEFE"/>
            <w:tcBorders>
              <w:top w:val="single" w:sz="8" w:color="2B4BEA"/>
              <w:left w:val="single" w:sz="8" w:color="2B4BEA"/>
              <w:bottom w:val="single" w:sz="8" w:color="2B4BEA"/>
              <w:right w:val="single" w:sz="8" w:color="2B4BEA"/>
              <w:insideH w:val="single" w:sz="8" w:color="2B4BEA"/>
              <w:insideV w:val="single" w:sz="8" w:color="2B4BEA"/>
            </w:tcBorders>
            <w:tcMar>
              <w:top w:w="110" w:type="dxa"/>
              <w:bottom w:w="110" w:type="dxa"/>
              <w:start w:w="180" w:type="dxa"/>
              <w:end w:w="180" w:type="dxa"/>
            </w:tcMar>
          </w:tcPr>
          <w:p>
            <w:pPr>
              <w:spacing w:before="60" w:after="60" w:line="264" w:lineRule="auto"/>
            </w:pPr>
            <w:r>
              <w:rPr>
                <w:rFonts w:ascii="Calibri" w:hAnsi="Calibri"/>
                <w:b/>
                <w:color w:val="2B4BEA"/>
                <w:sz w:val="18"/>
              </w:rPr>
              <w:t xml:space="preserve">OWN  </w:t>
            </w:r>
            <w:r>
              <w:rPr>
                <w:rFonts w:ascii="Calibri" w:hAnsi="Calibri"/>
                <w:b w:val="0"/>
                <w:color w:val="17181C"/>
                <w:sz w:val="22"/>
              </w:rPr>
              <w:t>Brand memory, universal evidence mapping, Taste Team, collection command center, scenario decisioning, versioned approvals, test-and-react rules, lineage, and outcome learning.</w:t>
            </w:r>
          </w:p>
        </w:tc>
      </w:tr>
    </w:tbl>
    <w:p>
      <w:pPr>
        <w:spacing w:after="40"/>
      </w:pPr>
    </w:p>
    <w:tbl>
      <w:tblPr>
        <w:tblW w:type="dxa" w:w="9360"/>
        <w:jc w:val="left"/>
        <w:tblLayout w:type="fixed"/>
        <w:tblLook w:firstColumn="1" w:firstRow="1" w:lastColumn="0" w:lastRow="0" w:noHBand="0" w:noVBand="1" w:val="04A0"/>
        <w:tblInd w:type="dxa" w:w="180"/>
      </w:tblPr>
      <w:tblGrid>
        <w:gridCol w:w="9360"/>
      </w:tblGrid>
      <w:tr>
        <w:trPr/>
        <w:tc>
          <w:tcPr>
            <w:tcW w:type="dxa" w:w="9360"/>
            <w:shd w:fill="F2F4F7"/>
            <w:tcBorders>
              <w:top w:val="single" w:sz="8" w:color="797C84"/>
              <w:left w:val="single" w:sz="8" w:color="797C84"/>
              <w:bottom w:val="single" w:sz="8" w:color="797C84"/>
              <w:right w:val="single" w:sz="8" w:color="797C84"/>
              <w:insideH w:val="single" w:sz="8" w:color="797C84"/>
              <w:insideV w:val="single" w:sz="8" w:color="797C84"/>
            </w:tcBorders>
            <w:tcMar>
              <w:top w:w="110" w:type="dxa"/>
              <w:bottom w:w="110" w:type="dxa"/>
              <w:start w:w="180" w:type="dxa"/>
              <w:end w:w="180" w:type="dxa"/>
            </w:tcMar>
          </w:tcPr>
          <w:p>
            <w:pPr>
              <w:spacing w:before="60" w:after="60" w:line="264" w:lineRule="auto"/>
            </w:pPr>
            <w:r>
              <w:rPr>
                <w:rFonts w:ascii="Calibri" w:hAnsi="Calibri"/>
                <w:b/>
                <w:color w:val="797C84"/>
                <w:sz w:val="18"/>
              </w:rPr>
              <w:t xml:space="preserve">INTEGRATE  </w:t>
            </w:r>
            <w:r>
              <w:rPr>
                <w:rFonts w:ascii="Calibri" w:hAnsi="Calibri"/>
                <w:b w:val="0"/>
                <w:color w:val="17181C"/>
                <w:sz w:val="22"/>
              </w:rPr>
              <w:t>Enterprise PLM/ERP execution, advanced 3D/patternmaking, warehouse management, accounting, global trend content, factory execution, and established DAM/PIM.</w:t>
            </w:r>
          </w:p>
        </w:tc>
      </w:tr>
    </w:tbl>
    <w:p>
      <w:pPr>
        <w:spacing w:after="40"/>
      </w:pPr>
    </w:p>
    <w:p>
      <w:pPr>
        <w:pStyle w:val="Heading1"/>
      </w:pPr>
      <w:r>
        <w:t>13. Pre-session polish checklist</w:t>
      </w:r>
    </w:p>
    <w:p>
      <w:pPr>
        <w:spacing w:after="120" w:line="264" w:lineRule="auto"/>
      </w:pPr>
      <w:r>
        <w:rPr>
          <w:rFonts w:ascii="Calibri" w:hAnsi="Calibri"/>
          <w:i w:val="0"/>
          <w:color w:val="17181C"/>
          <w:sz w:val="22"/>
        </w:rPr>
        <w:t>The client session should demonstrate one coherent operating model. A smaller finished path is more persuasive than broad access to unfinished capabilities.</w:t>
      </w:r>
    </w:p>
    <w:p>
      <w:pPr>
        <w:pStyle w:val="Heading2"/>
      </w:pPr>
      <w:r>
        <w:t>13.1 Must fix</w:t>
      </w:r>
    </w:p>
    <w:p>
      <w:pPr>
        <w:numPr>
          <w:ilvl w:val="0"/>
          <w:numId w:val="10"/>
        </w:numPr>
        <w:spacing w:after="120" w:line="280" w:lineRule="auto"/>
      </w:pPr>
      <w:r>
        <w:rPr>
          <w:rFonts w:ascii="Calibri" w:hAnsi="Calibri"/>
          <w:color w:val="17181C"/>
          <w:sz w:val="22"/>
        </w:rPr>
        <w:t>Make engine health reliable and replace technical failure messages with guided recovery.</w:t>
      </w:r>
    </w:p>
    <w:p>
      <w:pPr>
        <w:numPr>
          <w:ilvl w:val="0"/>
          <w:numId w:val="10"/>
        </w:numPr>
        <w:spacing w:after="120" w:line="280" w:lineRule="auto"/>
      </w:pPr>
      <w:r>
        <w:rPr>
          <w:rFonts w:ascii="Calibri" w:hAnsi="Calibri"/>
          <w:color w:val="17181C"/>
          <w:sz w:val="22"/>
        </w:rPr>
        <w:t>Use a presentation-safe authenticated demo user; hide bearer tokens and terminal commands.</w:t>
      </w:r>
    </w:p>
    <w:p>
      <w:pPr>
        <w:numPr>
          <w:ilvl w:val="0"/>
          <w:numId w:val="10"/>
        </w:numPr>
        <w:spacing w:after="120" w:line="280" w:lineRule="auto"/>
      </w:pPr>
      <w:r>
        <w:rPr>
          <w:rFonts w:ascii="Calibri" w:hAnsi="Calibri"/>
          <w:color w:val="17181C"/>
          <w:sz w:val="22"/>
        </w:rPr>
        <w:t>Prepare one complete golden collection across every stage.</w:t>
      </w:r>
    </w:p>
    <w:p>
      <w:pPr>
        <w:numPr>
          <w:ilvl w:val="0"/>
          <w:numId w:val="10"/>
        </w:numPr>
        <w:spacing w:after="120" w:line="280" w:lineRule="auto"/>
      </w:pPr>
      <w:r>
        <w:rPr>
          <w:rFonts w:ascii="Calibri" w:hAnsi="Calibri"/>
          <w:color w:val="17181C"/>
          <w:sz w:val="22"/>
        </w:rPr>
        <w:t>Hide, disable, or clearly label unfinished and sample-heavy surfaces.</w:t>
      </w:r>
    </w:p>
    <w:p>
      <w:pPr>
        <w:numPr>
          <w:ilvl w:val="0"/>
          <w:numId w:val="10"/>
        </w:numPr>
        <w:spacing w:after="120" w:line="280" w:lineRule="auto"/>
      </w:pPr>
      <w:r>
        <w:rPr>
          <w:rFonts w:ascii="Calibri" w:hAnsi="Calibri"/>
          <w:color w:val="17181C"/>
          <w:sz w:val="22"/>
        </w:rPr>
        <w:t>Complete language consistency and remove remaining internal/developer copy.</w:t>
      </w:r>
    </w:p>
    <w:p>
      <w:pPr>
        <w:numPr>
          <w:ilvl w:val="0"/>
          <w:numId w:val="10"/>
        </w:numPr>
        <w:spacing w:after="120" w:line="280" w:lineRule="auto"/>
      </w:pPr>
      <w:r>
        <w:rPr>
          <w:rFonts w:ascii="Calibri" w:hAnsi="Calibri"/>
          <w:color w:val="17181C"/>
          <w:sz w:val="22"/>
        </w:rPr>
        <w:t>Test empty, loading, error, success, conflict, stale, and permission states.</w:t>
      </w:r>
    </w:p>
    <w:p>
      <w:pPr>
        <w:numPr>
          <w:ilvl w:val="0"/>
          <w:numId w:val="10"/>
        </w:numPr>
        <w:spacing w:after="120" w:line="280" w:lineRule="auto"/>
      </w:pPr>
      <w:r>
        <w:rPr>
          <w:rFonts w:ascii="Calibri" w:hAnsi="Calibri"/>
          <w:color w:val="17181C"/>
          <w:sz w:val="22"/>
        </w:rPr>
        <w:t>Verify responsive layout, long names, keyboard navigation, focus, dialogs, image fallbacks, and double-submit prevention.</w:t>
      </w:r>
    </w:p>
    <w:p>
      <w:pPr>
        <w:pStyle w:val="Heading2"/>
      </w:pPr>
      <w:r>
        <w:t>13.2 Add for the session</w:t>
      </w:r>
    </w:p>
    <w:p>
      <w:pPr>
        <w:numPr>
          <w:ilvl w:val="0"/>
          <w:numId w:val="10"/>
        </w:numPr>
        <w:spacing w:after="120" w:line="280" w:lineRule="auto"/>
      </w:pPr>
      <w:r>
        <w:rPr>
          <w:rFonts w:ascii="Calibri" w:hAnsi="Calibri"/>
          <w:color w:val="17181C"/>
          <w:sz w:val="22"/>
        </w:rPr>
        <w:t>Collections home with current stage, blockers, next decision, risk, and owner.</w:t>
      </w:r>
    </w:p>
    <w:p>
      <w:pPr>
        <w:numPr>
          <w:ilvl w:val="0"/>
          <w:numId w:val="10"/>
        </w:numPr>
        <w:spacing w:after="120" w:line="280" w:lineRule="auto"/>
      </w:pPr>
      <w:r>
        <w:rPr>
          <w:rFonts w:ascii="Calibri" w:hAnsi="Calibri"/>
          <w:color w:val="17181C"/>
          <w:sz w:val="22"/>
        </w:rPr>
        <w:t>Persistent collection readiness summary.</w:t>
      </w:r>
    </w:p>
    <w:p>
      <w:pPr>
        <w:numPr>
          <w:ilvl w:val="0"/>
          <w:numId w:val="10"/>
        </w:numPr>
        <w:spacing w:after="120" w:line="280" w:lineRule="auto"/>
      </w:pPr>
      <w:r>
        <w:rPr>
          <w:rFonts w:ascii="Calibri" w:hAnsi="Calibri"/>
          <w:color w:val="17181C"/>
          <w:sz w:val="22"/>
        </w:rPr>
        <w:t>Evidence drawer: source, date, freshness, basis, uncertainty, and contradicting evidence.</w:t>
      </w:r>
    </w:p>
    <w:p>
      <w:pPr>
        <w:numPr>
          <w:ilvl w:val="0"/>
          <w:numId w:val="10"/>
        </w:numPr>
        <w:spacing w:after="120" w:line="280" w:lineRule="auto"/>
      </w:pPr>
      <w:r>
        <w:rPr>
          <w:rFonts w:ascii="Calibri" w:hAnsi="Calibri"/>
          <w:color w:val="17181C"/>
          <w:sz w:val="22"/>
        </w:rPr>
        <w:t>Presentation mode that locks the brand and collection, hides developer controls, prevents accidental edits, and resets the demo.</w:t>
      </w:r>
    </w:p>
    <w:p>
      <w:pPr>
        <w:numPr>
          <w:ilvl w:val="0"/>
          <w:numId w:val="10"/>
        </w:numPr>
        <w:spacing w:after="120" w:line="280" w:lineRule="auto"/>
      </w:pPr>
      <w:r>
        <w:rPr>
          <w:rFonts w:ascii="Calibri" w:hAnsi="Calibri"/>
          <w:color w:val="17181C"/>
          <w:sz w:val="22"/>
        </w:rPr>
        <w:t>One-click collection summary export.</w:t>
      </w:r>
    </w:p>
    <w:p>
      <w:pPr>
        <w:numPr>
          <w:ilvl w:val="0"/>
          <w:numId w:val="10"/>
        </w:numPr>
        <w:spacing w:after="120" w:line="280" w:lineRule="auto"/>
      </w:pPr>
      <w:r>
        <w:rPr>
          <w:rFonts w:ascii="Calibri" w:hAnsi="Calibri"/>
          <w:color w:val="17181C"/>
          <w:sz w:val="22"/>
        </w:rPr>
        <w:t>Universal-import prototype: brand deck + moodboard + sales CSV + material sheet.</w:t>
      </w:r>
    </w:p>
    <w:p>
      <w:pPr>
        <w:numPr>
          <w:ilvl w:val="0"/>
          <w:numId w:val="10"/>
        </w:numPr>
        <w:spacing w:after="120" w:line="280" w:lineRule="auto"/>
      </w:pPr>
      <w:r>
        <w:rPr>
          <w:rFonts w:ascii="Calibri" w:hAnsi="Calibri"/>
          <w:color w:val="17181C"/>
          <w:sz w:val="22"/>
        </w:rPr>
        <w:t>Taste Team demonstration: Core, Evolution, Experiment, critique, human choice, test plan.</w:t>
      </w:r>
    </w:p>
    <w:p>
      <w:pPr>
        <w:pStyle w:val="Heading2"/>
      </w:pPr>
      <w:r>
        <w:t>13.3 Recommended presentation narrative</w:t>
      </w:r>
    </w:p>
    <w:p>
      <w:pPr>
        <w:numPr>
          <w:ilvl w:val="0"/>
          <w:numId w:val="14"/>
        </w:numPr>
        <w:spacing w:after="120" w:line="280" w:lineRule="auto"/>
      </w:pPr>
      <w:r>
        <w:rPr>
          <w:rFonts w:ascii="Calibri" w:hAnsi="Calibri"/>
          <w:color w:val="17181C"/>
          <w:sz w:val="22"/>
        </w:rPr>
        <w:t>Import four sources and show what Atelier learned with citations.</w:t>
      </w:r>
    </w:p>
    <w:p>
      <w:pPr>
        <w:numPr>
          <w:ilvl w:val="0"/>
          <w:numId w:val="14"/>
        </w:numPr>
        <w:spacing w:after="120" w:line="280" w:lineRule="auto"/>
      </w:pPr>
      <w:r>
        <w:rPr>
          <w:rFonts w:ascii="Calibri" w:hAnsi="Calibri"/>
          <w:color w:val="17181C"/>
          <w:sz w:val="22"/>
        </w:rPr>
        <w:t>Open the brand memory and show explicit taste codes and uncertain interpretations.</w:t>
      </w:r>
    </w:p>
    <w:p>
      <w:pPr>
        <w:numPr>
          <w:ilvl w:val="0"/>
          <w:numId w:val="14"/>
        </w:numPr>
        <w:spacing w:after="120" w:line="280" w:lineRule="auto"/>
      </w:pPr>
      <w:r>
        <w:rPr>
          <w:rFonts w:ascii="Calibri" w:hAnsi="Calibri"/>
          <w:color w:val="17181C"/>
          <w:sz w:val="22"/>
        </w:rPr>
        <w:t>Create or review a collection brief from market, customer, and brand evidence.</w:t>
      </w:r>
    </w:p>
    <w:p>
      <w:pPr>
        <w:numPr>
          <w:ilvl w:val="0"/>
          <w:numId w:val="14"/>
        </w:numPr>
        <w:spacing w:after="120" w:line="280" w:lineRule="auto"/>
      </w:pPr>
      <w:r>
        <w:rPr>
          <w:rFonts w:ascii="Calibri" w:hAnsi="Calibri"/>
          <w:color w:val="17181C"/>
          <w:sz w:val="22"/>
        </w:rPr>
        <w:t>Generate controlled Core, Evolution, and Experiment concepts.</w:t>
      </w:r>
    </w:p>
    <w:p>
      <w:pPr>
        <w:numPr>
          <w:ilvl w:val="0"/>
          <w:numId w:val="14"/>
        </w:numPr>
        <w:spacing w:after="120" w:line="280" w:lineRule="auto"/>
      </w:pPr>
      <w:r>
        <w:rPr>
          <w:rFonts w:ascii="Calibri" w:hAnsi="Calibri"/>
          <w:color w:val="17181C"/>
          <w:sz w:val="22"/>
        </w:rPr>
        <w:t>Show the AI Taste Team disagreeing constructively.</w:t>
      </w:r>
    </w:p>
    <w:p>
      <w:pPr>
        <w:numPr>
          <w:ilvl w:val="0"/>
          <w:numId w:val="14"/>
        </w:numPr>
        <w:spacing w:after="120" w:line="280" w:lineRule="auto"/>
      </w:pPr>
      <w:r>
        <w:rPr>
          <w:rFonts w:ascii="Calibri" w:hAnsi="Calibri"/>
          <w:color w:val="17181C"/>
          <w:sz w:val="22"/>
        </w:rPr>
        <w:t>Select a concept and convert it into a financial/operational test plan.</w:t>
      </w:r>
    </w:p>
    <w:p>
      <w:pPr>
        <w:numPr>
          <w:ilvl w:val="0"/>
          <w:numId w:val="14"/>
        </w:numPr>
        <w:spacing w:after="120" w:line="280" w:lineRule="auto"/>
      </w:pPr>
      <w:r>
        <w:rPr>
          <w:rFonts w:ascii="Calibri" w:hAnsi="Calibri"/>
          <w:color w:val="17181C"/>
          <w:sz w:val="22"/>
        </w:rPr>
        <w:t>Approve exact versions across creative, merchandising, and technical lanes.</w:t>
      </w:r>
    </w:p>
    <w:p>
      <w:pPr>
        <w:numPr>
          <w:ilvl w:val="0"/>
          <w:numId w:val="14"/>
        </w:numPr>
        <w:spacing w:after="120" w:line="280" w:lineRule="auto"/>
      </w:pPr>
      <w:r>
        <w:rPr>
          <w:rFonts w:ascii="Calibri" w:hAnsi="Calibri"/>
          <w:color w:val="17181C"/>
          <w:sz w:val="22"/>
        </w:rPr>
        <w:t>Launch the test and show how an outcome updates decision and brand memory.</w:t>
      </w:r>
    </w:p>
    <w:p>
      <w:pPr>
        <w:pStyle w:val="Heading1"/>
      </w:pPr>
      <w:r>
        <w:t>14. Phased roadmap</w:t>
      </w:r>
    </w:p>
    <w:p>
      <w:pPr>
        <w:spacing w:after="120" w:line="264" w:lineRule="auto"/>
      </w:pPr>
      <w:r>
        <w:rPr>
          <w:rFonts w:ascii="Calibri" w:hAnsi="Calibri"/>
          <w:i w:val="0"/>
          <w:color w:val="17181C"/>
          <w:sz w:val="22"/>
        </w:rPr>
        <w:t>Timelines are sequencing guidance, not estimates. Scope each phase around acceptance tests and demonstrated user outcomes. Do not advance because screens exist.</w:t>
      </w:r>
    </w:p>
    <w:p>
      <w:pPr>
        <w:pStyle w:val="Heading2"/>
      </w:pPr>
      <w:r>
        <w:t>Phase 0 — Session readiness</w:t>
      </w:r>
    </w:p>
    <w:p>
      <w:pPr>
        <w:numPr>
          <w:ilvl w:val="0"/>
          <w:numId w:val="10"/>
        </w:numPr>
        <w:spacing w:after="120" w:line="280" w:lineRule="auto"/>
      </w:pPr>
      <w:r>
        <w:rPr>
          <w:rFonts w:ascii="Calibri" w:hAnsi="Calibri"/>
          <w:color w:val="17181C"/>
          <w:sz w:val="22"/>
        </w:rPr>
        <w:t>Golden collection and presentation mode</w:t>
      </w:r>
    </w:p>
    <w:p>
      <w:pPr>
        <w:numPr>
          <w:ilvl w:val="0"/>
          <w:numId w:val="10"/>
        </w:numPr>
        <w:spacing w:after="120" w:line="280" w:lineRule="auto"/>
      </w:pPr>
      <w:r>
        <w:rPr>
          <w:rFonts w:ascii="Calibri" w:hAnsi="Calibri"/>
          <w:color w:val="17181C"/>
          <w:sz w:val="22"/>
        </w:rPr>
        <w:t>Engine reliability and demo identity</w:t>
      </w:r>
    </w:p>
    <w:p>
      <w:pPr>
        <w:numPr>
          <w:ilvl w:val="0"/>
          <w:numId w:val="10"/>
        </w:numPr>
        <w:spacing w:after="120" w:line="280" w:lineRule="auto"/>
      </w:pPr>
      <w:r>
        <w:rPr>
          <w:rFonts w:ascii="Calibri" w:hAnsi="Calibri"/>
          <w:color w:val="17181C"/>
          <w:sz w:val="22"/>
        </w:rPr>
        <w:t>Collections home and readiness summary</w:t>
      </w:r>
    </w:p>
    <w:p>
      <w:pPr>
        <w:numPr>
          <w:ilvl w:val="0"/>
          <w:numId w:val="10"/>
        </w:numPr>
        <w:spacing w:after="120" w:line="280" w:lineRule="auto"/>
      </w:pPr>
      <w:r>
        <w:rPr>
          <w:rFonts w:ascii="Calibri" w:hAnsi="Calibri"/>
          <w:color w:val="17181C"/>
          <w:sz w:val="22"/>
        </w:rPr>
        <w:t>Language, states, accessibility, and error polish</w:t>
      </w:r>
    </w:p>
    <w:p>
      <w:pPr>
        <w:numPr>
          <w:ilvl w:val="0"/>
          <w:numId w:val="10"/>
        </w:numPr>
        <w:spacing w:after="120" w:line="280" w:lineRule="auto"/>
      </w:pPr>
      <w:r>
        <w:rPr>
          <w:rFonts w:ascii="Calibri" w:hAnsi="Calibri"/>
          <w:color w:val="17181C"/>
          <w:sz w:val="22"/>
        </w:rPr>
        <w:t>Evidence drawer and professional collection export</w:t>
      </w:r>
    </w:p>
    <w:p>
      <w:pPr>
        <w:pStyle w:val="Heading2"/>
      </w:pPr>
      <w:r>
        <w:t>Phase 1 — Trustworthy product foundation</w:t>
      </w:r>
    </w:p>
    <w:p>
      <w:pPr>
        <w:numPr>
          <w:ilvl w:val="0"/>
          <w:numId w:val="10"/>
        </w:numPr>
        <w:spacing w:after="120" w:line="280" w:lineRule="auto"/>
      </w:pPr>
      <w:r>
        <w:rPr>
          <w:rFonts w:ascii="Calibri" w:hAnsi="Calibri"/>
          <w:color w:val="17181C"/>
          <w:sz w:val="22"/>
        </w:rPr>
        <w:t>Onboarding and capability levels</w:t>
      </w:r>
    </w:p>
    <w:p>
      <w:pPr>
        <w:numPr>
          <w:ilvl w:val="0"/>
          <w:numId w:val="10"/>
        </w:numPr>
        <w:spacing w:after="120" w:line="280" w:lineRule="auto"/>
      </w:pPr>
      <w:r>
        <w:rPr>
          <w:rFonts w:ascii="Calibri" w:hAnsi="Calibri"/>
          <w:color w:val="17181C"/>
          <w:sz w:val="22"/>
        </w:rPr>
        <w:t>Organization/brand/team identity and RBAC</w:t>
      </w:r>
    </w:p>
    <w:p>
      <w:pPr>
        <w:numPr>
          <w:ilvl w:val="0"/>
          <w:numId w:val="10"/>
        </w:numPr>
        <w:spacing w:after="120" w:line="280" w:lineRule="auto"/>
      </w:pPr>
      <w:r>
        <w:rPr>
          <w:rFonts w:ascii="Calibri" w:hAnsi="Calibri"/>
          <w:color w:val="17181C"/>
          <w:sz w:val="22"/>
        </w:rPr>
        <w:t>Product master: style/colorway/SKU</w:t>
      </w:r>
    </w:p>
    <w:p>
      <w:pPr>
        <w:numPr>
          <w:ilvl w:val="0"/>
          <w:numId w:val="10"/>
        </w:numPr>
        <w:spacing w:after="120" w:line="280" w:lineRule="auto"/>
      </w:pPr>
      <w:r>
        <w:rPr>
          <w:rFonts w:ascii="Calibri" w:hAnsi="Calibri"/>
          <w:color w:val="17181C"/>
          <w:sz w:val="22"/>
        </w:rPr>
        <w:t>Universal import center v1: documents, images, XLSX/CSV, links</w:t>
      </w:r>
    </w:p>
    <w:p>
      <w:pPr>
        <w:numPr>
          <w:ilvl w:val="0"/>
          <w:numId w:val="10"/>
        </w:numPr>
        <w:spacing w:after="120" w:line="280" w:lineRule="auto"/>
      </w:pPr>
      <w:r>
        <w:rPr>
          <w:rFonts w:ascii="Calibri" w:hAnsi="Calibri"/>
          <w:color w:val="17181C"/>
          <w:sz w:val="22"/>
        </w:rPr>
        <w:t>Field-level provenance, data-quality review, deletion</w:t>
      </w:r>
    </w:p>
    <w:p>
      <w:pPr>
        <w:numPr>
          <w:ilvl w:val="0"/>
          <w:numId w:val="10"/>
        </w:numPr>
        <w:spacing w:after="120" w:line="280" w:lineRule="auto"/>
      </w:pPr>
      <w:r>
        <w:rPr>
          <w:rFonts w:ascii="Calibri" w:hAnsi="Calibri"/>
          <w:color w:val="17181C"/>
          <w:sz w:val="22"/>
        </w:rPr>
        <w:t>Creative, merchandising, and technical approval lanes</w:t>
      </w:r>
    </w:p>
    <w:p>
      <w:pPr>
        <w:pStyle w:val="Heading2"/>
      </w:pPr>
      <w:r>
        <w:t>Phase 2 — Taste operating system</w:t>
      </w:r>
    </w:p>
    <w:p>
      <w:pPr>
        <w:numPr>
          <w:ilvl w:val="0"/>
          <w:numId w:val="10"/>
        </w:numPr>
        <w:spacing w:after="120" w:line="280" w:lineRule="auto"/>
      </w:pPr>
      <w:r>
        <w:rPr>
          <w:rFonts w:ascii="Calibri" w:hAnsi="Calibri"/>
          <w:color w:val="17181C"/>
          <w:sz w:val="22"/>
        </w:rPr>
        <w:t>Taste calibration and held-out evaluation</w:t>
      </w:r>
    </w:p>
    <w:p>
      <w:pPr>
        <w:numPr>
          <w:ilvl w:val="0"/>
          <w:numId w:val="10"/>
        </w:numPr>
        <w:spacing w:after="120" w:line="280" w:lineRule="auto"/>
      </w:pPr>
      <w:r>
        <w:rPr>
          <w:rFonts w:ascii="Calibri" w:hAnsi="Calibri"/>
          <w:color w:val="17181C"/>
          <w:sz w:val="22"/>
        </w:rPr>
        <w:t>Brand memory with temporal codes</w:t>
      </w:r>
    </w:p>
    <w:p>
      <w:pPr>
        <w:numPr>
          <w:ilvl w:val="0"/>
          <w:numId w:val="10"/>
        </w:numPr>
        <w:spacing w:after="120" w:line="280" w:lineRule="auto"/>
      </w:pPr>
      <w:r>
        <w:rPr>
          <w:rFonts w:ascii="Calibri" w:hAnsi="Calibri"/>
          <w:color w:val="17181C"/>
          <w:sz w:val="22"/>
        </w:rPr>
        <w:t>Scout, Archivist, Creative Director, Merchandiser, Technical Partner, Skeptic</w:t>
      </w:r>
    </w:p>
    <w:p>
      <w:pPr>
        <w:numPr>
          <w:ilvl w:val="0"/>
          <w:numId w:val="10"/>
        </w:numPr>
        <w:spacing w:after="120" w:line="280" w:lineRule="auto"/>
      </w:pPr>
      <w:r>
        <w:rPr>
          <w:rFonts w:ascii="Calibri" w:hAnsi="Calibri"/>
          <w:color w:val="17181C"/>
          <w:sz w:val="22"/>
        </w:rPr>
        <w:t>Morning Edit and weekly review rituals</w:t>
      </w:r>
    </w:p>
    <w:p>
      <w:pPr>
        <w:numPr>
          <w:ilvl w:val="0"/>
          <w:numId w:val="10"/>
        </w:numPr>
        <w:spacing w:after="120" w:line="280" w:lineRule="auto"/>
      </w:pPr>
      <w:r>
        <w:rPr>
          <w:rFonts w:ascii="Calibri" w:hAnsi="Calibri"/>
          <w:color w:val="17181C"/>
          <w:sz w:val="22"/>
        </w:rPr>
        <w:t>Controlled Core/Evolution/Experiment generation</w:t>
      </w:r>
    </w:p>
    <w:p>
      <w:pPr>
        <w:numPr>
          <w:ilvl w:val="0"/>
          <w:numId w:val="10"/>
        </w:numPr>
        <w:spacing w:after="120" w:line="280" w:lineRule="auto"/>
      </w:pPr>
      <w:r>
        <w:rPr>
          <w:rFonts w:ascii="Calibri" w:hAnsi="Calibri"/>
          <w:color w:val="17181C"/>
          <w:sz w:val="22"/>
        </w:rPr>
        <w:t>Decision explanations, dissent, and memory updates</w:t>
      </w:r>
    </w:p>
    <w:p>
      <w:pPr>
        <w:pStyle w:val="Heading2"/>
      </w:pPr>
      <w:r>
        <w:t>Phase 3 — Commercial test-and-react</w:t>
      </w:r>
    </w:p>
    <w:p>
      <w:pPr>
        <w:numPr>
          <w:ilvl w:val="0"/>
          <w:numId w:val="10"/>
        </w:numPr>
        <w:spacing w:after="120" w:line="280" w:lineRule="auto"/>
      </w:pPr>
      <w:r>
        <w:rPr>
          <w:rFonts w:ascii="Calibri" w:hAnsi="Calibri"/>
          <w:color w:val="17181C"/>
          <w:sz w:val="22"/>
        </w:rPr>
        <w:t>Deeper assortment architecture and scenario planning</w:t>
      </w:r>
    </w:p>
    <w:p>
      <w:pPr>
        <w:numPr>
          <w:ilvl w:val="0"/>
          <w:numId w:val="10"/>
        </w:numPr>
        <w:spacing w:after="120" w:line="280" w:lineRule="auto"/>
      </w:pPr>
      <w:r>
        <w:rPr>
          <w:rFonts w:ascii="Calibri" w:hAnsi="Calibri"/>
          <w:color w:val="17181C"/>
          <w:sz w:val="22"/>
        </w:rPr>
        <w:t>Comparable products and calibrated prediction ranges</w:t>
      </w:r>
    </w:p>
    <w:p>
      <w:pPr>
        <w:numPr>
          <w:ilvl w:val="0"/>
          <w:numId w:val="10"/>
        </w:numPr>
        <w:spacing w:after="120" w:line="280" w:lineRule="auto"/>
      </w:pPr>
      <w:r>
        <w:rPr>
          <w:rFonts w:ascii="Calibri" w:hAnsi="Calibri"/>
          <w:color w:val="17181C"/>
          <w:sz w:val="22"/>
        </w:rPr>
        <w:t>Preorder, waitlist, conversion, returns, and store-feedback intake</w:t>
      </w:r>
    </w:p>
    <w:p>
      <w:pPr>
        <w:numPr>
          <w:ilvl w:val="0"/>
          <w:numId w:val="10"/>
        </w:numPr>
        <w:spacing w:after="120" w:line="280" w:lineRule="auto"/>
      </w:pPr>
      <w:r>
        <w:rPr>
          <w:rFonts w:ascii="Calibri" w:hAnsi="Calibri"/>
          <w:color w:val="17181C"/>
          <w:sz w:val="22"/>
        </w:rPr>
        <w:t>Test/replenish/revise/stop workflow</w:t>
      </w:r>
    </w:p>
    <w:p>
      <w:pPr>
        <w:numPr>
          <w:ilvl w:val="0"/>
          <w:numId w:val="10"/>
        </w:numPr>
        <w:spacing w:after="120" w:line="280" w:lineRule="auto"/>
      </w:pPr>
      <w:r>
        <w:rPr>
          <w:rFonts w:ascii="Calibri" w:hAnsi="Calibri"/>
          <w:color w:val="17181C"/>
          <w:sz w:val="22"/>
        </w:rPr>
        <w:t>Critical path, supplier feasibility, and risk</w:t>
      </w:r>
    </w:p>
    <w:p>
      <w:pPr>
        <w:numPr>
          <w:ilvl w:val="0"/>
          <w:numId w:val="10"/>
        </w:numPr>
        <w:spacing w:after="120" w:line="280" w:lineRule="auto"/>
      </w:pPr>
      <w:r>
        <w:rPr>
          <w:rFonts w:ascii="Calibri" w:hAnsi="Calibri"/>
          <w:color w:val="17181C"/>
          <w:sz w:val="22"/>
        </w:rPr>
        <w:t>Commerce and PLM integrations</w:t>
      </w:r>
    </w:p>
    <w:p>
      <w:pPr>
        <w:pStyle w:val="Heading2"/>
      </w:pPr>
      <w:r>
        <w:t>Phase 4 — Scale and ecosystem</w:t>
      </w:r>
    </w:p>
    <w:p>
      <w:pPr>
        <w:numPr>
          <w:ilvl w:val="0"/>
          <w:numId w:val="10"/>
        </w:numPr>
        <w:spacing w:after="120" w:line="280" w:lineRule="auto"/>
      </w:pPr>
      <w:r>
        <w:rPr>
          <w:rFonts w:ascii="Calibri" w:hAnsi="Calibri"/>
          <w:color w:val="17181C"/>
          <w:sz w:val="22"/>
        </w:rPr>
        <w:t>Enterprise SSO, audit, retention, observability, support, and recovery</w:t>
      </w:r>
    </w:p>
    <w:p>
      <w:pPr>
        <w:numPr>
          <w:ilvl w:val="0"/>
          <w:numId w:val="10"/>
        </w:numPr>
        <w:spacing w:after="120" w:line="280" w:lineRule="auto"/>
      </w:pPr>
      <w:r>
        <w:rPr>
          <w:rFonts w:ascii="Calibri" w:hAnsi="Calibri"/>
          <w:color w:val="17181C"/>
          <w:sz w:val="22"/>
        </w:rPr>
        <w:t>Connector framework and marketplace</w:t>
      </w:r>
    </w:p>
    <w:p>
      <w:pPr>
        <w:numPr>
          <w:ilvl w:val="0"/>
          <w:numId w:val="10"/>
        </w:numPr>
        <w:spacing w:after="120" w:line="280" w:lineRule="auto"/>
      </w:pPr>
      <w:r>
        <w:rPr>
          <w:rFonts w:ascii="Calibri" w:hAnsi="Calibri"/>
          <w:color w:val="17181C"/>
          <w:sz w:val="22"/>
        </w:rPr>
        <w:t>3D/PLM/ERP/DAM integrations</w:t>
      </w:r>
    </w:p>
    <w:p>
      <w:pPr>
        <w:numPr>
          <w:ilvl w:val="0"/>
          <w:numId w:val="10"/>
        </w:numPr>
        <w:spacing w:after="120" w:line="280" w:lineRule="auto"/>
      </w:pPr>
      <w:r>
        <w:rPr>
          <w:rFonts w:ascii="Calibri" w:hAnsi="Calibri"/>
          <w:color w:val="17181C"/>
          <w:sz w:val="22"/>
        </w:rPr>
        <w:t>Regional/channel planning and allocation support</w:t>
      </w:r>
    </w:p>
    <w:p>
      <w:pPr>
        <w:numPr>
          <w:ilvl w:val="0"/>
          <w:numId w:val="10"/>
        </w:numPr>
        <w:spacing w:after="120" w:line="280" w:lineRule="auto"/>
      </w:pPr>
      <w:r>
        <w:rPr>
          <w:rFonts w:ascii="Calibri" w:hAnsi="Calibri"/>
          <w:color w:val="17181C"/>
          <w:sz w:val="22"/>
        </w:rPr>
        <w:t>Model monitoring, governance, and evaluation dashboards</w:t>
      </w:r>
    </w:p>
    <w:p>
      <w:pPr>
        <w:numPr>
          <w:ilvl w:val="0"/>
          <w:numId w:val="10"/>
        </w:numPr>
        <w:spacing w:after="120" w:line="280" w:lineRule="auto"/>
      </w:pPr>
      <w:r>
        <w:rPr>
          <w:rFonts w:ascii="Calibri" w:hAnsi="Calibri"/>
          <w:color w:val="17181C"/>
          <w:sz w:val="22"/>
        </w:rPr>
        <w:t>Partner APIs and implementation tooling</w:t>
      </w:r>
    </w:p>
    <w:p>
      <w:pPr>
        <w:pStyle w:val="Heading1"/>
      </w:pPr>
      <w:r>
        <w:t>15. Prioritized backlog</w:t>
      </w:r>
    </w:p>
    <w:tbl>
      <w:tblPr>
        <w:tblW w:type="dxa" w:w="9360"/>
        <w:jc w:val="left"/>
        <w:tblLayout w:type="fixed"/>
        <w:tblLook w:firstColumn="1" w:firstRow="1" w:lastColumn="0" w:lastRow="0" w:noHBand="0" w:noVBand="1" w:val="04A0"/>
        <w:tblInd w:type="dxa" w:w="120"/>
      </w:tblPr>
      <w:tblGrid>
        <w:gridCol w:w="780"/>
        <w:gridCol w:w="2100"/>
        <w:gridCol w:w="1200"/>
        <w:gridCol w:w="3300"/>
        <w:gridCol w:w="1980"/>
      </w:tblGrid>
      <w:tr>
        <w:trPr>
          <w:tblHeader w:val="true"/>
          <w:cantSplit/>
        </w:trPr>
        <w:tc>
          <w:tcPr>
            <w:tcW w:type="dxa" w:w="78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5"/>
              </w:rPr>
              <w:t>Priority</w:t>
            </w:r>
          </w:p>
        </w:tc>
        <w:tc>
          <w:tcPr>
            <w:tcW w:type="dxa" w:w="21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5"/>
              </w:rPr>
              <w:t>Initiative</w:t>
            </w:r>
          </w:p>
        </w:tc>
        <w:tc>
          <w:tcPr>
            <w:tcW w:type="dxa" w:w="12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5"/>
              </w:rPr>
              <w:t>Horizon</w:t>
            </w:r>
          </w:p>
        </w:tc>
        <w:tc>
          <w:tcPr>
            <w:tcW w:type="dxa" w:w="33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5"/>
              </w:rPr>
              <w:t>Why it matters</w:t>
            </w:r>
          </w:p>
        </w:tc>
        <w:tc>
          <w:tcPr>
            <w:tcW w:type="dxa" w:w="198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5"/>
              </w:rPr>
              <w:t>Dependency</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P0</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Golden collection</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Session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Proves the complete story</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None</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P0</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Engine health + recovery</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Session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Avoids a failed demo</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Deployment/runtime</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P0</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Presentation-safe identity</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Session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Removes internal-tool impression</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Auth setup</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P0</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Hide/label unfinished surfaces</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Session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Protects trust</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Feature flags</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P0</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Collections home</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Session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Makes workflow immediately legible</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Collection workspace</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P0</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Evidence drawer</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Session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Differentiates Atelier on trust</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Provenance</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P1</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Universal import center v1</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Foundation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Lets teams teach Atelier</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Canonical model</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P1</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Product master</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Foundation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Enables planning and integrations</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Schema/API</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P1</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Organization + RBAC</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Foundation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Required for professional use</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Identity</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P1</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Three approval lanes</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Foundation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Reflects real fashion decisions</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RBAC/versioning</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P1</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Professional exports</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Foundation</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Fits real meetings and workflows</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Stable objects</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P1</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Taste calibration</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Taste OS</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Builds brand-specific judgment</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Import + identity</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P1</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Brand memory</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Taste OS</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Creates compounding differentiation</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Decision/outcome graph</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P1</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Controlled generation</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Taste OS</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Makes AI imagery operational</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Rights + versioning</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P2</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Scenario range planning</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Commercial</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Supports proportionate commitments</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Product master</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P2</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Comparable-product engine</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Commercial</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Improves new-style planning</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Sales history</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P2</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Test-and-react rules</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Commercial</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Connects uncertainty to action</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Commerce data</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P2</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Critical path</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Operations</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Exposes delivery risk</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Product/supplier data</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P2</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Supplier intelligence</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Operations</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Adds feasibility</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Supplier imports</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P2</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Comments + notifications</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Workflow</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Supports daily team operation</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Identity</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P3</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PLM/ERP/3D connectors</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Scale</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Avoids replacing systems of record</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Connector framework</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P3</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Allocation/replenishment</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Scale</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Extends value after launch</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Validated demand data</w:t>
            </w:r>
          </w:p>
        </w:tc>
      </w:tr>
      <w:tr>
        <w:trPr>
          <w:cantSplit/>
        </w:trPr>
        <w:tc>
          <w:tcPr>
            <w:tcW w:type="dxa" w:w="7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P3</w:t>
            </w:r>
          </w:p>
        </w:tc>
        <w:tc>
          <w:tcPr>
            <w:tcW w:type="dxa" w:w="21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Enterprise governance</w:t>
            </w:r>
          </w:p>
        </w:tc>
        <w:tc>
          <w:tcPr>
            <w:tcW w:type="dxa" w:w="12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Scale</w:t>
            </w:r>
          </w:p>
        </w:tc>
        <w:tc>
          <w:tcPr>
            <w:tcW w:type="dxa" w:w="33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Required for larger brands</w:t>
            </w:r>
          </w:p>
        </w:tc>
        <w:tc>
          <w:tcPr>
            <w:tcW w:type="dxa" w:w="198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5"/>
              </w:rPr>
              <w:t>Production platform</w:t>
            </w:r>
          </w:p>
        </w:tc>
      </w:tr>
    </w:tbl>
    <w:p>
      <w:pPr>
        <w:spacing w:after="40"/>
      </w:pPr>
    </w:p>
    <w:p>
      <w:pPr>
        <w:pStyle w:val="Heading1"/>
      </w:pPr>
      <w:r>
        <w:t>16. Measurement and acceptance criteria</w:t>
      </w:r>
    </w:p>
    <w:p>
      <w:pPr>
        <w:pStyle w:val="Heading2"/>
      </w:pPr>
      <w:r>
        <w:t>16.1 Product adoption</w:t>
      </w:r>
    </w:p>
    <w:p>
      <w:pPr>
        <w:numPr>
          <w:ilvl w:val="0"/>
          <w:numId w:val="10"/>
        </w:numPr>
        <w:spacing w:after="120" w:line="280" w:lineRule="auto"/>
      </w:pPr>
      <w:r>
        <w:rPr>
          <w:rFonts w:ascii="Calibri" w:hAnsi="Calibri"/>
          <w:color w:val="17181C"/>
          <w:sz w:val="22"/>
        </w:rPr>
        <w:t>Time from raw sources to approved collection brief</w:t>
      </w:r>
    </w:p>
    <w:p>
      <w:pPr>
        <w:numPr>
          <w:ilvl w:val="0"/>
          <w:numId w:val="10"/>
        </w:numPr>
        <w:spacing w:after="120" w:line="280" w:lineRule="auto"/>
      </w:pPr>
      <w:r>
        <w:rPr>
          <w:rFonts w:ascii="Calibri" w:hAnsi="Calibri"/>
          <w:color w:val="17181C"/>
          <w:sz w:val="22"/>
        </w:rPr>
        <w:t>Time from brief to review-ready concept</w:t>
      </w:r>
    </w:p>
    <w:p>
      <w:pPr>
        <w:numPr>
          <w:ilvl w:val="0"/>
          <w:numId w:val="10"/>
        </w:numPr>
        <w:spacing w:after="120" w:line="280" w:lineRule="auto"/>
      </w:pPr>
      <w:r>
        <w:rPr>
          <w:rFonts w:ascii="Calibri" w:hAnsi="Calibri"/>
          <w:color w:val="17181C"/>
          <w:sz w:val="22"/>
        </w:rPr>
        <w:t>Percentage of collection decisions with complete evidence and lineage</w:t>
      </w:r>
    </w:p>
    <w:p>
      <w:pPr>
        <w:numPr>
          <w:ilvl w:val="0"/>
          <w:numId w:val="10"/>
        </w:numPr>
        <w:spacing w:after="120" w:line="280" w:lineRule="auto"/>
      </w:pPr>
      <w:r>
        <w:rPr>
          <w:rFonts w:ascii="Calibri" w:hAnsi="Calibri"/>
          <w:color w:val="17181C"/>
          <w:sz w:val="22"/>
        </w:rPr>
        <w:t>Import review completion and correction rate</w:t>
      </w:r>
    </w:p>
    <w:p>
      <w:pPr>
        <w:numPr>
          <w:ilvl w:val="0"/>
          <w:numId w:val="10"/>
        </w:numPr>
        <w:spacing w:after="120" w:line="280" w:lineRule="auto"/>
      </w:pPr>
      <w:r>
        <w:rPr>
          <w:rFonts w:ascii="Calibri" w:hAnsi="Calibri"/>
          <w:color w:val="17181C"/>
          <w:sz w:val="22"/>
        </w:rPr>
        <w:t>Weekly active use by role and stage</w:t>
      </w:r>
    </w:p>
    <w:p>
      <w:pPr>
        <w:numPr>
          <w:ilvl w:val="0"/>
          <w:numId w:val="10"/>
        </w:numPr>
        <w:spacing w:after="120" w:line="280" w:lineRule="auto"/>
      </w:pPr>
      <w:r>
        <w:rPr>
          <w:rFonts w:ascii="Calibri" w:hAnsi="Calibri"/>
          <w:color w:val="17181C"/>
          <w:sz w:val="22"/>
        </w:rPr>
        <w:t>Exports, comments, approvals, and decisions—not page views alone</w:t>
      </w:r>
    </w:p>
    <w:p>
      <w:pPr>
        <w:pStyle w:val="Heading2"/>
      </w:pPr>
      <w:r>
        <w:t>16.2 Taste quality</w:t>
      </w:r>
    </w:p>
    <w:p>
      <w:pPr>
        <w:numPr>
          <w:ilvl w:val="0"/>
          <w:numId w:val="10"/>
        </w:numPr>
        <w:spacing w:after="120" w:line="280" w:lineRule="auto"/>
      </w:pPr>
      <w:r>
        <w:rPr>
          <w:rFonts w:ascii="Calibri" w:hAnsi="Calibri"/>
          <w:color w:val="17181C"/>
          <w:sz w:val="22"/>
        </w:rPr>
        <w:t>Held-out agreement with individual and team judgments</w:t>
      </w:r>
    </w:p>
    <w:p>
      <w:pPr>
        <w:numPr>
          <w:ilvl w:val="0"/>
          <w:numId w:val="10"/>
        </w:numPr>
        <w:spacing w:after="120" w:line="280" w:lineRule="auto"/>
      </w:pPr>
      <w:r>
        <w:rPr>
          <w:rFonts w:ascii="Calibri" w:hAnsi="Calibri"/>
          <w:color w:val="17181C"/>
          <w:sz w:val="22"/>
        </w:rPr>
        <w:t>Brand-drift detection and false-positive rate</w:t>
      </w:r>
    </w:p>
    <w:p>
      <w:pPr>
        <w:numPr>
          <w:ilvl w:val="0"/>
          <w:numId w:val="10"/>
        </w:numPr>
        <w:spacing w:after="120" w:line="280" w:lineRule="auto"/>
      </w:pPr>
      <w:r>
        <w:rPr>
          <w:rFonts w:ascii="Calibri" w:hAnsi="Calibri"/>
          <w:color w:val="17181C"/>
          <w:sz w:val="22"/>
        </w:rPr>
        <w:t>Useful-options-per-generation session</w:t>
      </w:r>
    </w:p>
    <w:p>
      <w:pPr>
        <w:numPr>
          <w:ilvl w:val="0"/>
          <w:numId w:val="10"/>
        </w:numPr>
        <w:spacing w:after="120" w:line="280" w:lineRule="auto"/>
      </w:pPr>
      <w:r>
        <w:rPr>
          <w:rFonts w:ascii="Calibri" w:hAnsi="Calibri"/>
          <w:color w:val="17181C"/>
          <w:sz w:val="22"/>
        </w:rPr>
        <w:t>Human override rate with reasons</w:t>
      </w:r>
    </w:p>
    <w:p>
      <w:pPr>
        <w:numPr>
          <w:ilvl w:val="0"/>
          <w:numId w:val="10"/>
        </w:numPr>
        <w:spacing w:after="120" w:line="280" w:lineRule="auto"/>
      </w:pPr>
      <w:r>
        <w:rPr>
          <w:rFonts w:ascii="Calibri" w:hAnsi="Calibri"/>
          <w:color w:val="17181C"/>
          <w:sz w:val="22"/>
        </w:rPr>
        <w:t>Diversity within brand boundaries</w:t>
      </w:r>
    </w:p>
    <w:p>
      <w:pPr>
        <w:numPr>
          <w:ilvl w:val="0"/>
          <w:numId w:val="10"/>
        </w:numPr>
        <w:spacing w:after="120" w:line="280" w:lineRule="auto"/>
      </w:pPr>
      <w:r>
        <w:rPr>
          <w:rFonts w:ascii="Calibri" w:hAnsi="Calibri"/>
          <w:color w:val="17181C"/>
          <w:sz w:val="22"/>
        </w:rPr>
        <w:t>Quality of abstention when evidence is inadequate</w:t>
      </w:r>
    </w:p>
    <w:p>
      <w:pPr>
        <w:pStyle w:val="Heading2"/>
      </w:pPr>
      <w:r>
        <w:t>16.3 Commercial quality</w:t>
      </w:r>
    </w:p>
    <w:p>
      <w:pPr>
        <w:numPr>
          <w:ilvl w:val="0"/>
          <w:numId w:val="10"/>
        </w:numPr>
        <w:spacing w:after="120" w:line="280" w:lineRule="auto"/>
      </w:pPr>
      <w:r>
        <w:rPr>
          <w:rFonts w:ascii="Calibri" w:hAnsi="Calibri"/>
          <w:color w:val="17181C"/>
          <w:sz w:val="22"/>
        </w:rPr>
        <w:t>Forecast calibration and error by horizon/category/channel</w:t>
      </w:r>
    </w:p>
    <w:p>
      <w:pPr>
        <w:numPr>
          <w:ilvl w:val="0"/>
          <w:numId w:val="10"/>
        </w:numPr>
        <w:spacing w:after="120" w:line="280" w:lineRule="auto"/>
      </w:pPr>
      <w:r>
        <w:rPr>
          <w:rFonts w:ascii="Calibri" w:hAnsi="Calibri"/>
          <w:color w:val="17181C"/>
          <w:sz w:val="22"/>
        </w:rPr>
        <w:t>Initial-buy error and replenishment decision quality</w:t>
      </w:r>
    </w:p>
    <w:p>
      <w:pPr>
        <w:numPr>
          <w:ilvl w:val="0"/>
          <w:numId w:val="10"/>
        </w:numPr>
        <w:spacing w:after="120" w:line="280" w:lineRule="auto"/>
      </w:pPr>
      <w:r>
        <w:rPr>
          <w:rFonts w:ascii="Calibri" w:hAnsi="Calibri"/>
          <w:color w:val="17181C"/>
          <w:sz w:val="22"/>
        </w:rPr>
        <w:t>Full-price sell-through, markdown exposure, stockouts, returns, and margin</w:t>
      </w:r>
    </w:p>
    <w:p>
      <w:pPr>
        <w:numPr>
          <w:ilvl w:val="0"/>
          <w:numId w:val="10"/>
        </w:numPr>
        <w:spacing w:after="120" w:line="280" w:lineRule="auto"/>
      </w:pPr>
      <w:r>
        <w:rPr>
          <w:rFonts w:ascii="Calibri" w:hAnsi="Calibri"/>
          <w:color w:val="17181C"/>
          <w:sz w:val="22"/>
        </w:rPr>
        <w:t>Unproven inventory exposure and time to react</w:t>
      </w:r>
    </w:p>
    <w:p>
      <w:pPr>
        <w:numPr>
          <w:ilvl w:val="0"/>
          <w:numId w:val="10"/>
        </w:numPr>
        <w:spacing w:after="120" w:line="280" w:lineRule="auto"/>
      </w:pPr>
      <w:r>
        <w:rPr>
          <w:rFonts w:ascii="Calibri" w:hAnsi="Calibri"/>
          <w:color w:val="17181C"/>
          <w:sz w:val="22"/>
        </w:rPr>
        <w:t>Decision precision compared with brand baseline</w:t>
      </w:r>
    </w:p>
    <w:p>
      <w:pPr>
        <w:numPr>
          <w:ilvl w:val="0"/>
          <w:numId w:val="10"/>
        </w:numPr>
        <w:spacing w:after="120" w:line="280" w:lineRule="auto"/>
      </w:pPr>
      <w:r>
        <w:rPr>
          <w:rFonts w:ascii="Calibri" w:hAnsi="Calibri"/>
          <w:color w:val="17181C"/>
          <w:sz w:val="22"/>
        </w:rPr>
        <w:t>No headline performance claim until sample size and statistical basis are adequate</w:t>
      </w:r>
    </w:p>
    <w:p>
      <w:pPr>
        <w:pStyle w:val="Heading2"/>
      </w:pPr>
      <w:r>
        <w:t>16.4 Operational quality</w:t>
      </w:r>
    </w:p>
    <w:p>
      <w:pPr>
        <w:numPr>
          <w:ilvl w:val="0"/>
          <w:numId w:val="10"/>
        </w:numPr>
        <w:spacing w:after="120" w:line="280" w:lineRule="auto"/>
      </w:pPr>
      <w:r>
        <w:rPr>
          <w:rFonts w:ascii="Calibri" w:hAnsi="Calibri"/>
          <w:color w:val="17181C"/>
          <w:sz w:val="22"/>
        </w:rPr>
        <w:t>On-time milestone completion</w:t>
      </w:r>
    </w:p>
    <w:p>
      <w:pPr>
        <w:numPr>
          <w:ilvl w:val="0"/>
          <w:numId w:val="10"/>
        </w:numPr>
        <w:spacing w:after="120" w:line="280" w:lineRule="auto"/>
      </w:pPr>
      <w:r>
        <w:rPr>
          <w:rFonts w:ascii="Calibri" w:hAnsi="Calibri"/>
          <w:color w:val="17181C"/>
          <w:sz w:val="22"/>
        </w:rPr>
        <w:t>Sample rounds and design-change cycles</w:t>
      </w:r>
    </w:p>
    <w:p>
      <w:pPr>
        <w:numPr>
          <w:ilvl w:val="0"/>
          <w:numId w:val="10"/>
        </w:numPr>
        <w:spacing w:after="120" w:line="280" w:lineRule="auto"/>
      </w:pPr>
      <w:r>
        <w:rPr>
          <w:rFonts w:ascii="Calibri" w:hAnsi="Calibri"/>
          <w:color w:val="17181C"/>
          <w:sz w:val="22"/>
        </w:rPr>
        <w:t>Approval turnaround</w:t>
      </w:r>
    </w:p>
    <w:p>
      <w:pPr>
        <w:numPr>
          <w:ilvl w:val="0"/>
          <w:numId w:val="10"/>
        </w:numPr>
        <w:spacing w:after="120" w:line="280" w:lineRule="auto"/>
      </w:pPr>
      <w:r>
        <w:rPr>
          <w:rFonts w:ascii="Calibri" w:hAnsi="Calibri"/>
          <w:color w:val="17181C"/>
          <w:sz w:val="22"/>
        </w:rPr>
        <w:t>Supplier lead-time accuracy</w:t>
      </w:r>
    </w:p>
    <w:p>
      <w:pPr>
        <w:numPr>
          <w:ilvl w:val="0"/>
          <w:numId w:val="10"/>
        </w:numPr>
        <w:spacing w:after="120" w:line="280" w:lineRule="auto"/>
      </w:pPr>
      <w:r>
        <w:rPr>
          <w:rFonts w:ascii="Calibri" w:hAnsi="Calibri"/>
          <w:color w:val="17181C"/>
          <w:sz w:val="22"/>
        </w:rPr>
        <w:t>Data freshness and connector reliability</w:t>
      </w:r>
    </w:p>
    <w:p>
      <w:pPr>
        <w:numPr>
          <w:ilvl w:val="0"/>
          <w:numId w:val="10"/>
        </w:numPr>
        <w:spacing w:after="120" w:line="280" w:lineRule="auto"/>
      </w:pPr>
      <w:r>
        <w:rPr>
          <w:rFonts w:ascii="Calibri" w:hAnsi="Calibri"/>
          <w:color w:val="17181C"/>
          <w:sz w:val="22"/>
        </w:rPr>
        <w:t>Security, backup, recovery, and audit coverage</w:t>
      </w:r>
    </w:p>
    <w:p>
      <w:pPr>
        <w:pStyle w:val="Heading1"/>
      </w:pPr>
      <w:r>
        <w:t>17. Risks and safeguards</w:t>
      </w:r>
    </w:p>
    <w:tbl>
      <w:tblPr>
        <w:tblW w:type="dxa" w:w="9360"/>
        <w:jc w:val="left"/>
        <w:tblLayout w:type="fixed"/>
        <w:tblLook w:firstColumn="1" w:firstRow="1" w:lastColumn="0" w:lastRow="0" w:noHBand="0" w:noVBand="1" w:val="04A0"/>
        <w:tblInd w:type="dxa" w:w="120"/>
      </w:tblPr>
      <w:tblGrid>
        <w:gridCol w:w="1750"/>
        <w:gridCol w:w="3600"/>
        <w:gridCol w:w="4010"/>
      </w:tblGrid>
      <w:tr>
        <w:trPr>
          <w:tblHeader w:val="true"/>
          <w:cantSplit/>
        </w:trPr>
        <w:tc>
          <w:tcPr>
            <w:tcW w:type="dxa" w:w="175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Risk</w:t>
            </w:r>
          </w:p>
        </w:tc>
        <w:tc>
          <w:tcPr>
            <w:tcW w:type="dxa" w:w="360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Failure mode</w:t>
            </w:r>
          </w:p>
        </w:tc>
        <w:tc>
          <w:tcPr>
            <w:tcW w:type="dxa" w:w="4010"/>
            <w:shd w:fill="F2F4F7"/>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40" w:lineRule="auto"/>
              <w:jc w:val="left"/>
            </w:pPr>
            <w:r>
              <w:rPr>
                <w:rFonts w:ascii="Calibri" w:hAnsi="Calibri"/>
                <w:b/>
                <w:color w:val="17181C"/>
                <w:sz w:val="16"/>
              </w:rPr>
              <w:t>Safeguard</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Generic taste convergence</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AI averages brands into the same aesthetic</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Private brand memory, boundary training, disagreement, novelty modes</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False certainty</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Scores imply sales predictability not supported by data</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Ranges, calibration, basis, abstention, held-out testing</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Copying and IP</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References produce derivative outputs</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Rights metadata, similarity review, restricted sources, human approval</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Data leakage</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Client assets or embeddings cross tenants</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Isolation, permissions, audit, deletion, no-training default</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Automation theater</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Agents narrate without changing decisions</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Tie every output to action, version, owner, and outcome</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Feature sprawl</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Atelier becomes a weak PLM/ERP/WGSN clone</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Own the decision layer; integrate execution and licensed intelligence</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Bad feedback loops</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Sales alone narrows taste to prior winners</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Balance customer, creative, strategic, and experimentation objectives</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Proxy bias</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Attention, availability, and supply are treated as demand</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Evidence typing, causal caution, contradicting evidence</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Organizational misuse</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AI approval replaces accountability</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Authenticated role approvals and preserved dissent</w:t>
            </w:r>
          </w:p>
        </w:tc>
      </w:tr>
      <w:tr>
        <w:trPr>
          <w:cantSplit/>
        </w:trPr>
        <w:tc>
          <w:tcPr>
            <w:tcW w:type="dxa" w:w="175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Unvalidated ROI</w:t>
            </w:r>
          </w:p>
        </w:tc>
        <w:tc>
          <w:tcPr>
            <w:tcW w:type="dxa" w:w="360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Marketing claims outrun proof</w:t>
            </w:r>
          </w:p>
        </w:tc>
        <w:tc>
          <w:tcPr>
            <w:tcW w:type="dxa" w:w="4010"/>
            <w:tcBorders>
              <w:top w:val="single" w:sz="4" w:color="DADCE0"/>
              <w:left w:val="single" w:sz="4" w:color="DADCE0"/>
              <w:bottom w:val="single" w:sz="4" w:color="DADCE0"/>
              <w:right w:val="single" w:sz="4" w:color="DADCE0"/>
              <w:insideH w:val="single" w:sz="4" w:color="DADCE0"/>
              <w:insideV w:val="single" w:sz="4" w:color="DADCE0"/>
            </w:tcBorders>
            <w:vAlign w:val="center"/>
            <w:tcMar>
              <w:top w:w="95" w:type="dxa"/>
              <w:bottom w:w="95" w:type="dxa"/>
              <w:start w:w="120" w:type="dxa"/>
              <w:end w:w="120" w:type="dxa"/>
            </w:tcMar>
          </w:tcPr>
          <w:p>
            <w:pPr>
              <w:spacing w:after="0" w:line="252" w:lineRule="auto"/>
            </w:pPr>
            <w:r>
              <w:rPr>
                <w:rFonts w:ascii="Calibri" w:hAnsi="Calibri"/>
                <w:color w:val="17181C"/>
                <w:sz w:val="16"/>
              </w:rPr>
              <w:t>Prospective evaluation and transparent null results</w:t>
            </w:r>
          </w:p>
        </w:tc>
      </w:tr>
    </w:tbl>
    <w:p>
      <w:pPr>
        <w:spacing w:after="40"/>
      </w:pPr>
    </w:p>
    <w:p>
      <w:pPr>
        <w:pStyle w:val="Heading1"/>
      </w:pPr>
      <w:r>
        <w:t>18. What not to build now</w:t>
      </w:r>
    </w:p>
    <w:p>
      <w:pPr>
        <w:numPr>
          <w:ilvl w:val="0"/>
          <w:numId w:val="10"/>
        </w:numPr>
        <w:spacing w:after="120" w:line="280" w:lineRule="auto"/>
      </w:pPr>
      <w:r>
        <w:rPr>
          <w:rFonts w:ascii="Calibri" w:hAnsi="Calibri"/>
          <w:color w:val="17181C"/>
          <w:sz w:val="22"/>
        </w:rPr>
        <w:t>Another generic prompt-to-image surface without controls or lineage.</w:t>
      </w:r>
    </w:p>
    <w:p>
      <w:pPr>
        <w:numPr>
          <w:ilvl w:val="0"/>
          <w:numId w:val="10"/>
        </w:numPr>
        <w:spacing w:after="120" w:line="280" w:lineRule="auto"/>
      </w:pPr>
      <w:r>
        <w:rPr>
          <w:rFonts w:ascii="Calibri" w:hAnsi="Calibri"/>
          <w:color w:val="17181C"/>
          <w:sz w:val="22"/>
        </w:rPr>
        <w:t>More navigation destinations before the collection command center is complete.</w:t>
      </w:r>
    </w:p>
    <w:p>
      <w:pPr>
        <w:numPr>
          <w:ilvl w:val="0"/>
          <w:numId w:val="10"/>
        </w:numPr>
        <w:spacing w:after="120" w:line="280" w:lineRule="auto"/>
      </w:pPr>
      <w:r>
        <w:rPr>
          <w:rFonts w:ascii="Calibri" w:hAnsi="Calibri"/>
          <w:color w:val="17181C"/>
          <w:sz w:val="22"/>
        </w:rPr>
        <w:t>Point forecasts for new styles without comparable data and calibration.</w:t>
      </w:r>
    </w:p>
    <w:p>
      <w:pPr>
        <w:numPr>
          <w:ilvl w:val="0"/>
          <w:numId w:val="10"/>
        </w:numPr>
        <w:spacing w:after="120" w:line="280" w:lineRule="auto"/>
      </w:pPr>
      <w:r>
        <w:rPr>
          <w:rFonts w:ascii="Calibri" w:hAnsi="Calibri"/>
          <w:color w:val="17181C"/>
          <w:sz w:val="22"/>
        </w:rPr>
        <w:t>A global trend-content newsroom competing directly with WGSN.</w:t>
      </w:r>
    </w:p>
    <w:p>
      <w:pPr>
        <w:numPr>
          <w:ilvl w:val="0"/>
          <w:numId w:val="10"/>
        </w:numPr>
        <w:spacing w:after="120" w:line="280" w:lineRule="auto"/>
      </w:pPr>
      <w:r>
        <w:rPr>
          <w:rFonts w:ascii="Calibri" w:hAnsi="Calibri"/>
          <w:color w:val="17181C"/>
          <w:sz w:val="22"/>
        </w:rPr>
        <w:t>A full PLM, ERP, warehouse, accounting, or factory-execution platform.</w:t>
      </w:r>
    </w:p>
    <w:p>
      <w:pPr>
        <w:numPr>
          <w:ilvl w:val="0"/>
          <w:numId w:val="10"/>
        </w:numPr>
        <w:spacing w:after="120" w:line="280" w:lineRule="auto"/>
      </w:pPr>
      <w:r>
        <w:rPr>
          <w:rFonts w:ascii="Calibri" w:hAnsi="Calibri"/>
          <w:color w:val="17181C"/>
          <w:sz w:val="22"/>
        </w:rPr>
        <w:t>Physics-based 3D patternmaking when specialist tools already exist.</w:t>
      </w:r>
    </w:p>
    <w:p>
      <w:pPr>
        <w:numPr>
          <w:ilvl w:val="0"/>
          <w:numId w:val="10"/>
        </w:numPr>
        <w:spacing w:after="120" w:line="280" w:lineRule="auto"/>
      </w:pPr>
      <w:r>
        <w:rPr>
          <w:rFonts w:ascii="Calibri" w:hAnsi="Calibri"/>
          <w:color w:val="17181C"/>
          <w:sz w:val="22"/>
        </w:rPr>
        <w:t>Fake connectors, fake client data, or fabricated success metrics for demonstrations.</w:t>
      </w:r>
    </w:p>
    <w:p>
      <w:pPr>
        <w:numPr>
          <w:ilvl w:val="0"/>
          <w:numId w:val="10"/>
        </w:numPr>
        <w:spacing w:after="120" w:line="280" w:lineRule="auto"/>
      </w:pPr>
      <w:r>
        <w:rPr>
          <w:rFonts w:ascii="Calibri" w:hAnsi="Calibri"/>
          <w:color w:val="17181C"/>
          <w:sz w:val="22"/>
        </w:rPr>
        <w:t>Autonomous production or buying decisions without authenticated human approval.</w:t>
      </w:r>
    </w:p>
    <w:p>
      <w:pPr>
        <w:pStyle w:val="Heading1"/>
      </w:pPr>
      <w:r>
        <w:t>19. Final recommendation</w:t>
      </w:r>
    </w:p>
    <w:tbl>
      <w:tblPr>
        <w:tblW w:type="dxa" w:w="9360"/>
        <w:jc w:val="left"/>
        <w:tblLayout w:type="fixed"/>
        <w:tblLook w:firstColumn="1" w:firstRow="1" w:lastColumn="0" w:lastRow="0" w:noHBand="0" w:noVBand="1" w:val="04A0"/>
        <w:tblInd w:type="dxa" w:w="180"/>
      </w:tblPr>
      <w:tblGrid>
        <w:gridCol w:w="9360"/>
      </w:tblGrid>
      <w:tr>
        <w:trPr/>
        <w:tc>
          <w:tcPr>
            <w:tcW w:type="dxa" w:w="9360"/>
            <w:shd w:fill="EAEEFE"/>
            <w:tcBorders>
              <w:top w:val="single" w:sz="8" w:color="2B4BEA"/>
              <w:left w:val="single" w:sz="8" w:color="2B4BEA"/>
              <w:bottom w:val="single" w:sz="8" w:color="2B4BEA"/>
              <w:right w:val="single" w:sz="8" w:color="2B4BEA"/>
              <w:insideH w:val="single" w:sz="8" w:color="2B4BEA"/>
              <w:insideV w:val="single" w:sz="8" w:color="2B4BEA"/>
            </w:tcBorders>
            <w:tcMar>
              <w:top w:w="110" w:type="dxa"/>
              <w:bottom w:w="110" w:type="dxa"/>
              <w:start w:w="180" w:type="dxa"/>
              <w:end w:w="180" w:type="dxa"/>
            </w:tcMar>
          </w:tcPr>
          <w:p>
            <w:pPr>
              <w:spacing w:before="60" w:after="60" w:line="264" w:lineRule="auto"/>
            </w:pPr>
            <w:r>
              <w:rPr>
                <w:rFonts w:ascii="Calibri" w:hAnsi="Calibri"/>
                <w:b/>
                <w:color w:val="2B4BEA"/>
                <w:sz w:val="18"/>
              </w:rPr>
              <w:t xml:space="preserve">BUILD SEQUENCE  </w:t>
            </w:r>
            <w:r>
              <w:rPr>
                <w:rFonts w:ascii="Calibri" w:hAnsi="Calibri"/>
                <w:b w:val="0"/>
                <w:color w:val="17181C"/>
                <w:sz w:val="22"/>
              </w:rPr>
              <w:t>Polish one golden collection → ship universal import and product master → build taste calibration and brand memory → introduce the coordinated AI Taste Team → connect scenario planning to test-and-react outcomes → integrate enterprise systems.</w:t>
            </w:r>
          </w:p>
        </w:tc>
      </w:tr>
    </w:tbl>
    <w:p>
      <w:pPr>
        <w:spacing w:after="40"/>
      </w:pPr>
    </w:p>
    <w:p>
      <w:pPr>
        <w:spacing w:after="120" w:line="264" w:lineRule="auto"/>
      </w:pPr>
      <w:r>
        <w:rPr>
          <w:rFonts w:ascii="Calibri" w:hAnsi="Calibri"/>
          <w:i w:val="0"/>
          <w:color w:val="17181C"/>
          <w:sz w:val="22"/>
        </w:rPr>
        <w:t>Atelier can become meaningfully different if it gives smaller and mid-sized brands the learning system normally available only to unusually sophisticated organizations. The defensible asset is not a model or a trend feed. It is the private, governed memory of what a brand observed, believed, designed, rejected, approved, tested, and learned.</w:t>
      </w:r>
    </w:p>
    <w:p>
      <w:pPr>
        <w:spacing w:after="120" w:line="264" w:lineRule="auto"/>
      </w:pPr>
      <w:r>
        <w:rPr>
          <w:rFonts w:ascii="Calibri" w:hAnsi="Calibri"/>
          <w:i w:val="0"/>
          <w:color w:val="17181C"/>
          <w:sz w:val="22"/>
        </w:rPr>
        <w:t>The platform should make taste more legible and disciplined without making it uniform; make experimentation safer without pretending it is predictable; and make every collection decision recoverable from evidence through outcome.</w:t>
      </w:r>
    </w:p>
    <w:p>
      <w:r>
        <w:br w:type="page"/>
      </w:r>
    </w:p>
    <w:p>
      <w:pPr>
        <w:pStyle w:val="Heading1"/>
      </w:pPr>
      <w:r>
        <w:t>Sources and research notes</w:t>
      </w:r>
    </w:p>
    <w:p>
      <w:pPr>
        <w:spacing w:after="80"/>
        <w:ind w:left="288" w:hanging="288"/>
      </w:pPr>
      <w:r>
        <w:rPr>
          <w:rFonts w:ascii="Calibri" w:hAnsi="Calibri"/>
          <w:b/>
          <w:color w:val="2B4BEA"/>
          <w:sz w:val="18"/>
        </w:rPr>
        <w:t xml:space="preserve">[1] </w:t>
      </w:r>
      <w:hyperlink r:id="rId11">
        <w:r>
          <w:rPr>
            <w:rFonts w:ascii="Calibri" w:hAnsi="Calibri"/>
            <w:color w:val="2B4BEA"/>
            <w:u w:val="single"/>
          </w:rPr>
          <w:t>Inditex, Business Model</w:t>
        </w:r>
      </w:hyperlink>
      <w:r>
        <w:rPr>
          <w:rFonts w:ascii="Calibri" w:hAnsi="Calibri"/>
          <w:color w:val="54565E"/>
          <w:sz w:val="18"/>
        </w:rPr>
        <w:t>. Customer-oriented design, frequent newness, proximity production, and in-season reaction.</w:t>
      </w:r>
    </w:p>
    <w:p>
      <w:pPr>
        <w:spacing w:after="80"/>
        <w:ind w:left="288" w:hanging="288"/>
      </w:pPr>
      <w:r>
        <w:rPr>
          <w:rFonts w:ascii="Calibri" w:hAnsi="Calibri"/>
          <w:b/>
          <w:color w:val="2B4BEA"/>
          <w:sz w:val="18"/>
        </w:rPr>
        <w:t xml:space="preserve">[2] </w:t>
      </w:r>
      <w:hyperlink r:id="rId12">
        <w:r>
          <w:rPr>
            <w:rFonts w:ascii="Calibri" w:hAnsi="Calibri"/>
            <w:color w:val="2B4BEA"/>
            <w:u w:val="single"/>
          </w:rPr>
          <w:t>Reformation, Sustainability / Limited Editions</w:t>
        </w:r>
      </w:hyperlink>
      <w:r>
        <w:rPr>
          <w:rFonts w:ascii="Calibri" w:hAnsi="Calibri"/>
          <w:color w:val="54565E"/>
          <w:sz w:val="18"/>
        </w:rPr>
        <w:t>. Small quantities, sales/preorder/waitlist feedback, and data-driven restocks.</w:t>
      </w:r>
    </w:p>
    <w:p>
      <w:pPr>
        <w:spacing w:after="80"/>
        <w:ind w:left="288" w:hanging="288"/>
      </w:pPr>
      <w:r>
        <w:rPr>
          <w:rFonts w:ascii="Calibri" w:hAnsi="Calibri"/>
          <w:b/>
          <w:color w:val="2B4BEA"/>
          <w:sz w:val="18"/>
        </w:rPr>
        <w:t xml:space="preserve">[3] </w:t>
      </w:r>
      <w:hyperlink r:id="rId13">
        <w:r>
          <w:rPr>
            <w:rFonts w:ascii="Calibri" w:hAnsi="Calibri"/>
            <w:color w:val="2B4BEA"/>
            <w:u w:val="single"/>
          </w:rPr>
          <w:t>TIME, interview with Reformation CEO Hali Borenstein</w:t>
        </w:r>
      </w:hyperlink>
      <w:r>
        <w:rPr>
          <w:rFonts w:ascii="Calibri" w:hAnsi="Calibri"/>
          <w:color w:val="54565E"/>
          <w:sz w:val="18"/>
        </w:rPr>
        <w:t>. Fit, product quality, responsive supply chain, and shopping-journey data. Third-party interview.</w:t>
      </w:r>
    </w:p>
    <w:p>
      <w:pPr>
        <w:spacing w:after="80"/>
        <w:ind w:left="288" w:hanging="288"/>
      </w:pPr>
      <w:r>
        <w:rPr>
          <w:rFonts w:ascii="Calibri" w:hAnsi="Calibri"/>
          <w:b/>
          <w:color w:val="2B4BEA"/>
          <w:sz w:val="18"/>
        </w:rPr>
        <w:t xml:space="preserve">[4] </w:t>
      </w:r>
      <w:hyperlink r:id="rId14">
        <w:r>
          <w:rPr>
            <w:rFonts w:ascii="Calibri" w:hAnsi="Calibri"/>
            <w:color w:val="2B4BEA"/>
            <w:u w:val="single"/>
          </w:rPr>
          <w:t>McKinsey &amp; The Business of Fashion, State of Fashion 2025 and 2026</w:t>
        </w:r>
      </w:hyperlink>
      <w:r>
        <w:rPr>
          <w:rFonts w:ascii="Calibri" w:hAnsi="Calibri"/>
          <w:color w:val="54565E"/>
          <w:sz w:val="18"/>
        </w:rPr>
        <w:t>. Inventory, assortment, demand-driven planning, margin, and agility priorities.</w:t>
      </w:r>
    </w:p>
    <w:p>
      <w:pPr>
        <w:spacing w:after="80"/>
        <w:ind w:left="288" w:hanging="288"/>
      </w:pPr>
      <w:r>
        <w:rPr>
          <w:rFonts w:ascii="Calibri" w:hAnsi="Calibri"/>
          <w:b/>
          <w:color w:val="2B4BEA"/>
          <w:sz w:val="18"/>
        </w:rPr>
        <w:t xml:space="preserve">[5] </w:t>
      </w:r>
      <w:hyperlink r:id="rId15">
        <w:r>
          <w:rPr>
            <w:rFonts w:ascii="Calibri" w:hAnsi="Calibri"/>
            <w:color w:val="2B4BEA"/>
            <w:u w:val="single"/>
          </w:rPr>
          <w:t>Centric Software, Fashion &amp; Apparel</w:t>
        </w:r>
      </w:hyperlink>
      <w:r>
        <w:rPr>
          <w:rFonts w:ascii="Calibri" w:hAnsi="Calibri"/>
          <w:color w:val="54565E"/>
          <w:sz w:val="18"/>
        </w:rPr>
        <w:t>. Vendor description of market intelligence, planning, PLM, sourcing, pricing, inventory, and commercialization.</w:t>
      </w:r>
    </w:p>
    <w:p>
      <w:pPr>
        <w:spacing w:after="80"/>
        <w:ind w:left="288" w:hanging="288"/>
      </w:pPr>
      <w:r>
        <w:rPr>
          <w:rFonts w:ascii="Calibri" w:hAnsi="Calibri"/>
          <w:b/>
          <w:color w:val="2B4BEA"/>
          <w:sz w:val="18"/>
        </w:rPr>
        <w:t xml:space="preserve">[6] </w:t>
      </w:r>
      <w:hyperlink r:id="rId16">
        <w:r>
          <w:rPr>
            <w:rFonts w:ascii="Calibri" w:hAnsi="Calibri"/>
            <w:color w:val="2B4BEA"/>
            <w:u w:val="single"/>
          </w:rPr>
          <w:t>WGSN, Fashion Buying</w:t>
        </w:r>
      </w:hyperlink>
      <w:r>
        <w:rPr>
          <w:rFonts w:ascii="Calibri" w:hAnsi="Calibri"/>
          <w:color w:val="54565E"/>
          <w:sz w:val="18"/>
        </w:rPr>
        <w:t>. Vendor description of forecasting, assortment building, opportunity sizing, and historical-sales calibration.</w:t>
      </w:r>
    </w:p>
    <w:p>
      <w:pPr>
        <w:spacing w:after="80"/>
        <w:ind w:left="288" w:hanging="288"/>
      </w:pPr>
      <w:r>
        <w:rPr>
          <w:rFonts w:ascii="Calibri" w:hAnsi="Calibri"/>
          <w:b/>
          <w:color w:val="2B4BEA"/>
          <w:sz w:val="18"/>
        </w:rPr>
        <w:t xml:space="preserve">[7] </w:t>
      </w:r>
      <w:hyperlink r:id="rId17">
        <w:r>
          <w:rPr>
            <w:rFonts w:ascii="Calibri" w:hAnsi="Calibri"/>
            <w:color w:val="2B4BEA"/>
            <w:u w:val="single"/>
          </w:rPr>
          <w:t>EDITED, Retail Intelligence Platform</w:t>
        </w:r>
      </w:hyperlink>
      <w:r>
        <w:rPr>
          <w:rFonts w:ascii="Calibri" w:hAnsi="Calibri"/>
          <w:color w:val="54565E"/>
          <w:sz w:val="18"/>
        </w:rPr>
        <w:t>. Vendor description of assortment, pricing, and site-merchandising intelligence.</w:t>
      </w:r>
    </w:p>
    <w:p>
      <w:pPr>
        <w:spacing w:after="80"/>
        <w:ind w:left="288" w:hanging="288"/>
      </w:pPr>
      <w:r>
        <w:rPr>
          <w:rFonts w:ascii="Calibri" w:hAnsi="Calibri"/>
          <w:b/>
          <w:color w:val="2B4BEA"/>
          <w:sz w:val="18"/>
        </w:rPr>
        <w:t xml:space="preserve">[8] </w:t>
      </w:r>
      <w:hyperlink r:id="rId18">
        <w:r>
          <w:rPr>
            <w:rFonts w:ascii="Calibri" w:hAnsi="Calibri"/>
            <w:color w:val="2B4BEA"/>
            <w:u w:val="single"/>
          </w:rPr>
          <w:t>Zhiyi, Fashion AI and Data Platform</w:t>
        </w:r>
      </w:hyperlink>
      <w:r>
        <w:rPr>
          <w:rFonts w:ascii="Calibri" w:hAnsi="Calibri"/>
          <w:color w:val="54565E"/>
          <w:sz w:val="18"/>
        </w:rPr>
        <w:t>. Vendor description of trend discovery, selection, visual search, AI design, and data scale.</w:t>
      </w:r>
    </w:p>
    <w:p>
      <w:pPr>
        <w:spacing w:after="80"/>
        <w:ind w:left="288" w:hanging="288"/>
      </w:pPr>
      <w:r>
        <w:rPr>
          <w:rFonts w:ascii="Calibri" w:hAnsi="Calibri"/>
          <w:b/>
          <w:color w:val="2B4BEA"/>
          <w:sz w:val="18"/>
        </w:rPr>
        <w:t xml:space="preserve">[9] </w:t>
      </w:r>
      <w:hyperlink r:id="rId19">
        <w:r>
          <w:rPr>
            <w:rFonts w:ascii="Calibri" w:hAnsi="Calibri"/>
            <w:color w:val="2B4BEA"/>
            <w:u w:val="single"/>
          </w:rPr>
          <w:t>Browzwear, VStitcher</w:t>
        </w:r>
      </w:hyperlink>
      <w:r>
        <w:rPr>
          <w:rFonts w:ascii="Calibri" w:hAnsi="Calibri"/>
          <w:color w:val="54565E"/>
          <w:sz w:val="18"/>
        </w:rPr>
        <w:t>. Vendor description of 3D design, fit, materials, patterns, and digital tech packs.</w:t>
      </w:r>
    </w:p>
    <w:p>
      <w:pPr>
        <w:spacing w:after="80"/>
        <w:ind w:left="288" w:hanging="288"/>
      </w:pPr>
      <w:r>
        <w:rPr>
          <w:rFonts w:ascii="Calibri" w:hAnsi="Calibri"/>
          <w:b/>
          <w:color w:val="2B4BEA"/>
          <w:sz w:val="18"/>
        </w:rPr>
        <w:t xml:space="preserve">[10] </w:t>
      </w:r>
      <w:hyperlink r:id="rId20">
        <w:r>
          <w:rPr>
            <w:rFonts w:ascii="Calibri" w:hAnsi="Calibri"/>
            <w:color w:val="2B4BEA"/>
            <w:u w:val="single"/>
          </w:rPr>
          <w:t>Raspberry AI, Generative AI for Fashion Creatives</w:t>
        </w:r>
      </w:hyperlink>
      <w:r>
        <w:rPr>
          <w:rFonts w:ascii="Calibri" w:hAnsi="Calibri"/>
          <w:color w:val="54565E"/>
          <w:sz w:val="18"/>
        </w:rPr>
        <w:t>. Vendor description of fashion-native generation from sketch and concept through campaign.</w:t>
      </w:r>
    </w:p>
    <w:p>
      <w:pPr>
        <w:spacing w:after="80"/>
        <w:ind w:left="288" w:hanging="288"/>
      </w:pPr>
      <w:r>
        <w:rPr>
          <w:rFonts w:ascii="Calibri" w:hAnsi="Calibri"/>
          <w:b/>
          <w:color w:val="2B4BEA"/>
          <w:sz w:val="18"/>
        </w:rPr>
        <w:t xml:space="preserve">[11] </w:t>
      </w:r>
      <w:r>
        <w:rPr>
          <w:rFonts w:ascii="Calibri" w:hAnsi="Calibri"/>
          <w:b/>
          <w:color w:val="17181C"/>
          <w:sz w:val="18"/>
        </w:rPr>
        <w:t>Atelier frontend audit, 24 July 2026</w:t>
      </w:r>
      <w:r>
        <w:rPr>
          <w:rFonts w:ascii="Calibri" w:hAnsi="Calibri"/>
          <w:color w:val="54565E"/>
          <w:sz w:val="18"/>
        </w:rPr>
        <w:t>. Local repository: AUDIT-2026-07-24-frontend.md.</w:t>
      </w:r>
    </w:p>
    <w:p>
      <w:pPr>
        <w:spacing w:after="80"/>
        <w:ind w:left="288" w:hanging="288"/>
      </w:pPr>
      <w:r>
        <w:rPr>
          <w:rFonts w:ascii="Calibri" w:hAnsi="Calibri"/>
          <w:b/>
          <w:color w:val="2B4BEA"/>
          <w:sz w:val="18"/>
        </w:rPr>
        <w:t xml:space="preserve">[12] </w:t>
      </w:r>
      <w:r>
        <w:rPr>
          <w:rFonts w:ascii="Calibri" w:hAnsi="Calibri"/>
          <w:b/>
          <w:color w:val="17181C"/>
          <w:sz w:val="18"/>
        </w:rPr>
        <w:t>Atelier governing roadmap, 24 July 2026</w:t>
      </w:r>
      <w:r>
        <w:rPr>
          <w:rFonts w:ascii="Calibri" w:hAnsi="Calibri"/>
          <w:color w:val="54565E"/>
          <w:sz w:val="18"/>
        </w:rPr>
        <w:t>. Local engine repository: ROADMAP.md and HANDOFF.md.</w:t>
      </w:r>
    </w:p>
    <w:p>
      <w:pPr>
        <w:spacing w:after="60" w:line="264" w:lineRule="auto"/>
      </w:pPr>
      <w:r>
        <w:rPr>
          <w:rFonts w:ascii="Calibri" w:hAnsi="Calibri"/>
          <w:i/>
          <w:color w:val="797C84"/>
          <w:sz w:val="18"/>
        </w:rPr>
        <w:t>Research note: vendor capability descriptions and performance statistics are vendor-reported unless explicitly identified otherwise. This document uses them to compare product scope, not as independently verified evidence of outcomes.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97C84"/>
        <w:sz w:val="17"/>
      </w:rPr>
      <w:t>Confidential working strategy   ·   July 2026</w:t>
    </w:r>
    <w:r>
      <w:rPr>
        <w:rFonts w:ascii="Calibri" w:hAnsi="Calibri"/>
        <w:color w:val="797C84"/>
        <w:sz w:val="17"/>
      </w:rPr>
      <w:t xml:space="preserve">   ·   Page </w:t>
    </w:r>
    <w:r>
      <w:rPr>
        <w:rFonts w:ascii="Calibri" w:hAnsi="Calibri"/>
        <w:color w:val="797C8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DADCE0"/>
      </w:pBdr>
    </w:pPr>
    <w:r>
      <w:rPr>
        <w:rFonts w:ascii="Calibri" w:hAnsi="Calibri"/>
        <w:b/>
        <w:color w:val="2B4BEA"/>
        <w:sz w:val="18"/>
      </w:rPr>
      <w:t>ATELIER</w:t>
    </w:r>
    <w:r>
      <w:rPr>
        <w:rFonts w:ascii="Calibri" w:hAnsi="Calibri"/>
        <w:color w:val="797C84"/>
        <w:sz w:val="18"/>
      </w:rPr>
      <w:t xml:space="preserve">   ·   PRODUCT STRATEGY &amp;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2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20" w:line="28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20" w:line="28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720"/>
        </w:tabs>
        <w:ind w:left="720" w:hanging="360"/>
        <w:spacing w:after="120" w:line="28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720"/>
        </w:tabs>
        <w:ind w:left="720" w:hanging="360"/>
        <w:spacing w:after="120" w:line="280" w:lineRule="auto"/>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718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B4BEA"/>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B4BEA"/>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E37B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tic.inditex.com/business-model/business-model_english.html" TargetMode="External"/><Relationship Id="rId12" Type="http://schemas.openxmlformats.org/officeDocument/2006/relationships/hyperlink" Target="https://www.thereformation.com/sustainability.html" TargetMode="External"/><Relationship Id="rId13" Type="http://schemas.openxmlformats.org/officeDocument/2006/relationships/hyperlink" Target="https://time.com/7345258/reformation-ceo-hali-borenstein-interview/" TargetMode="External"/><Relationship Id="rId14" Type="http://schemas.openxmlformats.org/officeDocument/2006/relationships/hyperlink" Target="https://www.mckinsey.com/industries/retail/our-insights/state-of-fashion" TargetMode="External"/><Relationship Id="rId15" Type="http://schemas.openxmlformats.org/officeDocument/2006/relationships/hyperlink" Target="https://www.centricsoftware.com/en-gb/fashion-apparel" TargetMode="External"/><Relationship Id="rId16" Type="http://schemas.openxmlformats.org/officeDocument/2006/relationships/hyperlink" Target="https://www.wgsn.com/en/products/fashion-buying" TargetMode="External"/><Relationship Id="rId17" Type="http://schemas.openxmlformats.org/officeDocument/2006/relationships/hyperlink" Target="https://edited.com/products/retail-intelligence-platform/" TargetMode="External"/><Relationship Id="rId18" Type="http://schemas.openxmlformats.org/officeDocument/2006/relationships/hyperlink" Target="https://zhiyitech.cn/" TargetMode="External"/><Relationship Id="rId19" Type="http://schemas.openxmlformats.org/officeDocument/2006/relationships/hyperlink" Target="https://browzwear.com/products/v-stitcher/" TargetMode="External"/><Relationship Id="rId20" Type="http://schemas.openxmlformats.org/officeDocument/2006/relationships/hyperlink" Target="https://www.raspberr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The AI Taste &amp; Collection Intelligence Operating System</dc:title>
  <dc:subject>Product strategy, capability blueprint, and prioritized roadmap</dc:subject>
  <dc:creator>Atelier product strategy</dc:creator>
  <cp:keywords>fashion AI, taste intelligence, assortment planning, product strategy</cp:keywords>
  <dc:description>generated by python-docx</dc:description>
  <cp:lastModifiedBy/>
  <cp:revision>1</cp:revision>
  <dcterms:created xsi:type="dcterms:W3CDTF">2013-12-23T23:15:00Z</dcterms:created>
  <dcterms:modified xsi:type="dcterms:W3CDTF">2013-12-23T23:15:00Z</dcterms:modified>
  <cp:category/>
</cp:coreProperties>
</file>