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2" w:type="dxa"/>
        <w:tblInd w:w="-2" w:type="dxa"/>
        <w:tblCellMar>
          <w:top w:w="10" w:type="dxa"/>
          <w:left w:w="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92"/>
        <w:gridCol w:w="8370"/>
      </w:tblGrid>
      <w:tr w:rsidR="0082794B" w14:paraId="72690587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7551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Insured(s)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7FEB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{d.insuredName}</w:t>
            </w:r>
          </w:p>
        </w:tc>
      </w:tr>
      <w:tr w:rsidR="0082794B" w14:paraId="4CD32234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FDDC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Target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B776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</w:tr>
      <w:tr w:rsidR="0082794B" w14:paraId="56410C71" w14:textId="77777777">
        <w:trPr>
          <w:trHeight w:val="28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F3F0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Seller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303B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</w:tr>
      <w:tr w:rsidR="0082794B" w14:paraId="0744799A" w14:textId="77777777">
        <w:trPr>
          <w:trHeight w:val="27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300F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Buyer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5D3C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</w:tr>
      <w:tr w:rsidR="0082794B" w14:paraId="6C0D7D24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C243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asdasd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82D1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asdasd</w:t>
            </w:r>
          </w:p>
        </w:tc>
      </w:tr>
      <w:tr w:rsidR="0082794B" w14:paraId="7F84D76E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B986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asdasd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35CD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asdasd</w:t>
            </w:r>
          </w:p>
        </w:tc>
      </w:tr>
      <w:tr w:rsidR="0082794B" w14:paraId="3933F730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8EA0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asdasd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46BF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asdasd</w:t>
            </w:r>
          </w:p>
        </w:tc>
      </w:tr>
      <w:tr w:rsidR="0082794B" w14:paraId="0C22CAED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B233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Local Currency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061F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{d.localCurrency}</w:t>
            </w:r>
          </w:p>
        </w:tc>
      </w:tr>
    </w:tbl>
    <w:p w14:paraId="2DCF9CB9" w14:textId="77777777" w:rsidR="0082794B" w:rsidRDefault="00000000">
      <w:pPr>
        <w:pStyle w:val="Heading1"/>
        <w:ind w:left="57"/>
      </w:pPr>
      <w:r>
        <w:t>Tax Insurance Coverage</w:t>
      </w:r>
    </w:p>
    <w:tbl>
      <w:tblPr>
        <w:tblStyle w:val="TableGrid"/>
        <w:tblW w:w="10462" w:type="dxa"/>
        <w:tblInd w:w="-2" w:type="dxa"/>
        <w:tblCellMar>
          <w:top w:w="10" w:type="dxa"/>
          <w:left w:w="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92"/>
        <w:gridCol w:w="4996"/>
        <w:gridCol w:w="3374"/>
      </w:tblGrid>
      <w:tr w:rsidR="0082794B" w14:paraId="6DE43BFC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28A5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Policy type</w:t>
            </w:r>
          </w:p>
        </w:tc>
        <w:tc>
          <w:tcPr>
            <w:tcW w:w="8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07B4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{d.policyType}</w:t>
            </w:r>
          </w:p>
        </w:tc>
      </w:tr>
      <w:tr w:rsidR="0082794B" w14:paraId="70A9DDF5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2A35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Governing Law</w:t>
            </w:r>
          </w:p>
        </w:tc>
        <w:tc>
          <w:tcPr>
            <w:tcW w:w="8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103D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{d.governingLaw}</w:t>
            </w:r>
          </w:p>
        </w:tc>
      </w:tr>
      <w:tr w:rsidR="0082794B" w14:paraId="3AEFDCA9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EC20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Brokerage</w:t>
            </w:r>
          </w:p>
        </w:tc>
        <w:tc>
          <w:tcPr>
            <w:tcW w:w="8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65AA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{d.brokeragePercentage}</w:t>
            </w:r>
          </w:p>
        </w:tc>
      </w:tr>
      <w:tr w:rsidR="0082794B" w14:paraId="18ACDE84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1830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Underwriting Fee</w:t>
            </w:r>
          </w:p>
        </w:tc>
        <w:tc>
          <w:tcPr>
            <w:tcW w:w="8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A648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{d.underwritingFee}</w:t>
            </w:r>
          </w:p>
        </w:tc>
      </w:tr>
      <w:tr w:rsidR="0082794B" w14:paraId="46E8BCF1" w14:textId="77777777">
        <w:trPr>
          <w:trHeight w:val="2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36EF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Tax Risk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4584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>Risk Description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B8DC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</w:tr>
      <w:tr w:rsidR="0082794B" w14:paraId="26980A91" w14:textId="77777777">
        <w:trPr>
          <w:trHeight w:val="228"/>
        </w:trPr>
        <w:tc>
          <w:tcPr>
            <w:tcW w:w="2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4E7A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Tax Liability 1</w:t>
            </w:r>
          </w:p>
        </w:tc>
        <w:tc>
          <w:tcPr>
            <w:tcW w:w="4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91DD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ScsDvsdFc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8235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Tax Authority</w:t>
            </w:r>
          </w:p>
        </w:tc>
      </w:tr>
      <w:tr w:rsidR="0082794B" w14:paraId="1F5A893B" w14:textId="77777777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DA11F3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EF76BD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F3E0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>{d.taxAuthority}</w:t>
            </w:r>
          </w:p>
        </w:tc>
      </w:tr>
      <w:tr w:rsidR="0082794B" w14:paraId="17CD7F81" w14:textId="77777777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F6064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31D2DD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4FE9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sz w:val="19"/>
              </w:rPr>
              <w:t>Coverage Period</w:t>
            </w:r>
          </w:p>
        </w:tc>
      </w:tr>
      <w:tr w:rsidR="0082794B" w14:paraId="4CDFC36A" w14:textId="77777777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33E2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2B88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F6B7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>{d.coveragePeriodMonths} months</w:t>
            </w:r>
          </w:p>
        </w:tc>
      </w:tr>
    </w:tbl>
    <w:p w14:paraId="3F5899F1" w14:textId="77777777" w:rsidR="0082794B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002060"/>
        <w:spacing w:after="0" w:line="259" w:lineRule="auto"/>
        <w:ind w:left="62" w:firstLine="0"/>
        <w:jc w:val="left"/>
      </w:pPr>
      <w:r>
        <w:rPr>
          <w:b/>
          <w:color w:val="FFFFFF"/>
          <w:sz w:val="22"/>
        </w:rPr>
        <w:t>Indicative Terms</w:t>
      </w:r>
    </w:p>
    <w:tbl>
      <w:tblPr>
        <w:tblStyle w:val="TableGrid"/>
        <w:tblW w:w="10462" w:type="dxa"/>
        <w:tblInd w:w="-2" w:type="dxa"/>
        <w:tblCellMar>
          <w:top w:w="1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"/>
        <w:gridCol w:w="2124"/>
        <w:gridCol w:w="1985"/>
        <w:gridCol w:w="1985"/>
        <w:gridCol w:w="1135"/>
        <w:gridCol w:w="2241"/>
      </w:tblGrid>
      <w:tr w:rsidR="0082794B" w14:paraId="1C902BF1" w14:textId="77777777">
        <w:trPr>
          <w:trHeight w:val="22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83A0" w14:textId="77777777" w:rsidR="0082794B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b/>
                <w:sz w:val="19"/>
              </w:rPr>
              <w:t>Option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C45922" w14:textId="77777777" w:rsidR="0082794B" w:rsidRDefault="00000000">
            <w:pPr>
              <w:spacing w:after="0" w:line="259" w:lineRule="auto"/>
              <w:ind w:left="9" w:firstLine="0"/>
              <w:jc w:val="left"/>
            </w:pPr>
            <w:r>
              <w:rPr>
                <w:b/>
                <w:sz w:val="19"/>
              </w:rPr>
              <w:t>Insured Obligation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69C3630" w14:textId="77777777" w:rsidR="0082794B" w:rsidRDefault="00000000">
            <w:pPr>
              <w:spacing w:after="0" w:line="259" w:lineRule="auto"/>
              <w:ind w:left="11" w:firstLine="0"/>
              <w:jc w:val="left"/>
            </w:pPr>
            <w:r>
              <w:rPr>
                <w:b/>
                <w:sz w:val="19"/>
              </w:rPr>
              <w:t>Limit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D771D5" w14:textId="77777777" w:rsidR="0082794B" w:rsidRDefault="00000000">
            <w:pPr>
              <w:spacing w:after="0" w:line="259" w:lineRule="auto"/>
              <w:ind w:left="11" w:firstLine="0"/>
              <w:jc w:val="left"/>
            </w:pPr>
            <w:r>
              <w:rPr>
                <w:b/>
                <w:sz w:val="19"/>
              </w:rPr>
              <w:t>Retention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14:paraId="3136BA2B" w14:textId="77777777" w:rsidR="0082794B" w:rsidRDefault="00000000">
            <w:pPr>
              <w:spacing w:after="0" w:line="259" w:lineRule="auto"/>
              <w:ind w:left="11" w:firstLine="0"/>
              <w:jc w:val="left"/>
            </w:pPr>
            <w:r>
              <w:rPr>
                <w:b/>
                <w:sz w:val="19"/>
              </w:rPr>
              <w:t>Premium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B90C988" w14:textId="77777777" w:rsidR="0082794B" w:rsidRDefault="00000000">
            <w:pPr>
              <w:spacing w:after="0" w:line="259" w:lineRule="auto"/>
              <w:ind w:firstLine="0"/>
              <w:jc w:val="left"/>
            </w:pPr>
            <w:r>
              <w:rPr>
                <w:b/>
                <w:sz w:val="19"/>
              </w:rPr>
              <w:t>Rate on Line</w:t>
            </w:r>
          </w:p>
        </w:tc>
      </w:tr>
      <w:tr w:rsidR="0082794B" w14:paraId="783A1185" w14:textId="77777777">
        <w:trPr>
          <w:trHeight w:val="23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859B" w14:textId="77777777" w:rsidR="0082794B" w:rsidRDefault="00000000">
            <w:pPr>
              <w:spacing w:after="0" w:line="259" w:lineRule="auto"/>
              <w:ind w:left="58" w:firstLine="0"/>
              <w:jc w:val="center"/>
            </w:pPr>
            <w:r>
              <w:rPr>
                <w:b/>
                <w:sz w:val="19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FC68F8" w14:textId="77777777" w:rsidR="0082794B" w:rsidRDefault="00000000">
            <w:pPr>
              <w:spacing w:after="0" w:line="259" w:lineRule="auto"/>
              <w:ind w:left="9" w:firstLine="0"/>
              <w:jc w:val="left"/>
            </w:pPr>
            <w:r>
              <w:rPr>
                <w:sz w:val="19"/>
              </w:rPr>
              <w:t>VAT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3CDE3" w14:textId="77777777" w:rsidR="0082794B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sz w:val="19"/>
              </w:rPr>
              <w:t>{d.insuredObligationVAT}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E1E23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{d.limitVAT}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3A6DFAF" w14:textId="77777777" w:rsidR="0082794B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sz w:val="19"/>
              </w:rPr>
              <w:t>{d.retentionVAT}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5" w:space="0" w:color="000000"/>
              <w:bottom w:val="single" w:sz="6" w:space="0" w:color="000000"/>
              <w:right w:val="single" w:sz="4" w:space="0" w:color="000000"/>
            </w:tcBorders>
          </w:tcPr>
          <w:p w14:paraId="73E0200A" w14:textId="77777777" w:rsidR="0082794B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sz w:val="19"/>
              </w:rPr>
              <w:t>{d.premiumVAT}</w:t>
            </w:r>
          </w:p>
        </w:tc>
      </w:tr>
      <w:tr w:rsidR="0082794B" w14:paraId="1F3C128E" w14:textId="77777777">
        <w:trPr>
          <w:trHeight w:val="1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1F1D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70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88DB" w14:textId="77777777" w:rsidR="0082794B" w:rsidRDefault="00000000">
            <w:pPr>
              <w:spacing w:after="0" w:line="259" w:lineRule="auto"/>
              <w:ind w:left="9" w:firstLine="0"/>
              <w:jc w:val="left"/>
            </w:pPr>
            <w:r>
              <w:rPr>
                <w:sz w:val="19"/>
              </w:rPr>
              <w:t>Please note:</w:t>
            </w:r>
          </w:p>
          <w:p w14:paraId="67A413EC" w14:textId="77777777" w:rsidR="0082794B" w:rsidRDefault="00000000">
            <w:pPr>
              <w:numPr>
                <w:ilvl w:val="0"/>
                <w:numId w:val="1"/>
              </w:numPr>
              <w:spacing w:after="0" w:line="259" w:lineRule="auto"/>
              <w:ind w:left="521" w:hanging="283"/>
              <w:jc w:val="left"/>
            </w:pPr>
            <w:r>
              <w:rPr>
                <w:sz w:val="19"/>
              </w:rPr>
              <w:t>Coverage for loss includes {d.coverageIncludes};</w:t>
            </w:r>
          </w:p>
          <w:p w14:paraId="1C9D20D3" w14:textId="77777777" w:rsidR="0082794B" w:rsidRDefault="00000000">
            <w:pPr>
              <w:numPr>
                <w:ilvl w:val="0"/>
                <w:numId w:val="1"/>
              </w:numPr>
              <w:spacing w:after="0" w:line="259" w:lineRule="auto"/>
              <w:ind w:left="521" w:hanging="283"/>
              <w:jc w:val="left"/>
            </w:pPr>
            <w:r>
              <w:rPr>
                <w:sz w:val="19"/>
              </w:rPr>
              <w:t>The Retention is in respect of {d.retentionFor};</w:t>
            </w:r>
          </w:p>
          <w:p w14:paraId="5300FB32" w14:textId="77777777" w:rsidR="0082794B" w:rsidRDefault="00000000">
            <w:pPr>
              <w:numPr>
                <w:ilvl w:val="0"/>
                <w:numId w:val="1"/>
              </w:numPr>
              <w:spacing w:after="0" w:line="259" w:lineRule="auto"/>
              <w:ind w:left="521" w:hanging="283"/>
              <w:jc w:val="left"/>
            </w:pPr>
            <w:r>
              <w:rPr>
                <w:sz w:val="19"/>
              </w:rPr>
              <w:t>The above Premium includes Brokerage, but excludes underwriting fee and any applicable taxes; and</w:t>
            </w:r>
          </w:p>
          <w:p w14:paraId="67B17E02" w14:textId="77777777" w:rsidR="0082794B" w:rsidRDefault="00000000">
            <w:pPr>
              <w:numPr>
                <w:ilvl w:val="0"/>
                <w:numId w:val="1"/>
              </w:numPr>
              <w:spacing w:after="0" w:line="259" w:lineRule="auto"/>
              <w:ind w:left="521" w:hanging="283"/>
              <w:jc w:val="left"/>
            </w:pPr>
            <w:r>
              <w:rPr>
                <w:sz w:val="19"/>
              </w:rPr>
              <w:t>We will require the Insured to enter into an Expense Agreement with Acquinex prior to the commencement of Underwriting and the fee will be payable regardless of whether a Policy is purchased.</w:t>
            </w:r>
          </w:p>
        </w:tc>
      </w:tr>
    </w:tbl>
    <w:tbl>
      <w:tblPr>
        <w:tblStyle w:val="TableGrid"/>
        <w:tblpPr w:vertAnchor="page" w:horzAnchor="page" w:tblpX="720" w:tblpY="1702"/>
        <w:tblOverlap w:val="never"/>
        <w:tblW w:w="10462" w:type="dxa"/>
        <w:tblInd w:w="0" w:type="dxa"/>
        <w:tblCellMar>
          <w:top w:w="13" w:type="dxa"/>
          <w:left w:w="64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188"/>
        <w:gridCol w:w="2274"/>
      </w:tblGrid>
      <w:tr w:rsidR="0082794B" w14:paraId="12CFF93D" w14:textId="77777777">
        <w:trPr>
          <w:trHeight w:val="285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2060"/>
          </w:tcPr>
          <w:p w14:paraId="5EA0A6C7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4"/>
              </w:rPr>
              <w:t>Non-Binding Indication</w:t>
            </w:r>
          </w:p>
        </w:tc>
        <w:tc>
          <w:tcPr>
            <w:tcW w:w="2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42B0E49" w14:textId="77777777" w:rsidR="0082794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color w:val="FFFFFF"/>
                <w:sz w:val="24"/>
              </w:rPr>
              <w:t>Project {d.projectName}</w:t>
            </w:r>
          </w:p>
        </w:tc>
      </w:tr>
      <w:tr w:rsidR="0082794B" w14:paraId="1E5080B8" w14:textId="77777777">
        <w:trPr>
          <w:trHeight w:val="255"/>
        </w:trPr>
        <w:tc>
          <w:tcPr>
            <w:tcW w:w="8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995028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A4F4CF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</w:tr>
      <w:tr w:rsidR="0082794B" w14:paraId="671FE482" w14:textId="77777777">
        <w:trPr>
          <w:trHeight w:val="264"/>
        </w:trPr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166CC51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  <w:sz w:val="22"/>
              </w:rPr>
              <w:t>Transaction Details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2FB8FF1E" w14:textId="77777777" w:rsidR="0082794B" w:rsidRDefault="0082794B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D8E3B6C" w14:textId="77777777" w:rsidR="0082794B" w:rsidRDefault="00000000">
      <w:pPr>
        <w:pStyle w:val="Heading1"/>
        <w:ind w:left="5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4FDD89" wp14:editId="2FF2A823">
            <wp:simplePos x="0" y="0"/>
            <wp:positionH relativeFrom="page">
              <wp:posOffset>5286375</wp:posOffset>
            </wp:positionH>
            <wp:positionV relativeFrom="page">
              <wp:posOffset>448955</wp:posOffset>
            </wp:positionV>
            <wp:extent cx="1817370" cy="457835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Coverage Exclusions</w:t>
      </w:r>
    </w:p>
    <w:tbl>
      <w:tblPr>
        <w:tblStyle w:val="TableGrid"/>
        <w:tblW w:w="10462" w:type="dxa"/>
        <w:tblInd w:w="-2" w:type="dxa"/>
        <w:tblCellMar>
          <w:top w:w="10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62"/>
      </w:tblGrid>
      <w:tr w:rsidR="0082794B" w14:paraId="30D6AF6F" w14:textId="77777777">
        <w:trPr>
          <w:trHeight w:val="228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8329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>General Exclusions</w:t>
            </w:r>
          </w:p>
        </w:tc>
      </w:tr>
      <w:tr w:rsidR="0082794B" w14:paraId="3E77C9FB" w14:textId="77777777">
        <w:trPr>
          <w:trHeight w:val="228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129C" w14:textId="77777777" w:rsidR="0082794B" w:rsidRDefault="00000000">
            <w:pPr>
              <w:tabs>
                <w:tab w:val="center" w:pos="297"/>
                <w:tab w:val="center" w:pos="12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9"/>
              </w:rPr>
              <w:t>a)</w:t>
            </w:r>
            <w:r>
              <w:rPr>
                <w:sz w:val="19"/>
              </w:rPr>
              <w:tab/>
              <w:t>{d.generalExclusions}</w:t>
            </w:r>
          </w:p>
        </w:tc>
      </w:tr>
      <w:tr w:rsidR="0082794B" w14:paraId="6CC3C0BF" w14:textId="77777777">
        <w:trPr>
          <w:trHeight w:val="228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7DD3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>Specific Coverage</w:t>
            </w:r>
          </w:p>
        </w:tc>
      </w:tr>
      <w:tr w:rsidR="0082794B" w14:paraId="4DE9DCA8" w14:textId="77777777">
        <w:trPr>
          <w:trHeight w:val="228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48F6" w14:textId="77777777" w:rsidR="0082794B" w:rsidRDefault="00000000">
            <w:pPr>
              <w:spacing w:after="0" w:line="259" w:lineRule="auto"/>
              <w:ind w:left="211" w:firstLine="0"/>
              <w:jc w:val="left"/>
            </w:pPr>
            <w:r>
              <w:rPr>
                <w:sz w:val="19"/>
              </w:rPr>
              <w:t>{d.specificCoverage}</w:t>
            </w:r>
          </w:p>
        </w:tc>
      </w:tr>
      <w:tr w:rsidR="0082794B" w14:paraId="186FDE35" w14:textId="77777777">
        <w:trPr>
          <w:trHeight w:val="228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0A53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>Assumptions</w:t>
            </w:r>
          </w:p>
        </w:tc>
      </w:tr>
      <w:tr w:rsidR="0082794B" w14:paraId="1EADA165" w14:textId="77777777">
        <w:trPr>
          <w:trHeight w:val="1324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58BE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These indicative terms are based on the following assumptions:</w:t>
            </w:r>
          </w:p>
          <w:p w14:paraId="6CD5416B" w14:textId="77777777" w:rsidR="0082794B" w:rsidRDefault="00000000">
            <w:pPr>
              <w:numPr>
                <w:ilvl w:val="0"/>
                <w:numId w:val="2"/>
              </w:numPr>
              <w:spacing w:after="0" w:line="259" w:lineRule="auto"/>
              <w:ind w:hanging="283"/>
              <w:jc w:val="left"/>
            </w:pPr>
            <w:r>
              <w:rPr>
                <w:sz w:val="19"/>
              </w:rPr>
              <w:t xml:space="preserve">The final transaction documents will make no reference to the tax insurance policy </w:t>
            </w:r>
          </w:p>
          <w:p w14:paraId="4C3BA240" w14:textId="77777777" w:rsidR="0082794B" w:rsidRDefault="00000000">
            <w:pPr>
              <w:numPr>
                <w:ilvl w:val="0"/>
                <w:numId w:val="2"/>
              </w:numPr>
              <w:spacing w:after="0" w:line="259" w:lineRule="auto"/>
              <w:ind w:hanging="283"/>
              <w:jc w:val="left"/>
            </w:pPr>
            <w:r>
              <w:rPr>
                <w:sz w:val="19"/>
              </w:rPr>
              <w:t>The Policy will be signed at completion and will incept at completion of the transaction, and not sooner</w:t>
            </w:r>
          </w:p>
          <w:p w14:paraId="26CC5F2C" w14:textId="77777777" w:rsidR="0082794B" w:rsidRDefault="00000000">
            <w:pPr>
              <w:numPr>
                <w:ilvl w:val="0"/>
                <w:numId w:val="2"/>
              </w:numPr>
              <w:spacing w:after="0" w:line="259" w:lineRule="auto"/>
              <w:ind w:hanging="283"/>
              <w:jc w:val="left"/>
            </w:pPr>
            <w:r>
              <w:rPr>
                <w:sz w:val="19"/>
              </w:rPr>
              <w:t>There are no material facts which Acquinex has not been made aware of when making this NBI</w:t>
            </w:r>
          </w:p>
          <w:p w14:paraId="096BE05F" w14:textId="77777777" w:rsidR="0082794B" w:rsidRDefault="00000000">
            <w:pPr>
              <w:numPr>
                <w:ilvl w:val="0"/>
                <w:numId w:val="2"/>
              </w:numPr>
              <w:spacing w:after="0" w:line="259" w:lineRule="auto"/>
              <w:ind w:hanging="283"/>
              <w:jc w:val="left"/>
            </w:pPr>
            <w:r>
              <w:rPr>
                <w:sz w:val="19"/>
              </w:rPr>
              <w:t>The proposed transaction is a commercial transaction which will be carried out at arm’s length</w:t>
            </w:r>
          </w:p>
          <w:p w14:paraId="0A8B57A2" w14:textId="77777777" w:rsidR="0082794B" w:rsidRDefault="00000000">
            <w:pPr>
              <w:numPr>
                <w:ilvl w:val="0"/>
                <w:numId w:val="2"/>
              </w:numPr>
              <w:spacing w:after="0" w:line="259" w:lineRule="auto"/>
              <w:ind w:hanging="283"/>
              <w:jc w:val="left"/>
            </w:pPr>
            <w:r>
              <w:rPr>
                <w:sz w:val="19"/>
              </w:rPr>
              <w:t>Coverage on the basis of Acquinex standard Tax Insurance policy terms and conditions</w:t>
            </w:r>
          </w:p>
        </w:tc>
      </w:tr>
    </w:tbl>
    <w:p w14:paraId="0615545F" w14:textId="77777777" w:rsidR="0082794B" w:rsidRDefault="00000000">
      <w:pPr>
        <w:spacing w:after="6" w:line="259" w:lineRule="auto"/>
        <w:ind w:left="6764" w:right="-12" w:firstLine="0"/>
        <w:jc w:val="left"/>
      </w:pPr>
      <w:r>
        <w:rPr>
          <w:noProof/>
        </w:rPr>
        <w:drawing>
          <wp:inline distT="0" distB="0" distL="0" distR="0" wp14:anchorId="0B29189D" wp14:editId="42A206F7">
            <wp:extent cx="2316480" cy="188976"/>
            <wp:effectExtent l="0" t="0" r="0" b="0"/>
            <wp:docPr id="4564" name="Picture 4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" name="Picture 45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838" w14:textId="77777777" w:rsidR="0082794B" w:rsidRDefault="00000000">
      <w:pPr>
        <w:ind w:left="-5" w:right="-13"/>
      </w:pPr>
      <w:r>
        <w:t>Acquinex GmbH has a registered branch in the United Kingdom (establishment number {d.establishmentNumberUK}) at {d.addressUK}, which is authorised and regulated by the {d.regulatoryAuthorityUK}. Acquinex GmbH, business address at Kaiserhofstr. 10, 60313 Frankfurt am</w:t>
      </w:r>
    </w:p>
    <w:p w14:paraId="237536E3" w14:textId="77777777" w:rsidR="0082794B" w:rsidRDefault="00000000">
      <w:pPr>
        <w:ind w:left="-5" w:right="-13"/>
      </w:pPr>
      <w:r>
        <w:t>Main, Germany (registered with the commercial register of the local court of Frankfurt am Main under {d.commercialRegisterGermany}) is a multiple insurance agency ({d.agencyTypeGermany}) with a permit pursuant to {d.industrialCodeSectionGermany} (Gewerbeordnung) issued by the Chamber of Commerce and Industry (Industrie- und Handelskammer) Frankfurt am Main. Registered in the intermediary register (Vermittlerregister - www.vermittlerregister.info) under register number: {d.intermediaryRegisterNumber}.</w:t>
      </w:r>
    </w:p>
    <w:p w14:paraId="62C776C2" w14:textId="77777777" w:rsidR="0082794B" w:rsidRDefault="00000000">
      <w:pPr>
        <w:pStyle w:val="Heading1"/>
        <w:ind w:left="57"/>
      </w:pPr>
      <w:r>
        <w:lastRenderedPageBreak/>
        <w:t>Next Steps</w:t>
      </w:r>
    </w:p>
    <w:tbl>
      <w:tblPr>
        <w:tblStyle w:val="TableGrid"/>
        <w:tblW w:w="10462" w:type="dxa"/>
        <w:tblInd w:w="-2" w:type="dxa"/>
        <w:tblCellMar>
          <w:top w:w="10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62"/>
      </w:tblGrid>
      <w:tr w:rsidR="0082794B" w14:paraId="7621757E" w14:textId="77777777">
        <w:trPr>
          <w:trHeight w:val="2260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D795" w14:textId="77777777" w:rsidR="0082794B" w:rsidRDefault="00000000">
            <w:pPr>
              <w:spacing w:after="218" w:line="239" w:lineRule="auto"/>
              <w:ind w:left="0" w:firstLine="0"/>
              <w:jc w:val="left"/>
            </w:pPr>
            <w:r>
              <w:rPr>
                <w:sz w:val="19"/>
              </w:rPr>
              <w:t>These terms will remain valid for a period of {d.validityPeriodDays} days from the date of submission, subject to any change in law or event which may prejudice the Underwriters.</w:t>
            </w:r>
          </w:p>
          <w:p w14:paraId="0F122036" w14:textId="77777777" w:rsidR="0082794B" w:rsidRDefault="00000000">
            <w:pPr>
              <w:spacing w:after="200" w:line="259" w:lineRule="auto"/>
              <w:ind w:left="0" w:firstLine="0"/>
              <w:jc w:val="left"/>
            </w:pPr>
            <w:r>
              <w:rPr>
                <w:sz w:val="19"/>
              </w:rPr>
              <w:t>Acquinex expect be able to provide a draft policy within {d.policyDraftingTimeframeDays} working days of receipt of the above information.</w:t>
            </w:r>
          </w:p>
          <w:p w14:paraId="456A6A1E" w14:textId="77777777" w:rsidR="0082794B" w:rsidRDefault="00000000">
            <w:pPr>
              <w:spacing w:after="23" w:line="239" w:lineRule="auto"/>
              <w:ind w:left="227" w:right="439" w:hanging="227"/>
              <w:jc w:val="left"/>
            </w:pPr>
            <w:r>
              <w:rPr>
                <w:sz w:val="19"/>
              </w:rPr>
              <w:t>All terms are subject to underwriting review, which is expected to include an underwriter's review of some or all the following: (i)</w:t>
            </w:r>
            <w:r>
              <w:rPr>
                <w:sz w:val="19"/>
              </w:rPr>
              <w:tab/>
              <w:t>Due diligence materials;</w:t>
            </w:r>
          </w:p>
          <w:p w14:paraId="1E75EB13" w14:textId="77777777" w:rsidR="0082794B" w:rsidRDefault="00000000">
            <w:pPr>
              <w:numPr>
                <w:ilvl w:val="0"/>
                <w:numId w:val="3"/>
              </w:numPr>
              <w:spacing w:after="5" w:line="259" w:lineRule="auto"/>
              <w:ind w:hanging="436"/>
              <w:jc w:val="left"/>
            </w:pPr>
            <w:r>
              <w:rPr>
                <w:sz w:val="19"/>
              </w:rPr>
              <w:t>Tax adviser opinions;</w:t>
            </w:r>
          </w:p>
          <w:p w14:paraId="2CC7FA24" w14:textId="77777777" w:rsidR="0082794B" w:rsidRDefault="00000000">
            <w:pPr>
              <w:numPr>
                <w:ilvl w:val="0"/>
                <w:numId w:val="3"/>
              </w:numPr>
              <w:spacing w:after="5" w:line="259" w:lineRule="auto"/>
              <w:ind w:hanging="436"/>
              <w:jc w:val="left"/>
            </w:pPr>
            <w:r>
              <w:rPr>
                <w:sz w:val="19"/>
              </w:rPr>
              <w:t>Supporting documentation; and</w:t>
            </w:r>
          </w:p>
          <w:p w14:paraId="0ED40070" w14:textId="77777777" w:rsidR="0082794B" w:rsidRDefault="00000000">
            <w:pPr>
              <w:numPr>
                <w:ilvl w:val="0"/>
                <w:numId w:val="3"/>
              </w:numPr>
              <w:spacing w:after="0" w:line="259" w:lineRule="auto"/>
              <w:ind w:hanging="436"/>
              <w:jc w:val="left"/>
            </w:pPr>
            <w:r>
              <w:rPr>
                <w:sz w:val="19"/>
              </w:rPr>
              <w:t>The final transactions documents and disclosures</w:t>
            </w:r>
          </w:p>
        </w:tc>
      </w:tr>
    </w:tbl>
    <w:p w14:paraId="7CA55470" w14:textId="77777777" w:rsidR="0082794B" w:rsidRDefault="00000000">
      <w:pPr>
        <w:pStyle w:val="Heading1"/>
        <w:spacing w:after="133"/>
        <w:ind w:left="57"/>
      </w:pPr>
      <w:r>
        <w:t>Capacity and Claims</w:t>
      </w:r>
    </w:p>
    <w:tbl>
      <w:tblPr>
        <w:tblStyle w:val="TableGrid"/>
        <w:tblpPr w:vertAnchor="page" w:horzAnchor="page" w:tblpX="720" w:tblpY="1703"/>
        <w:tblOverlap w:val="never"/>
        <w:tblW w:w="10462" w:type="dxa"/>
        <w:tblInd w:w="0" w:type="dxa"/>
        <w:tblCellMar>
          <w:top w:w="11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62"/>
      </w:tblGrid>
      <w:tr w:rsidR="0082794B" w14:paraId="76EE7651" w14:textId="77777777">
        <w:trPr>
          <w:trHeight w:val="228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3BA7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9"/>
              </w:rPr>
              <w:t>Underwriting Comments</w:t>
            </w:r>
          </w:p>
        </w:tc>
      </w:tr>
      <w:tr w:rsidR="0082794B" w14:paraId="11CBEBF0" w14:textId="77777777">
        <w:trPr>
          <w:trHeight w:val="446"/>
        </w:trPr>
        <w:tc>
          <w:tcPr>
            <w:tcW w:w="10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FCFC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 xml:space="preserve">Advance tax payments are made where required in order to progress an appeal (where suspension of execution is refused by the </w:t>
            </w:r>
          </w:p>
          <w:p w14:paraId="261F1741" w14:textId="77777777" w:rsidR="0082794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19"/>
              </w:rPr>
              <w:t>Tax Authority)</w:t>
            </w:r>
          </w:p>
        </w:tc>
      </w:tr>
    </w:tbl>
    <w:p w14:paraId="57270910" w14:textId="77777777" w:rsidR="0082794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741" w:line="239" w:lineRule="auto"/>
        <w:ind w:left="62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CF219F4" wp14:editId="4EDA98E1">
            <wp:simplePos x="0" y="0"/>
            <wp:positionH relativeFrom="page">
              <wp:posOffset>5286375</wp:posOffset>
            </wp:positionH>
            <wp:positionV relativeFrom="page">
              <wp:posOffset>448955</wp:posOffset>
            </wp:positionV>
            <wp:extent cx="1817370" cy="457835"/>
            <wp:effectExtent l="0" t="0" r="0" b="0"/>
            <wp:wrapTopAndBottom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Acquinex capacity is provided by a select panel of insurers the details of which are included in the Acquinex Terms and Conditions. Claims are handled internally by Acquinex; full settlement authority has been fully delegated to the lead insurer to ensure a claimant need only deal with one Underwriter.</w:t>
      </w:r>
    </w:p>
    <w:p w14:paraId="0F939178" w14:textId="77777777" w:rsidR="0082794B" w:rsidRDefault="00000000">
      <w:pPr>
        <w:spacing w:after="6" w:line="259" w:lineRule="auto"/>
        <w:ind w:left="6764" w:right="-12" w:firstLine="0"/>
        <w:jc w:val="left"/>
      </w:pPr>
      <w:r>
        <w:rPr>
          <w:noProof/>
        </w:rPr>
        <w:drawing>
          <wp:inline distT="0" distB="0" distL="0" distR="0" wp14:anchorId="3327D784" wp14:editId="1A83AC63">
            <wp:extent cx="2316480" cy="188976"/>
            <wp:effectExtent l="0" t="0" r="0" b="0"/>
            <wp:docPr id="4565" name="Picture 4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" name="Picture 45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563A" w14:textId="77777777" w:rsidR="0082794B" w:rsidRDefault="00000000">
      <w:pPr>
        <w:ind w:left="-5" w:right="-13"/>
      </w:pPr>
      <w:r>
        <w:t>Acquinex GmbH has a registered branch in the United Kingdom (establishment number {d.establishmentNumberUK}) at {d.addressUK}, which is authorised and regulated by the {d.regulatoryAuthorityUK}. Acquinex GmbH, business address at Kaiserhofstr. 10, 60313 Frankfurt am</w:t>
      </w:r>
    </w:p>
    <w:p w14:paraId="5E38BA4C" w14:textId="77777777" w:rsidR="0082794B" w:rsidRDefault="00000000">
      <w:pPr>
        <w:ind w:left="-5" w:right="-13"/>
      </w:pPr>
      <w:r>
        <w:t>Main, Germany (registered with the commercial register of the local court of Frankfurt am Main under {d.commercialRegisterGermany}) is a multiple insurance agency ({d.agencyTypeGermany}) with a permit pursuant to {d.industrialCodeSectionGermany} (Gewerbeordnung) issued by the Chamber of Commerce and Industry (Industrie- und Handelskammer) Frankfurt am Main. Registered in the intermediary register (Vermittlerregister - www.vermittlerregister.info) under register number: {d.intermediaryRegisterNumber}.</w:t>
      </w:r>
    </w:p>
    <w:sectPr w:rsidR="0082794B">
      <w:pgSz w:w="11906" w:h="16838"/>
      <w:pgMar w:top="1702" w:right="732" w:bottom="881" w:left="7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709C"/>
    <w:multiLevelType w:val="hybridMultilevel"/>
    <w:tmpl w:val="DAE4E0A4"/>
    <w:lvl w:ilvl="0" w:tplc="7F86CA58">
      <w:start w:val="1"/>
      <w:numFmt w:val="bullet"/>
      <w:lvlText w:val="•"/>
      <w:lvlJc w:val="left"/>
      <w:pPr>
        <w:ind w:left="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50285A6">
      <w:start w:val="1"/>
      <w:numFmt w:val="bullet"/>
      <w:lvlText w:val="o"/>
      <w:lvlJc w:val="left"/>
      <w:pPr>
        <w:ind w:left="1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F3E1B90">
      <w:start w:val="1"/>
      <w:numFmt w:val="bullet"/>
      <w:lvlText w:val="▪"/>
      <w:lvlJc w:val="left"/>
      <w:pPr>
        <w:ind w:left="2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84D1EC">
      <w:start w:val="1"/>
      <w:numFmt w:val="bullet"/>
      <w:lvlText w:val="•"/>
      <w:lvlJc w:val="left"/>
      <w:pPr>
        <w:ind w:left="2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AB0E368">
      <w:start w:val="1"/>
      <w:numFmt w:val="bullet"/>
      <w:lvlText w:val="o"/>
      <w:lvlJc w:val="left"/>
      <w:pPr>
        <w:ind w:left="3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ECEA1EA">
      <w:start w:val="1"/>
      <w:numFmt w:val="bullet"/>
      <w:lvlText w:val="▪"/>
      <w:lvlJc w:val="left"/>
      <w:pPr>
        <w:ind w:left="4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48ED998">
      <w:start w:val="1"/>
      <w:numFmt w:val="bullet"/>
      <w:lvlText w:val="•"/>
      <w:lvlJc w:val="left"/>
      <w:pPr>
        <w:ind w:left="4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F0059C0">
      <w:start w:val="1"/>
      <w:numFmt w:val="bullet"/>
      <w:lvlText w:val="o"/>
      <w:lvlJc w:val="left"/>
      <w:pPr>
        <w:ind w:left="5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79A46C6">
      <w:start w:val="1"/>
      <w:numFmt w:val="bullet"/>
      <w:lvlText w:val="▪"/>
      <w:lvlJc w:val="left"/>
      <w:pPr>
        <w:ind w:left="6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3231AB"/>
    <w:multiLevelType w:val="hybridMultilevel"/>
    <w:tmpl w:val="5A222B76"/>
    <w:lvl w:ilvl="0" w:tplc="BD1675CA">
      <w:start w:val="1"/>
      <w:numFmt w:val="bullet"/>
      <w:lvlText w:val="-"/>
      <w:lvlJc w:val="left"/>
      <w:pPr>
        <w:ind w:left="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7AA196">
      <w:start w:val="1"/>
      <w:numFmt w:val="bullet"/>
      <w:lvlText w:val="o"/>
      <w:lvlJc w:val="left"/>
      <w:pPr>
        <w:ind w:left="1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521976">
      <w:start w:val="1"/>
      <w:numFmt w:val="bullet"/>
      <w:lvlText w:val="▪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3D0913A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83E7886">
      <w:start w:val="1"/>
      <w:numFmt w:val="bullet"/>
      <w:lvlText w:val="o"/>
      <w:lvlJc w:val="left"/>
      <w:pPr>
        <w:ind w:left="3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0DCC100">
      <w:start w:val="1"/>
      <w:numFmt w:val="bullet"/>
      <w:lvlText w:val="▪"/>
      <w:lvlJc w:val="left"/>
      <w:pPr>
        <w:ind w:left="4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49A3CB6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3C400BC">
      <w:start w:val="1"/>
      <w:numFmt w:val="bullet"/>
      <w:lvlText w:val="o"/>
      <w:lvlJc w:val="left"/>
      <w:pPr>
        <w:ind w:left="5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CE2758A">
      <w:start w:val="1"/>
      <w:numFmt w:val="bullet"/>
      <w:lvlText w:val="▪"/>
      <w:lvlJc w:val="left"/>
      <w:pPr>
        <w:ind w:left="6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253D5"/>
    <w:multiLevelType w:val="hybridMultilevel"/>
    <w:tmpl w:val="CBD8C848"/>
    <w:lvl w:ilvl="0" w:tplc="F65A9422">
      <w:start w:val="2"/>
      <w:numFmt w:val="lowerRoman"/>
      <w:lvlText w:val="(%1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AC6083A">
      <w:start w:val="1"/>
      <w:numFmt w:val="lowerLetter"/>
      <w:lvlText w:val="%2"/>
      <w:lvlJc w:val="left"/>
      <w:pPr>
        <w:ind w:left="1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906686C">
      <w:start w:val="1"/>
      <w:numFmt w:val="lowerRoman"/>
      <w:lvlText w:val="%3"/>
      <w:lvlJc w:val="left"/>
      <w:pPr>
        <w:ind w:left="2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66A29B2">
      <w:start w:val="1"/>
      <w:numFmt w:val="decimal"/>
      <w:lvlText w:val="%4"/>
      <w:lvlJc w:val="left"/>
      <w:pPr>
        <w:ind w:left="2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E62AEFE">
      <w:start w:val="1"/>
      <w:numFmt w:val="lowerLetter"/>
      <w:lvlText w:val="%5"/>
      <w:lvlJc w:val="left"/>
      <w:pPr>
        <w:ind w:left="3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0FAE850">
      <w:start w:val="1"/>
      <w:numFmt w:val="lowerRoman"/>
      <w:lvlText w:val="%6"/>
      <w:lvlJc w:val="left"/>
      <w:pPr>
        <w:ind w:left="4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6ED2C2">
      <w:start w:val="1"/>
      <w:numFmt w:val="decimal"/>
      <w:lvlText w:val="%7"/>
      <w:lvlJc w:val="left"/>
      <w:pPr>
        <w:ind w:left="4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530049C">
      <w:start w:val="1"/>
      <w:numFmt w:val="lowerLetter"/>
      <w:lvlText w:val="%8"/>
      <w:lvlJc w:val="left"/>
      <w:pPr>
        <w:ind w:left="5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4DE542A">
      <w:start w:val="1"/>
      <w:numFmt w:val="lowerRoman"/>
      <w:lvlText w:val="%9"/>
      <w:lvlJc w:val="left"/>
      <w:pPr>
        <w:ind w:left="6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791667">
    <w:abstractNumId w:val="1"/>
  </w:num>
  <w:num w:numId="2" w16cid:durableId="419253992">
    <w:abstractNumId w:val="0"/>
  </w:num>
  <w:num w:numId="3" w16cid:durableId="872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94B"/>
    <w:rsid w:val="002079D7"/>
    <w:rsid w:val="0082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E72A"/>
  <w15:docId w15:val="{7E529E1F-90A6-40BD-9189-4CC63095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1" w:lineRule="auto"/>
      <w:ind w:left="10" w:hanging="10"/>
      <w:jc w:val="both"/>
    </w:pPr>
    <w:rPr>
      <w:rFonts w:ascii="Arial" w:eastAsia="Arial" w:hAnsi="Arial" w:cs="Arial"/>
      <w:color w:val="000000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002060"/>
      <w:spacing w:after="0"/>
      <w:ind w:left="72" w:hanging="10"/>
      <w:outlineLvl w:val="0"/>
    </w:pPr>
    <w:rPr>
      <w:rFonts w:ascii="Arial" w:eastAsia="Arial" w:hAnsi="Arial" w:cs="Arial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Jackson</dc:creator>
  <cp:keywords/>
  <cp:lastModifiedBy>Ando Kivilaid</cp:lastModifiedBy>
  <cp:revision>2</cp:revision>
  <dcterms:created xsi:type="dcterms:W3CDTF">2023-12-21T07:57:00Z</dcterms:created>
  <dcterms:modified xsi:type="dcterms:W3CDTF">2023-12-21T07:57:00Z</dcterms:modified>
</cp:coreProperties>
</file>