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line="320" w:lineRule="exact"/>
        <w:jc w:val="left"/>
      </w:pPr>
      <w:r>
        <w:rPr>
          <w:rFonts w:ascii="Calibri" w:hAnsi="Calibri"/>
          <w:b/>
          <w:color w:val="2563EB"/>
          <w:sz w:val="20"/>
        </w:rPr>
        <w:t>FREE GUIDE | 2026 EDITION</w:t>
      </w:r>
    </w:p>
    <w:p>
      <w:pPr>
        <w:spacing w:before="80" w:after="80"/>
        <w:pBdr>
          <w:bottom w:val="single" w:sz="8" w:space="1" w:color="2563EB"/>
        </w:pBdr>
      </w:pPr>
    </w:p>
    <w:p>
      <w:pPr>
        <w:spacing w:before="480" w:after="240"/>
      </w:pPr>
      <w:r>
        <w:rPr>
          <w:rFonts w:ascii="Calibri" w:hAnsi="Calibri"/>
          <w:b/>
          <w:color w:val="0F172A"/>
          <w:sz w:val="56"/>
        </w:rPr>
        <w:t>The Agent Revolution: Why Your SaaS Stack Is About to Become Obsolete</w:t>
      </w:r>
    </w:p>
    <w:p>
      <w:pPr>
        <w:spacing w:before="0" w:after="200" w:line="320" w:lineRule="exact"/>
        <w:jc w:val="left"/>
      </w:pPr>
      <w:r>
        <w:rPr>
          <w:rFonts w:ascii="Calibri" w:hAnsi="Calibri"/>
          <w:color w:val="64748B"/>
          <w:sz w:val="26"/>
        </w:rPr>
        <w:t>How smart businesses are replacing dashboard-heavy tools with AI agents that actually do the work, based on Gartner's prediction that 25% of enterprises will deploy agents by 2026.</w:t>
      </w:r>
    </w:p>
    <w:p>
      <w:pPr>
        <w:spacing w:before="80" w:after="80"/>
        <w:pBdr>
          <w:bottom w:val="single" w:sz="4" w:space="1" w:color="CBD5E1"/>
        </w:pBdr>
      </w:pPr>
    </w:p>
    <w:p>
      <w:pPr>
        <w:spacing w:before="240" w:after="0"/>
      </w:pPr>
      <w:r>
        <w:rPr>
          <w:rFonts w:ascii="Calibri" w:hAnsi="Calibri"/>
          <w:b/>
          <w:color w:val="0F172A"/>
          <w:sz w:val="22"/>
        </w:rPr>
        <w:t>By Ziv Raviv</w:t>
      </w:r>
    </w:p>
    <w:p>
      <w:pPr>
        <w:spacing w:before="40" w:after="0"/>
      </w:pPr>
      <w:r>
        <w:rPr>
          <w:rFonts w:ascii="Calibri" w:hAnsi="Calibri"/>
          <w:color w:val="2563EB"/>
          <w:sz w:val="20"/>
        </w:rPr>
        <w:t>zivraviv.com</w:t>
      </w:r>
    </w:p>
    <w:p>
      <w:r>
        <w:br w:type="page"/>
      </w:r>
    </w:p>
    <w:p>
      <w:pPr>
        <w:spacing w:before="480" w:after="240"/>
      </w:pPr>
      <w:r>
        <w:rPr>
          <w:rFonts w:ascii="Calibri" w:hAnsi="Calibri"/>
          <w:b/>
          <w:color w:val="0F172A"/>
          <w:sz w:val="40"/>
        </w:rPr>
        <w:t>The $50,000 Dashboard Problem</w:t>
      </w:r>
    </w:p>
    <w:p>
      <w:pPr>
        <w:spacing w:before="0" w:after="120" w:line="320" w:lineRule="exact"/>
        <w:jc w:val="left"/>
      </w:pPr>
      <w:r>
        <w:rPr>
          <w:rFonts w:ascii="Calibri" w:hAnsi="Calibri"/>
          <w:color w:val="1E293B"/>
          <w:sz w:val="22"/>
        </w:rPr>
        <w:t>Salesforce Agentforce processed over 1 billion autonomous agent actions in its first 90 days. Not views. Not clicks. Not reports. Actions.</w:t>
      </w:r>
    </w:p>
    <w:p>
      <w:pPr>
        <w:spacing w:before="0" w:after="120" w:line="320" w:lineRule="exact"/>
        <w:jc w:val="left"/>
      </w:pPr>
      <w:r>
        <w:rPr>
          <w:rFonts w:ascii="Calibri" w:hAnsi="Calibri"/>
          <w:color w:val="1E293B"/>
          <w:sz w:val="22"/>
        </w:rPr>
        <w:t>While most businesses were still debating which dashboard looked prettier, early adopters were deploying AI agents that actually completed tasks. They weren't just seeing their customer service metrics—their agents were resolving tickets. They weren't just tracking lead scores—their agents were qualifying prospects and booking meetings.</w:t>
      </w:r>
    </w:p>
    <w:p>
      <w:pPr>
        <w:spacing w:before="0" w:after="120" w:line="320" w:lineRule="exact"/>
        <w:jc w:val="left"/>
      </w:pPr>
      <w:r>
        <w:rPr>
          <w:rFonts w:ascii="Calibri" w:hAnsi="Calibri"/>
          <w:color w:val="1E293B"/>
          <w:sz w:val="22"/>
        </w:rPr>
        <w:t>Meanwhile, the average mid-size company now uses 137 SaaS applications, up from 80 in 2020, according to Productiv's 2024 SaaS Management Index. Each tool promises better visibility, cleaner data, more insights. But here's what nobody talks about: 68% of SaaS spend is wasted on unused or underused licenses, per Zylo's State of SaaS Report.</w:t>
      </w:r>
    </w:p>
    <w:p>
      <w:pPr>
        <w:spacing w:before="0" w:after="120" w:line="320" w:lineRule="exact"/>
        <w:jc w:val="left"/>
      </w:pPr>
      <w:r>
        <w:rPr>
          <w:rFonts w:ascii="Calibri" w:hAnsi="Calibri"/>
          <w:color w:val="1E293B"/>
          <w:sz w:val="22"/>
        </w:rPr>
        <w:t>You're not alone if you're drowning in dashboards while your actual work piles up. The problem isn't that you need better tools—it's that you're still buying tools designed for the last decade. While you're comparing feature matrices and integration capabilities, your competitors are deploying agents that eliminate the need for half your stack.</w:t>
      </w:r>
    </w:p>
    <w:p>
      <w:pPr>
        <w:spacing w:before="0" w:after="120" w:line="320" w:lineRule="exact"/>
        <w:jc w:val="left"/>
      </w:pPr>
      <w:r>
        <w:rPr>
          <w:rFonts w:ascii="Calibri" w:hAnsi="Calibri"/>
          <w:color w:val="1E293B"/>
          <w:sz w:val="22"/>
        </w:rPr>
        <w:t>Gartner predicts 25% of enterprises will deploy AI agents by end of 2026, up from less than 2% in 2024. The question isn't whether this shift will happen—it's whether you'll lead it or get left behind.</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FFBEB" w:val="clear"/>
            <w:tcMar>
              <w:top w:w="100" w:type="dxa"/>
              <w:bottom w:w="100" w:type="dxa"/>
              <w:start w:w="160" w:type="dxa"/>
              <w:end w:w="160" w:type="dxa"/>
            </w:tcMar>
            <w:tcBorders>
              <w:top w:val="single" w:sz="2" w:color="FFCCEB" w:space="0"/>
              <w:bottom w:val="single" w:sz="2" w:color="FFCCEB" w:space="0"/>
              <w:start w:val="single" w:sz="2" w:color="FFCCEB" w:space="0"/>
              <w:end w:val="single" w:sz="2" w:color="FFCCEB" w:space="0"/>
            </w:tcBorders>
          </w:tcPr>
          <w:p>
            <w:pPr>
              <w:spacing w:after="0" w:before="0"/>
            </w:pPr>
            <w:r>
              <w:rPr>
                <w:rFonts w:ascii="Calibri" w:hAnsi="Calibri"/>
                <w:b/>
                <w:color w:val="78350F"/>
                <w:sz w:val="20"/>
              </w:rPr>
              <w:t xml:space="preserve">KEY INSIGHT:  </w:t>
            </w:r>
            <w:r>
              <w:rPr>
                <w:rFonts w:ascii="Calibri" w:hAnsi="Calibri"/>
                <w:color w:val="78350F"/>
                <w:sz w:val="20"/>
              </w:rPr>
              <w:t>The next competitive advantage isn't better dashboards—it's fewer tools that actually execute work instead of just reporting on it.</w:t>
            </w:r>
          </w:p>
        </w:tc>
      </w:tr>
    </w:tbl>
    <w:p>
      <w:pPr>
        <w:spacing w:before="480" w:after="240"/>
      </w:pPr>
      <w:r>
        <w:rPr>
          <w:rFonts w:ascii="Calibri" w:hAnsi="Calibri"/>
          <w:b/>
          <w:color w:val="0F172A"/>
          <w:sz w:val="40"/>
        </w:rPr>
        <w:t>Your 15-Minute SaaS Stack Audit</w:t>
      </w:r>
    </w:p>
    <w:p>
      <w:pPr>
        <w:spacing w:before="0" w:after="240" w:line="320" w:lineRule="exact"/>
        <w:jc w:val="left"/>
      </w:pPr>
      <w:r>
        <w:rPr>
          <w:rFonts w:ascii="Calibri" w:hAnsi="Calibri"/>
          <w:color w:val="1E293B"/>
          <w:sz w:val="22"/>
        </w:rPr>
        <w:t>List your current SaaS tools and categorize each one as either a 'Doer' (completes tasks) or 'Shower' (displays information). This exercise will reveal how much you're spending on digital paperweights.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EFF6FF" w:val="clear"/>
            <w:tcMar>
              <w:top w:w="60" w:type="dxa"/>
              <w:bottom w:w="60" w:type="dxa"/>
              <w:start w:w="100" w:type="dxa"/>
              <w:end w:w="100" w:type="dxa"/>
            </w:tcMar>
            <w:tcBorders>
              <w:top w:val="single" w:sz="4" w:color="93C5FD" w:space="0"/>
              <w:bottom w:val="single" w:sz="4" w:color="93C5FD" w:space="0"/>
              <w:start w:val="single" w:sz="4" w:color="93C5FD" w:space="0"/>
              <w:end w:val="single" w:sz="4" w:color="93C5FD" w:space="0"/>
            </w:tcBorders>
          </w:tcPr>
          <w:p>
            <w:r>
              <w:rPr>
                <w:rFonts w:ascii="Calibri" w:hAnsi="Calibri"/>
                <w:b/>
                <w:color w:val="1E3A8A"/>
                <w:sz w:val="20"/>
              </w:rPr>
              <w:t>Tool Name</w:t>
            </w:r>
          </w:p>
        </w:tc>
        <w:tc>
          <w:tcPr>
            <w:tcW w:type="dxa" w:w="1872"/>
            <w:shd w:fill="EFF6FF" w:val="clear"/>
            <w:tcMar>
              <w:top w:w="60" w:type="dxa"/>
              <w:bottom w:w="60" w:type="dxa"/>
              <w:start w:w="100" w:type="dxa"/>
              <w:end w:w="100" w:type="dxa"/>
            </w:tcMar>
            <w:tcBorders>
              <w:top w:val="single" w:sz="4" w:color="93C5FD" w:space="0"/>
              <w:bottom w:val="single" w:sz="4" w:color="93C5FD" w:space="0"/>
              <w:start w:val="single" w:sz="4" w:color="93C5FD" w:space="0"/>
              <w:end w:val="single" w:sz="4" w:color="93C5FD" w:space="0"/>
            </w:tcBorders>
          </w:tcPr>
          <w:p>
            <w:r>
              <w:rPr>
                <w:rFonts w:ascii="Calibri" w:hAnsi="Calibri"/>
                <w:b/>
                <w:color w:val="1E3A8A"/>
                <w:sz w:val="20"/>
              </w:rPr>
              <w:t>Monthly Cost</w:t>
            </w:r>
          </w:p>
        </w:tc>
        <w:tc>
          <w:tcPr>
            <w:tcW w:type="dxa" w:w="1872"/>
            <w:shd w:fill="EFF6FF" w:val="clear"/>
            <w:tcMar>
              <w:top w:w="60" w:type="dxa"/>
              <w:bottom w:w="60" w:type="dxa"/>
              <w:start w:w="100" w:type="dxa"/>
              <w:end w:w="100" w:type="dxa"/>
            </w:tcMar>
            <w:tcBorders>
              <w:top w:val="single" w:sz="4" w:color="93C5FD" w:space="0"/>
              <w:bottom w:val="single" w:sz="4" w:color="93C5FD" w:space="0"/>
              <w:start w:val="single" w:sz="4" w:color="93C5FD" w:space="0"/>
              <w:end w:val="single" w:sz="4" w:color="93C5FD" w:space="0"/>
            </w:tcBorders>
          </w:tcPr>
          <w:p>
            <w:r>
              <w:rPr>
                <w:rFonts w:ascii="Calibri" w:hAnsi="Calibri"/>
                <w:b/>
                <w:color w:val="1E3A8A"/>
                <w:sz w:val="20"/>
              </w:rPr>
              <w:t>Doer or Shower?</w:t>
            </w:r>
          </w:p>
        </w:tc>
        <w:tc>
          <w:tcPr>
            <w:tcW w:type="dxa" w:w="1872"/>
            <w:shd w:fill="EFF6FF" w:val="clear"/>
            <w:tcMar>
              <w:top w:w="60" w:type="dxa"/>
              <w:bottom w:w="60" w:type="dxa"/>
              <w:start w:w="100" w:type="dxa"/>
              <w:end w:w="100" w:type="dxa"/>
            </w:tcMar>
            <w:tcBorders>
              <w:top w:val="single" w:sz="4" w:color="93C5FD" w:space="0"/>
              <w:bottom w:val="single" w:sz="4" w:color="93C5FD" w:space="0"/>
              <w:start w:val="single" w:sz="4" w:color="93C5FD" w:space="0"/>
              <w:end w:val="single" w:sz="4" w:color="93C5FD" w:space="0"/>
            </w:tcBorders>
          </w:tcPr>
          <w:p>
            <w:r>
              <w:rPr>
                <w:rFonts w:ascii="Calibri" w:hAnsi="Calibri"/>
                <w:b/>
                <w:color w:val="1E3A8A"/>
                <w:sz w:val="20"/>
              </w:rPr>
              <w:t>Could an Agent Replace This?</w:t>
            </w:r>
          </w:p>
        </w:tc>
        <w:tc>
          <w:tcPr>
            <w:tcW w:type="dxa" w:w="1872"/>
            <w:shd w:fill="EFF6FF" w:val="clear"/>
            <w:tcMar>
              <w:top w:w="60" w:type="dxa"/>
              <w:bottom w:w="60" w:type="dxa"/>
              <w:start w:w="100" w:type="dxa"/>
              <w:end w:w="100" w:type="dxa"/>
            </w:tcMar>
            <w:tcBorders>
              <w:top w:val="single" w:sz="4" w:color="93C5FD" w:space="0"/>
              <w:bottom w:val="single" w:sz="4" w:color="93C5FD" w:space="0"/>
              <w:start w:val="single" w:sz="4" w:color="93C5FD" w:space="0"/>
              <w:end w:val="single" w:sz="4" w:color="93C5FD" w:space="0"/>
            </w:tcBorders>
          </w:tcPr>
          <w:p>
            <w:r>
              <w:rPr>
                <w:rFonts w:ascii="Calibri" w:hAnsi="Calibri"/>
                <w:b/>
                <w:color w:val="1E3A8A"/>
                <w:sz w:val="20"/>
              </w:rPr>
              <w:t>Replacement Priority (1-5)</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r>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c>
          <w:tcPr>
            <w:tcW w:type="dxa" w:w="1872"/>
            <w:shd w:fill="FFFFFF" w:val="clear"/>
            <w:tcMar>
              <w:top w:w="50" w:type="dxa"/>
              <w:bottom w:w="50" w:type="dxa"/>
              <w:start w:w="100" w:type="dxa"/>
              <w:end w:w="100" w:type="dxa"/>
            </w:tcMar>
            <w:tcBorders>
              <w:top w:val="single" w:sz="2" w:color="CBD5E1" w:space="0"/>
              <w:bottom w:val="single" w:sz="2" w:color="CBD5E1" w:space="0"/>
              <w:start w:val="single" w:sz="2" w:color="CBD5E1" w:space="0"/>
              <w:end w:val="single" w:sz="2" w:color="CBD5E1" w:space="0"/>
            </w:tcBorders>
          </w:tcPr>
          <w:p>
            <w:r>
              <w:rPr>
                <w:rFonts w:ascii="Calibri" w:hAnsi="Calibri"/>
                <w:color w:val="1E293B"/>
                <w:sz w:val="20"/>
              </w:rPr>
              <w:t xml:space="preserve"> </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FFBEB" w:val="clear"/>
            <w:tcMar>
              <w:top w:w="100" w:type="dxa"/>
              <w:bottom w:w="100" w:type="dxa"/>
              <w:start w:w="160" w:type="dxa"/>
              <w:end w:w="160" w:type="dxa"/>
            </w:tcMar>
            <w:tcBorders>
              <w:top w:val="single" w:sz="2" w:color="FFCCEB" w:space="0"/>
              <w:bottom w:val="single" w:sz="2" w:color="FFCCEB" w:space="0"/>
              <w:start w:val="single" w:sz="2" w:color="FFCCEB" w:space="0"/>
              <w:end w:val="single" w:sz="2" w:color="FFCCEB" w:space="0"/>
            </w:tcBorders>
          </w:tcPr>
          <w:p>
            <w:pPr>
              <w:spacing w:after="0" w:before="0"/>
            </w:pPr>
            <w:r>
              <w:rPr>
                <w:rFonts w:ascii="Calibri" w:hAnsi="Calibri"/>
                <w:b/>
                <w:color w:val="78350F"/>
                <w:sz w:val="20"/>
              </w:rPr>
              <w:t xml:space="preserve">WHAT YOU'LL LEARN:  </w:t>
            </w:r>
            <w:r>
              <w:rPr>
                <w:rFonts w:ascii="Calibri" w:hAnsi="Calibri"/>
                <w:color w:val="78350F"/>
                <w:sz w:val="20"/>
              </w:rPr>
              <w:t>You'll discover exactly how much of your stack is pure overhead and identify your highest-impact agent opportunities.</w:t>
            </w:r>
          </w:p>
        </w:tc>
      </w:tr>
    </w:tbl>
    <w:p>
      <w:pPr>
        <w:spacing w:before="480" w:after="240"/>
      </w:pPr>
      <w:r>
        <w:rPr>
          <w:rFonts w:ascii="Calibri" w:hAnsi="Calibri"/>
          <w:b/>
          <w:color w:val="0F172A"/>
          <w:sz w:val="40"/>
        </w:rPr>
        <w:t>Dashboard Thinking vs. Agent Thinking</w:t>
      </w:r>
    </w:p>
    <w:tbl>
      <w:tblPr>
        <w:tblW w:type="auto" w:w="0"/>
        <w:jc w:val="center"/>
        <w:tblLook w:firstColumn="1" w:firstRow="1" w:lastColumn="0" w:lastRow="0" w:noHBand="0" w:noVBand="1" w:val="04A0"/>
      </w:tblPr>
      <w:tblGrid>
        <w:gridCol w:w="4680"/>
        <w:gridCol w:w="4680"/>
      </w:tblGrid>
      <w:tr>
        <w:tc>
          <w:tcPr>
            <w:tcW w:type="dxa" w:w="4680"/>
            <w:shd w:fill="FEF2F2" w:val="clear"/>
            <w:tcMar>
              <w:top w:w="60" w:type="dxa"/>
              <w:bottom w:w="6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color w:val="991B1B"/>
                <w:sz w:val="24"/>
              </w:rPr>
              <w:t>✗ Dashboard-First Approach</w:t>
            </w:r>
          </w:p>
        </w:tc>
        <w:tc>
          <w:tcPr>
            <w:tcW w:type="dxa" w:w="4680"/>
            <w:shd w:fill="F0FDF4" w:val="clear"/>
            <w:tcMar>
              <w:top w:w="60" w:type="dxa"/>
              <w:bottom w:w="6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color w:val="166534"/>
                <w:sz w:val="24"/>
              </w:rPr>
              <w:t>✓ Agent-First Approach</w:t>
            </w:r>
          </w:p>
        </w:tc>
      </w:tr>
      <w:tr>
        <w:tc>
          <w:tcPr>
            <w:tcW w:type="dxa" w:w="4680"/>
            <w:shd w:fill="FEF2F2"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991B1B"/>
                <w:sz w:val="20"/>
              </w:rPr>
              <w:t>✗ Buy tools to see what's happening</w:t>
            </w:r>
          </w:p>
        </w:tc>
        <w:tc>
          <w:tcPr>
            <w:tcW w:type="dxa" w:w="4680"/>
            <w:shd w:fill="F0FDF4"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66534"/>
                <w:sz w:val="20"/>
              </w:rPr>
              <w:t>✓ Deploy agents to handle the work directly</w:t>
            </w:r>
          </w:p>
        </w:tc>
      </w:tr>
      <w:tr>
        <w:tc>
          <w:tcPr>
            <w:tcW w:type="dxa" w:w="4680"/>
            <w:shd w:fill="FEF2F2"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991B1B"/>
                <w:sz w:val="20"/>
              </w:rPr>
              <w:t>✗ Hire people to interpret the data</w:t>
            </w:r>
          </w:p>
        </w:tc>
        <w:tc>
          <w:tcPr>
            <w:tcW w:type="dxa" w:w="4680"/>
            <w:shd w:fill="F0FDF4"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66534"/>
                <w:sz w:val="20"/>
              </w:rPr>
              <w:t>✓ Set parameters for autonomous decision-making</w:t>
            </w:r>
          </w:p>
        </w:tc>
      </w:tr>
      <w:tr>
        <w:tc>
          <w:tcPr>
            <w:tcW w:type="dxa" w:w="4680"/>
            <w:shd w:fill="FEF2F2"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991B1B"/>
                <w:sz w:val="20"/>
              </w:rPr>
              <w:t>✗ Create processes to act on insights</w:t>
            </w:r>
          </w:p>
        </w:tc>
        <w:tc>
          <w:tcPr>
            <w:tcW w:type="dxa" w:w="4680"/>
            <w:shd w:fill="F0FDF4"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66534"/>
                <w:sz w:val="20"/>
              </w:rPr>
              <w:t>✓ Monitor outcomes, not activities</w:t>
            </w:r>
          </w:p>
        </w:tc>
      </w:tr>
      <w:tr>
        <w:tc>
          <w:tcPr>
            <w:tcW w:type="dxa" w:w="4680"/>
            <w:shd w:fill="FEF2F2"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991B1B"/>
                <w:sz w:val="20"/>
              </w:rPr>
              <w:t>✗ Add more integrations when things break</w:t>
            </w:r>
          </w:p>
        </w:tc>
        <w:tc>
          <w:tcPr>
            <w:tcW w:type="dxa" w:w="4680"/>
            <w:shd w:fill="F0FDF4" w:val="clear"/>
            <w:tcMar>
              <w:top w:w="40" w:type="dxa"/>
              <w:bottom w:w="4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66534"/>
                <w:sz w:val="20"/>
              </w:rPr>
              <w:t>✓ Reduce tool count as agents take over functions</w:t>
            </w:r>
          </w:p>
        </w:tc>
      </w:tr>
    </w:tbl>
    <w:p>
      <w:pPr>
        <w:spacing w:before="480" w:after="240"/>
      </w:pPr>
      <w:r>
        <w:rPr>
          <w:rFonts w:ascii="Calibri" w:hAnsi="Calibri"/>
          <w:b/>
          <w:color w:val="0F172A"/>
          <w:sz w:val="40"/>
        </w:rPr>
        <w:t>The AGENT Framework: From Dashboard Dependency to Autonomous Operations</w:t>
      </w:r>
    </w:p>
    <w:p>
      <w:pPr>
        <w:spacing w:before="0" w:after="120" w:line="320" w:lineRule="exact"/>
        <w:jc w:val="left"/>
      </w:pPr>
      <w:r>
        <w:rPr>
          <w:rFonts w:ascii="Calibri" w:hAnsi="Calibri"/>
          <w:color w:val="1E293B"/>
          <w:sz w:val="22"/>
        </w:rPr>
        <w:t>This framework helps you transition from a dashboard-heavy operation to an agent-powered one. Each step builds on the previous, moving you from passive monitoring to active automation.</w:t>
      </w:r>
    </w:p>
    <w:p>
      <w:pPr>
        <w:spacing w:before="360" w:after="160"/>
      </w:pPr>
      <w:r>
        <w:rPr>
          <w:rFonts w:ascii="Calibri" w:hAnsi="Calibri"/>
          <w:b/>
          <w:color w:val="2563EB"/>
          <w:sz w:val="30"/>
        </w:rPr>
        <w:t xml:space="preserve">1. </w:t>
      </w:r>
      <w:r>
        <w:rPr>
          <w:rFonts w:ascii="Calibri" w:hAnsi="Calibri"/>
          <w:b/>
          <w:color w:val="0F172A"/>
          <w:sz w:val="30"/>
        </w:rPr>
        <w:t>Assess Your Automation Readiness</w:t>
      </w:r>
    </w:p>
    <w:p>
      <w:pPr>
        <w:spacing w:before="0" w:after="120" w:line="320" w:lineRule="exact"/>
        <w:jc w:val="left"/>
      </w:pPr>
      <w:r>
        <w:rPr>
          <w:rFonts w:ascii="Calibri" w:hAnsi="Calibri"/>
          <w:color w:val="1E293B"/>
          <w:sz w:val="22"/>
        </w:rPr>
        <w:t>Before deploying agents, you need to understand which of your current processes are actually automatable. Not everything that can be dashboarded can be automated—but more can be automated than you think.</w:t>
      </w:r>
    </w:p>
    <w:p>
      <w:pPr>
        <w:spacing w:before="40" w:after="80"/>
        <w:ind w:left="360" w:hanging="280"/>
      </w:pPr>
      <w:r>
        <w:rPr>
          <w:rFonts w:ascii="Calibri" w:hAnsi="Calibri"/>
          <w:color w:val="2563EB"/>
          <w:sz w:val="22"/>
        </w:rPr>
        <w:t xml:space="preserve">•  </w:t>
      </w:r>
      <w:r>
        <w:rPr>
          <w:rFonts w:ascii="Calibri" w:hAnsi="Calibri"/>
          <w:color w:val="1E293B"/>
          <w:sz w:val="22"/>
        </w:rPr>
        <w:t>Identify repetitive tasks that follow clear rules</w:t>
      </w:r>
    </w:p>
    <w:p>
      <w:pPr>
        <w:spacing w:before="40" w:after="80"/>
        <w:ind w:left="360" w:hanging="280"/>
      </w:pPr>
      <w:r>
        <w:rPr>
          <w:rFonts w:ascii="Calibri" w:hAnsi="Calibri"/>
          <w:color w:val="2563EB"/>
          <w:sz w:val="22"/>
        </w:rPr>
        <w:t xml:space="preserve">•  </w:t>
      </w:r>
      <w:r>
        <w:rPr>
          <w:rFonts w:ascii="Calibri" w:hAnsi="Calibri"/>
          <w:color w:val="1E293B"/>
          <w:sz w:val="22"/>
        </w:rPr>
        <w:t>Map processes that require human judgment vs. simple execution</w:t>
      </w:r>
    </w:p>
    <w:p>
      <w:pPr>
        <w:spacing w:before="40" w:after="80"/>
        <w:ind w:left="360" w:hanging="280"/>
      </w:pPr>
      <w:r>
        <w:rPr>
          <w:rFonts w:ascii="Calibri" w:hAnsi="Calibri"/>
          <w:color w:val="2563EB"/>
          <w:sz w:val="22"/>
        </w:rPr>
        <w:t xml:space="preserve">•  </w:t>
      </w:r>
      <w:r>
        <w:rPr>
          <w:rFonts w:ascii="Calibri" w:hAnsi="Calibri"/>
          <w:color w:val="1E293B"/>
          <w:sz w:val="22"/>
        </w:rPr>
        <w:t>Calculate the true cost of manual work (time + opportunity cost)</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EFF6FF" w:val="clear"/>
            <w:tcMar>
              <w:top w:w="100" w:type="dxa"/>
              <w:bottom w:w="100" w:type="dxa"/>
              <w:start w:w="160" w:type="dxa"/>
              <w:end w:w="160" w:type="dxa"/>
            </w:tcMar>
            <w:tcBorders>
              <w:top w:val="single" w:sz="2" w:color="EFCCFF" w:space="0"/>
              <w:bottom w:val="single" w:sz="2" w:color="EFCCFF" w:space="0"/>
              <w:start w:val="single" w:sz="2" w:color="EFCCFF" w:space="0"/>
              <w:end w:val="single" w:sz="2" w:color="EFCCFF" w:space="0"/>
            </w:tcBorders>
          </w:tcPr>
          <w:p>
            <w:pPr>
              <w:spacing w:after="0" w:before="0"/>
            </w:pPr>
            <w:r>
              <w:rPr>
                <w:rFonts w:ascii="Calibri" w:hAnsi="Calibri"/>
                <w:b/>
                <w:color w:val="1E3A8A"/>
                <w:sz w:val="20"/>
              </w:rPr>
              <w:t xml:space="preserve">ACTION:  </w:t>
            </w:r>
            <w:r>
              <w:rPr>
                <w:rFonts w:ascii="Calibri" w:hAnsi="Calibri"/>
                <w:color w:val="1E3A8A"/>
                <w:sz w:val="20"/>
              </w:rPr>
              <w:t>Complete the Process Automation Scorecard below, rating each major business process on complexity (1-5) and repetition frequency (1-5).</w:t>
            </w:r>
          </w:p>
        </w:tc>
      </w:tr>
    </w:tbl>
    <w:p>
      <w:pPr>
        <w:spacing w:before="360" w:after="160"/>
      </w:pPr>
      <w:r>
        <w:rPr>
          <w:rFonts w:ascii="Calibri" w:hAnsi="Calibri"/>
          <w:b/>
          <w:color w:val="2563EB"/>
          <w:sz w:val="30"/>
        </w:rPr>
        <w:t xml:space="preserve">2. </w:t>
      </w:r>
      <w:r>
        <w:rPr>
          <w:rFonts w:ascii="Calibri" w:hAnsi="Calibri"/>
          <w:b/>
          <w:color w:val="0F172A"/>
          <w:sz w:val="30"/>
        </w:rPr>
        <w:t>Gather Your Current Tool Inventory</w:t>
      </w:r>
    </w:p>
    <w:p>
      <w:pPr>
        <w:spacing w:before="0" w:after="120" w:line="320" w:lineRule="exact"/>
        <w:jc w:val="left"/>
      </w:pPr>
      <w:r>
        <w:rPr>
          <w:rFonts w:ascii="Calibri" w:hAnsi="Calibri"/>
          <w:color w:val="1E293B"/>
          <w:sz w:val="22"/>
        </w:rPr>
        <w:t>Most businesses have no idea how many tools they're actually paying for. Before you can replace them with agents, you need a complete picture of your current stack and what each tool actually does.</w:t>
      </w:r>
    </w:p>
    <w:p>
      <w:pPr>
        <w:spacing w:before="40" w:after="80"/>
        <w:ind w:left="360" w:hanging="280"/>
      </w:pPr>
      <w:r>
        <w:rPr>
          <w:rFonts w:ascii="Calibri" w:hAnsi="Calibri"/>
          <w:color w:val="2563EB"/>
          <w:sz w:val="22"/>
        </w:rPr>
        <w:t xml:space="preserve">•  </w:t>
      </w:r>
      <w:r>
        <w:rPr>
          <w:rFonts w:ascii="Calibri" w:hAnsi="Calibri"/>
          <w:color w:val="1E293B"/>
          <w:sz w:val="22"/>
        </w:rPr>
        <w:t>Audit all recurring SaaS subscriptions (check your credit card statements)</w:t>
      </w:r>
    </w:p>
    <w:p>
      <w:pPr>
        <w:spacing w:before="40" w:after="80"/>
        <w:ind w:left="360" w:hanging="280"/>
      </w:pPr>
      <w:r>
        <w:rPr>
          <w:rFonts w:ascii="Calibri" w:hAnsi="Calibri"/>
          <w:color w:val="2563EB"/>
          <w:sz w:val="22"/>
        </w:rPr>
        <w:t xml:space="preserve">•  </w:t>
      </w:r>
      <w:r>
        <w:rPr>
          <w:rFonts w:ascii="Calibri" w:hAnsi="Calibri"/>
          <w:color w:val="1E293B"/>
          <w:sz w:val="22"/>
        </w:rPr>
        <w:t>Document what each tool is supposed to do vs. what it actually gets used for</w:t>
      </w:r>
    </w:p>
    <w:p>
      <w:pPr>
        <w:spacing w:before="40" w:after="80"/>
        <w:ind w:left="360" w:hanging="280"/>
      </w:pPr>
      <w:r>
        <w:rPr>
          <w:rFonts w:ascii="Calibri" w:hAnsi="Calibri"/>
          <w:color w:val="2563EB"/>
          <w:sz w:val="22"/>
        </w:rPr>
        <w:t xml:space="preserve">•  </w:t>
      </w:r>
      <w:r>
        <w:rPr>
          <w:rFonts w:ascii="Calibri" w:hAnsi="Calibri"/>
          <w:color w:val="1E293B"/>
          <w:sz w:val="22"/>
        </w:rPr>
        <w:t>Identify overlap and redundancy between tools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EFF6FF" w:val="clear"/>
            <w:tcMar>
              <w:top w:w="100" w:type="dxa"/>
              <w:bottom w:w="100" w:type="dxa"/>
              <w:start w:w="160" w:type="dxa"/>
              <w:end w:w="160" w:type="dxa"/>
            </w:tcMar>
            <w:tcBorders>
              <w:top w:val="single" w:sz="2" w:color="EFCCFF" w:space="0"/>
              <w:bottom w:val="single" w:sz="2" w:color="EFCCFF" w:space="0"/>
              <w:start w:val="single" w:sz="2" w:color="EFCCFF" w:space="0"/>
              <w:end w:val="single" w:sz="2" w:color="EFCCFF" w:space="0"/>
            </w:tcBorders>
          </w:tcPr>
          <w:p>
            <w:pPr>
              <w:spacing w:after="0" w:before="0"/>
            </w:pPr>
            <w:r>
              <w:rPr>
                <w:rFonts w:ascii="Calibri" w:hAnsi="Calibri"/>
                <w:b/>
                <w:color w:val="1E3A8A"/>
                <w:sz w:val="20"/>
              </w:rPr>
              <w:t xml:space="preserve">ACTION:  </w:t>
            </w:r>
            <w:r>
              <w:rPr>
                <w:rFonts w:ascii="Calibri" w:hAnsi="Calibri"/>
                <w:color w:val="1E3A8A"/>
                <w:sz w:val="20"/>
              </w:rPr>
              <w:t>Use your completed Quick Win table and expand it into a comprehensive tool inventory with usage data from the last 90 days.</w:t>
            </w:r>
          </w:p>
        </w:tc>
      </w:tr>
    </w:tbl>
    <w:p>
      <w:pPr>
        <w:spacing w:before="360" w:after="160"/>
      </w:pPr>
      <w:r>
        <w:rPr>
          <w:rFonts w:ascii="Calibri" w:hAnsi="Calibri"/>
          <w:b/>
          <w:color w:val="2563EB"/>
          <w:sz w:val="30"/>
        </w:rPr>
        <w:t xml:space="preserve">3. </w:t>
      </w:r>
      <w:r>
        <w:rPr>
          <w:rFonts w:ascii="Calibri" w:hAnsi="Calibri"/>
          <w:b/>
          <w:color w:val="0F172A"/>
          <w:sz w:val="30"/>
        </w:rPr>
        <w:t>Evaluate Agent Replacement Opportunities</w:t>
      </w:r>
    </w:p>
    <w:p>
      <w:pPr>
        <w:spacing w:before="0" w:after="120" w:line="320" w:lineRule="exact"/>
        <w:jc w:val="left"/>
      </w:pPr>
      <w:r>
        <w:rPr>
          <w:rFonts w:ascii="Calibri" w:hAnsi="Calibri"/>
          <w:color w:val="1E293B"/>
          <w:sz w:val="22"/>
        </w:rPr>
        <w:t>Not every dashboard needs to become an agent, but every agent opportunity should replace multiple dashboards. Look for tools that primarily show you information about work that could be automated.</w:t>
      </w:r>
    </w:p>
    <w:p>
      <w:pPr>
        <w:spacing w:before="40" w:after="80"/>
        <w:ind w:left="360" w:hanging="280"/>
      </w:pPr>
      <w:r>
        <w:rPr>
          <w:rFonts w:ascii="Calibri" w:hAnsi="Calibri"/>
          <w:color w:val="2563EB"/>
          <w:sz w:val="22"/>
        </w:rPr>
        <w:t xml:space="preserve">•  </w:t>
      </w:r>
      <w:r>
        <w:rPr>
          <w:rFonts w:ascii="Calibri" w:hAnsi="Calibri"/>
          <w:color w:val="1E293B"/>
          <w:sz w:val="22"/>
        </w:rPr>
        <w:t>Prioritize tools that require daily manual follow-up actions</w:t>
      </w:r>
    </w:p>
    <w:p>
      <w:pPr>
        <w:spacing w:before="40" w:after="80"/>
        <w:ind w:left="360" w:hanging="280"/>
      </w:pPr>
      <w:r>
        <w:rPr>
          <w:rFonts w:ascii="Calibri" w:hAnsi="Calibri"/>
          <w:color w:val="2563EB"/>
          <w:sz w:val="22"/>
        </w:rPr>
        <w:t xml:space="preserve">•  </w:t>
      </w:r>
      <w:r>
        <w:rPr>
          <w:rFonts w:ascii="Calibri" w:hAnsi="Calibri"/>
          <w:color w:val="1E293B"/>
          <w:sz w:val="22"/>
        </w:rPr>
        <w:t>Focus on processes where the 'insight' always leads to the same action</w:t>
      </w:r>
    </w:p>
    <w:p>
      <w:pPr>
        <w:spacing w:before="40" w:after="80"/>
        <w:ind w:left="360" w:hanging="280"/>
      </w:pPr>
      <w:r>
        <w:rPr>
          <w:rFonts w:ascii="Calibri" w:hAnsi="Calibri"/>
          <w:color w:val="2563EB"/>
          <w:sz w:val="22"/>
        </w:rPr>
        <w:t xml:space="preserve">•  </w:t>
      </w:r>
      <w:r>
        <w:rPr>
          <w:rFonts w:ascii="Calibri" w:hAnsi="Calibri"/>
          <w:color w:val="1E293B"/>
          <w:sz w:val="22"/>
        </w:rPr>
        <w:t>Consider tools where you're paying for seats that just view reports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EFF6FF" w:val="clear"/>
            <w:tcMar>
              <w:top w:w="100" w:type="dxa"/>
              <w:bottom w:w="100" w:type="dxa"/>
              <w:start w:w="160" w:type="dxa"/>
              <w:end w:w="160" w:type="dxa"/>
            </w:tcMar>
            <w:tcBorders>
              <w:top w:val="single" w:sz="2" w:color="EFCCFF" w:space="0"/>
              <w:bottom w:val="single" w:sz="2" w:color="EFCCFF" w:space="0"/>
              <w:start w:val="single" w:sz="2" w:color="EFCCFF" w:space="0"/>
              <w:end w:val="single" w:sz="2" w:color="EFCCFF" w:space="0"/>
            </w:tcBorders>
          </w:tcPr>
          <w:p>
            <w:pPr>
              <w:spacing w:after="0" w:before="0"/>
            </w:pPr>
            <w:r>
              <w:rPr>
                <w:rFonts w:ascii="Calibri" w:hAnsi="Calibri"/>
                <w:b/>
                <w:color w:val="1E3A8A"/>
                <w:sz w:val="20"/>
              </w:rPr>
              <w:t xml:space="preserve">ACTION:  </w:t>
            </w:r>
            <w:r>
              <w:rPr>
                <w:rFonts w:ascii="Calibri" w:hAnsi="Calibri"/>
                <w:color w:val="1E3A8A"/>
                <w:sz w:val="20"/>
              </w:rPr>
              <w:t>Score each tool using the Agent Replacement Matrix: Impact (1-10) × Feasibility (1-10) = Priority Score.</w:t>
            </w:r>
          </w:p>
        </w:tc>
      </w:tr>
    </w:tbl>
    <w:p>
      <w:pPr>
        <w:spacing w:before="360" w:after="160"/>
      </w:pPr>
      <w:r>
        <w:rPr>
          <w:rFonts w:ascii="Calibri" w:hAnsi="Calibri"/>
          <w:b/>
          <w:color w:val="2563EB"/>
          <w:sz w:val="30"/>
        </w:rPr>
        <w:t xml:space="preserve">4. </w:t>
      </w:r>
      <w:r>
        <w:rPr>
          <w:rFonts w:ascii="Calibri" w:hAnsi="Calibri"/>
          <w:b/>
          <w:color w:val="0F172A"/>
          <w:sz w:val="30"/>
        </w:rPr>
        <w:t>Navigate Your First Agent Deployment</w:t>
      </w:r>
    </w:p>
    <w:p>
      <w:pPr>
        <w:spacing w:before="0" w:after="120" w:line="320" w:lineRule="exact"/>
        <w:jc w:val="left"/>
      </w:pPr>
      <w:r>
        <w:rPr>
          <w:rFonts w:ascii="Calibri" w:hAnsi="Calibri"/>
          <w:color w:val="1E293B"/>
          <w:sz w:val="22"/>
        </w:rPr>
        <w:t>Start with one high-impact, low-risk process. Your first agent deployment should prove the concept while delivering immediate value. Success here builds momentum for bigger transformations.</w:t>
      </w:r>
    </w:p>
    <w:p>
      <w:pPr>
        <w:spacing w:before="40" w:after="80"/>
        <w:ind w:left="360" w:hanging="280"/>
      </w:pPr>
      <w:r>
        <w:rPr>
          <w:rFonts w:ascii="Calibri" w:hAnsi="Calibri"/>
          <w:color w:val="2563EB"/>
          <w:sz w:val="22"/>
        </w:rPr>
        <w:t xml:space="preserve">•  </w:t>
      </w:r>
      <w:r>
        <w:rPr>
          <w:rFonts w:ascii="Calibri" w:hAnsi="Calibri"/>
          <w:color w:val="1E293B"/>
          <w:sz w:val="22"/>
        </w:rPr>
        <w:t>Choose a process that's currently manual but follows predictable rules</w:t>
      </w:r>
    </w:p>
    <w:p>
      <w:pPr>
        <w:spacing w:before="40" w:after="80"/>
        <w:ind w:left="360" w:hanging="280"/>
      </w:pPr>
      <w:r>
        <w:rPr>
          <w:rFonts w:ascii="Calibri" w:hAnsi="Calibri"/>
          <w:color w:val="2563EB"/>
          <w:sz w:val="22"/>
        </w:rPr>
        <w:t xml:space="preserve">•  </w:t>
      </w:r>
      <w:r>
        <w:rPr>
          <w:rFonts w:ascii="Calibri" w:hAnsi="Calibri"/>
          <w:color w:val="1E293B"/>
          <w:sz w:val="22"/>
        </w:rPr>
        <w:t>Ensure you have clear success metrics (time saved, errors reduced, etc.)</w:t>
      </w:r>
    </w:p>
    <w:p>
      <w:pPr>
        <w:spacing w:before="40" w:after="80"/>
        <w:ind w:left="360" w:hanging="280"/>
      </w:pPr>
      <w:r>
        <w:rPr>
          <w:rFonts w:ascii="Calibri" w:hAnsi="Calibri"/>
          <w:color w:val="2563EB"/>
          <w:sz w:val="22"/>
        </w:rPr>
        <w:t xml:space="preserve">•  </w:t>
      </w:r>
      <w:r>
        <w:rPr>
          <w:rFonts w:ascii="Calibri" w:hAnsi="Calibri"/>
          <w:color w:val="1E293B"/>
          <w:sz w:val="22"/>
        </w:rPr>
        <w:t>Plan for human oversight during the initial deployment phase</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EFF6FF" w:val="clear"/>
            <w:tcMar>
              <w:top w:w="100" w:type="dxa"/>
              <w:bottom w:w="100" w:type="dxa"/>
              <w:start w:w="160" w:type="dxa"/>
              <w:end w:w="160" w:type="dxa"/>
            </w:tcMar>
            <w:tcBorders>
              <w:top w:val="single" w:sz="2" w:color="EFCCFF" w:space="0"/>
              <w:bottom w:val="single" w:sz="2" w:color="EFCCFF" w:space="0"/>
              <w:start w:val="single" w:sz="2" w:color="EFCCFF" w:space="0"/>
              <w:end w:val="single" w:sz="2" w:color="EFCCFF" w:space="0"/>
            </w:tcBorders>
          </w:tcPr>
          <w:p>
            <w:pPr>
              <w:spacing w:after="0" w:before="0"/>
            </w:pPr>
            <w:r>
              <w:rPr>
                <w:rFonts w:ascii="Calibri" w:hAnsi="Calibri"/>
                <w:b/>
                <w:color w:val="1E3A8A"/>
                <w:sz w:val="20"/>
              </w:rPr>
              <w:t xml:space="preserve">ACTION:  </w:t>
            </w:r>
            <w:r>
              <w:rPr>
                <w:rFonts w:ascii="Calibri" w:hAnsi="Calibri"/>
                <w:color w:val="1E3A8A"/>
                <w:sz w:val="20"/>
              </w:rPr>
              <w:t>Select your highest-scoring opportunity and create a 30-day pilot plan with specific success criteria and rollback procedures.</w:t>
            </w:r>
          </w:p>
        </w:tc>
      </w:tr>
    </w:tbl>
    <w:p>
      <w:pPr>
        <w:spacing w:before="360" w:after="160"/>
      </w:pPr>
      <w:r>
        <w:rPr>
          <w:rFonts w:ascii="Calibri" w:hAnsi="Calibri"/>
          <w:b/>
          <w:color w:val="2563EB"/>
          <w:sz w:val="30"/>
        </w:rPr>
        <w:t xml:space="preserve">5. </w:t>
      </w:r>
      <w:r>
        <w:rPr>
          <w:rFonts w:ascii="Calibri" w:hAnsi="Calibri"/>
          <w:b/>
          <w:color w:val="0F172A"/>
          <w:sz w:val="30"/>
        </w:rPr>
        <w:t>Track True Business Impact</w:t>
      </w:r>
    </w:p>
    <w:p>
      <w:pPr>
        <w:spacing w:before="0" w:after="120" w:line="320" w:lineRule="exact"/>
        <w:jc w:val="left"/>
      </w:pPr>
      <w:r>
        <w:rPr>
          <w:rFonts w:ascii="Calibri" w:hAnsi="Calibri"/>
          <w:color w:val="1E293B"/>
          <w:sz w:val="22"/>
        </w:rPr>
        <w:t>Agent success isn't measured in dashboard metrics—it's measured in work completed and costs eliminated. Focus on outcomes, not activities.</w:t>
      </w:r>
    </w:p>
    <w:p>
      <w:pPr>
        <w:spacing w:before="40" w:after="80"/>
        <w:ind w:left="360" w:hanging="280"/>
      </w:pPr>
      <w:r>
        <w:rPr>
          <w:rFonts w:ascii="Calibri" w:hAnsi="Calibri"/>
          <w:color w:val="2563EB"/>
          <w:sz w:val="22"/>
        </w:rPr>
        <w:t xml:space="preserve">•  </w:t>
      </w:r>
      <w:r>
        <w:rPr>
          <w:rFonts w:ascii="Calibri" w:hAnsi="Calibri"/>
          <w:color w:val="1E293B"/>
          <w:sz w:val="22"/>
        </w:rPr>
        <w:t>Measure work completed, not just efficiency gains</w:t>
      </w:r>
    </w:p>
    <w:p>
      <w:pPr>
        <w:spacing w:before="40" w:after="80"/>
        <w:ind w:left="360" w:hanging="280"/>
      </w:pPr>
      <w:r>
        <w:rPr>
          <w:rFonts w:ascii="Calibri" w:hAnsi="Calibri"/>
          <w:color w:val="2563EB"/>
          <w:sz w:val="22"/>
        </w:rPr>
        <w:t xml:space="preserve">•  </w:t>
      </w:r>
      <w:r>
        <w:rPr>
          <w:rFonts w:ascii="Calibri" w:hAnsi="Calibri"/>
          <w:color w:val="1E293B"/>
          <w:sz w:val="22"/>
        </w:rPr>
        <w:t>Calculate total cost reduction (tools eliminated + time saved)</w:t>
      </w:r>
    </w:p>
    <w:p>
      <w:pPr>
        <w:spacing w:before="40" w:after="80"/>
        <w:ind w:left="360" w:hanging="280"/>
      </w:pPr>
      <w:r>
        <w:rPr>
          <w:rFonts w:ascii="Calibri" w:hAnsi="Calibri"/>
          <w:color w:val="2563EB"/>
          <w:sz w:val="22"/>
        </w:rPr>
        <w:t xml:space="preserve">•  </w:t>
      </w:r>
      <w:r>
        <w:rPr>
          <w:rFonts w:ascii="Calibri" w:hAnsi="Calibri"/>
          <w:color w:val="1E293B"/>
          <w:sz w:val="22"/>
        </w:rPr>
        <w:t>Track error rates and quality improvements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EFF6FF" w:val="clear"/>
            <w:tcMar>
              <w:top w:w="100" w:type="dxa"/>
              <w:bottom w:w="100" w:type="dxa"/>
              <w:start w:w="160" w:type="dxa"/>
              <w:end w:w="160" w:type="dxa"/>
            </w:tcMar>
            <w:tcBorders>
              <w:top w:val="single" w:sz="2" w:color="EFCCFF" w:space="0"/>
              <w:bottom w:val="single" w:sz="2" w:color="EFCCFF" w:space="0"/>
              <w:start w:val="single" w:sz="2" w:color="EFCCFF" w:space="0"/>
              <w:end w:val="single" w:sz="2" w:color="EFCCFF" w:space="0"/>
            </w:tcBorders>
          </w:tcPr>
          <w:p>
            <w:pPr>
              <w:spacing w:after="0" w:before="0"/>
            </w:pPr>
            <w:r>
              <w:rPr>
                <w:rFonts w:ascii="Calibri" w:hAnsi="Calibri"/>
                <w:b/>
                <w:color w:val="1E3A8A"/>
                <w:sz w:val="20"/>
              </w:rPr>
              <w:t xml:space="preserve">ACTION:  </w:t>
            </w:r>
            <w:r>
              <w:rPr>
                <w:rFonts w:ascii="Calibri" w:hAnsi="Calibri"/>
                <w:color w:val="1E3A8A"/>
                <w:sz w:val="20"/>
              </w:rPr>
              <w:t>Set up a simple tracking system that measures agent output in business terms: deals closed, tickets resolved, leads qualified, etc.</w:t>
            </w:r>
          </w:p>
        </w:tc>
      </w:tr>
    </w:tbl>
    <w:p>
      <w:pPr>
        <w:spacing w:before="480" w:after="240"/>
      </w:pPr>
      <w:r>
        <w:rPr>
          <w:rFonts w:ascii="Calibri" w:hAnsi="Calibri"/>
          <w:b/>
          <w:color w:val="0F172A"/>
          <w:sz w:val="40"/>
        </w:rPr>
        <w:t>What To Do When...</w:t>
      </w:r>
    </w:p>
    <w:p>
      <w:pPr>
        <w:spacing w:before="0" w:after="120" w:line="320" w:lineRule="exact"/>
        <w:jc w:val="left"/>
      </w:pPr>
      <w:r>
        <w:rPr>
          <w:rFonts w:ascii="Calibri" w:hAnsi="Calibri"/>
          <w:color w:val="1E293B"/>
          <w:sz w:val="22"/>
        </w:rPr>
        <w:t>Real situations you'll face during your transition from dashboards to agents, with specific responses:</w:t>
      </w: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shd w:fill="EFF6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i/>
                <w:color w:val="1E3A8A"/>
                <w:sz w:val="20"/>
              </w:rPr>
              <w:t>"Your team resists giving up their favorite dashboard tool"</w:t>
            </w:r>
          </w:p>
        </w:tc>
        <w:tc>
          <w:tcPr>
            <w:tcW w:type="dxa" w:w="4680"/>
            <w:shd w:fill="FFFF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E293B"/>
                <w:sz w:val="20"/>
              </w:rPr>
              <w:t>Don't take away the dashboard—deploy an agent that makes it irrelevant. When people see the agent completing the work the dashboard only showed them, resistance melts away. Keep the dashboard during transition but stop optimizing it.</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shd w:fill="FFFBEB"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i/>
                <w:color w:val="78350F"/>
                <w:sz w:val="20"/>
              </w:rPr>
              <w:t>"An agent makes a mistake that a human would have caught"</w:t>
            </w:r>
          </w:p>
        </w:tc>
        <w:tc>
          <w:tcPr>
            <w:tcW w:type="dxa" w:w="4680"/>
            <w:shd w:fill="FFFF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E293B"/>
                <w:sz w:val="20"/>
              </w:rPr>
              <w:t>This is normal and expected. Add guardrails, not humans. Create exception handling rules and escalation triggers. The goal isn't perfect agents—it's agents that are more reliable than your current manual processes.</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shd w:fill="F1F5F9"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i/>
                <w:color w:val="1E293B"/>
                <w:sz w:val="20"/>
              </w:rPr>
              <w:t>"You find a process that seems perfect for automation but has too many edge cases"</w:t>
            </w:r>
          </w:p>
        </w:tc>
        <w:tc>
          <w:tcPr>
            <w:tcW w:type="dxa" w:w="4680"/>
            <w:shd w:fill="FFFF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E293B"/>
                <w:sz w:val="20"/>
              </w:rPr>
              <w:t>Start with the 80% of cases that are straightforward. Let the agent handle routine work and escalate edge cases to humans. This still eliminates most manual work while maintaining quality.</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shd w:fill="EFF6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i/>
                <w:color w:val="1E3A8A"/>
                <w:sz w:val="20"/>
              </w:rPr>
              <w:t>"Leadership wants to see ROI before approving agent deployment"</w:t>
            </w:r>
          </w:p>
        </w:tc>
        <w:tc>
          <w:tcPr>
            <w:tcW w:type="dxa" w:w="4680"/>
            <w:shd w:fill="FFFF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E293B"/>
                <w:sz w:val="20"/>
              </w:rPr>
              <w:t>Calculate the fully-loaded cost of your current approach: tool licenses + employee time + opportunity cost of delays. Then project agent costs. McKinsey's research shows agents can automate 60-70% of current work activities—use conservative estimates.</w:t>
            </w:r>
          </w:p>
        </w:tc>
      </w:tr>
    </w:tbl>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680"/>
        <w:gridCol w:w="4680"/>
      </w:tblGrid>
      <w:tr>
        <w:tc>
          <w:tcPr>
            <w:tcW w:type="dxa" w:w="4680"/>
            <w:shd w:fill="FFFBEB"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b/>
                <w:i/>
                <w:color w:val="78350F"/>
                <w:sz w:val="20"/>
              </w:rPr>
              <w:t>"You're worried about job displacement on your team"</w:t>
            </w:r>
          </w:p>
        </w:tc>
        <w:tc>
          <w:tcPr>
            <w:tcW w:type="dxa" w:w="4680"/>
            <w:shd w:fill="FFFFFF" w:val="clear"/>
            <w:tcMar>
              <w:top w:w="80" w:type="dxa"/>
              <w:bottom w:w="80" w:type="dxa"/>
              <w:start w:w="120" w:type="dxa"/>
              <w:end w:w="120" w:type="dxa"/>
            </w:tcMar>
            <w:tcBorders>
              <w:top w:val="single" w:sz="2" w:color="E2E8F0" w:space="0"/>
              <w:bottom w:val="single" w:sz="2" w:color="E2E8F0" w:space="0"/>
              <w:start w:val="single" w:sz="2" w:color="E2E8F0" w:space="0"/>
              <w:end w:val="single" w:sz="2" w:color="E2E8F0" w:space="0"/>
            </w:tcBorders>
          </w:tcPr>
          <w:p>
            <w:r>
              <w:rPr>
                <w:rFonts w:ascii="Calibri" w:hAnsi="Calibri"/>
                <w:color w:val="1E293B"/>
                <w:sz w:val="20"/>
              </w:rPr>
              <w:t>Frame agents as task eliminators, not job eliminators. Your team moves from doing routine work to managing agents and handling complex cases. This is typically a more engaging and higher-value role.</w:t>
            </w:r>
          </w:p>
        </w:tc>
      </w:tr>
    </w:tbl>
    <w:p>
      <w:r>
        <w:br w:type="page"/>
      </w:r>
    </w:p>
    <w:p>
      <w:pPr>
        <w:spacing w:before="960" w:after="160" w:line="320" w:lineRule="exact"/>
        <w:jc w:val="left"/>
      </w:pPr>
      <w:r>
        <w:rPr>
          <w:rFonts w:ascii="Calibri" w:hAnsi="Calibri"/>
          <w:b/>
          <w:color w:val="2563EB"/>
          <w:sz w:val="20"/>
        </w:rPr>
        <w:t>THE BOTTOM LINE</w:t>
      </w:r>
    </w:p>
    <w:p>
      <w:pPr>
        <w:spacing w:before="80" w:after="80"/>
        <w:pBdr>
          <w:bottom w:val="single" w:sz="8" w:space="1" w:color="2563EB"/>
        </w:pBdr>
      </w:pPr>
    </w:p>
    <w:p>
      <w:pPr>
        <w:spacing w:before="400" w:after="320"/>
      </w:pPr>
      <w:r>
        <w:rPr>
          <w:rFonts w:ascii="Calibri" w:hAnsi="Calibri"/>
          <w:b/>
          <w:color w:val="0F172A"/>
          <w:sz w:val="26"/>
        </w:rPr>
        <w:t>The businesses that thrive in the next five years won't be the ones with the best dashboards—they'll be the ones that eliminated the need for most dashboards entirely.</w:t>
      </w:r>
    </w:p>
    <w:p>
      <w:pPr>
        <w:spacing w:before="240" w:after="120"/>
      </w:pPr>
      <w:r>
        <w:rPr>
          <w:rFonts w:ascii="Calibri" w:hAnsi="Calibri"/>
          <w:b/>
          <w:color w:val="2563EB"/>
          <w:sz w:val="22"/>
        </w:rPr>
        <w:t>WHAT YOU NOW HAVE:</w:t>
      </w:r>
    </w:p>
    <w:p>
      <w:pPr>
        <w:spacing w:before="80" w:after="80"/>
        <w:ind w:left="360" w:hanging="280"/>
      </w:pPr>
      <w:r>
        <w:rPr>
          <w:rFonts w:ascii="Calibri" w:hAnsi="Calibri"/>
          <w:color w:val="2563EB"/>
          <w:sz w:val="22"/>
        </w:rPr>
        <w:t xml:space="preserve">✓  </w:t>
      </w:r>
      <w:r>
        <w:rPr>
          <w:rFonts w:ascii="Calibri" w:hAnsi="Calibri"/>
          <w:color w:val="0F172A"/>
          <w:sz w:val="22"/>
        </w:rPr>
        <w:t>A complete audit of your current SaaS stack with replacement priorities</w:t>
      </w:r>
    </w:p>
    <w:p>
      <w:pPr>
        <w:spacing w:before="80" w:after="80"/>
        <w:ind w:left="360" w:hanging="280"/>
      </w:pPr>
      <w:r>
        <w:rPr>
          <w:rFonts w:ascii="Calibri" w:hAnsi="Calibri"/>
          <w:color w:val="2563EB"/>
          <w:sz w:val="22"/>
        </w:rPr>
        <w:t xml:space="preserve">✓  </w:t>
      </w:r>
      <w:r>
        <w:rPr>
          <w:rFonts w:ascii="Calibri" w:hAnsi="Calibri"/>
          <w:color w:val="0F172A"/>
          <w:sz w:val="22"/>
        </w:rPr>
        <w:t>A scored list of your highest-impact agent opportunities</w:t>
      </w:r>
    </w:p>
    <w:p>
      <w:pPr>
        <w:spacing w:before="80" w:after="80"/>
        <w:ind w:left="360" w:hanging="280"/>
      </w:pPr>
      <w:r>
        <w:rPr>
          <w:rFonts w:ascii="Calibri" w:hAnsi="Calibri"/>
          <w:color w:val="2563EB"/>
          <w:sz w:val="22"/>
        </w:rPr>
        <w:t xml:space="preserve">✓  </w:t>
      </w:r>
      <w:r>
        <w:rPr>
          <w:rFonts w:ascii="Calibri" w:hAnsi="Calibri"/>
          <w:color w:val="0F172A"/>
          <w:sz w:val="22"/>
        </w:rPr>
        <w:t>A 30-day pilot plan for your first agent deployment</w:t>
      </w:r>
    </w:p>
    <w:p>
      <w:pPr>
        <w:spacing w:before="80" w:after="80"/>
        <w:ind w:left="360" w:hanging="280"/>
      </w:pPr>
      <w:r>
        <w:rPr>
          <w:rFonts w:ascii="Calibri" w:hAnsi="Calibri"/>
          <w:color w:val="2563EB"/>
          <w:sz w:val="22"/>
        </w:rPr>
        <w:t xml:space="preserve">✓  </w:t>
      </w:r>
      <w:r>
        <w:rPr>
          <w:rFonts w:ascii="Calibri" w:hAnsi="Calibri"/>
          <w:color w:val="0F172A"/>
          <w:sz w:val="22"/>
        </w:rPr>
        <w:t>A measurement framework focused on business outcomes, not technical metrics</w:t>
      </w:r>
    </w:p>
    <w:p>
      <w:pPr>
        <w:spacing w:before="80" w:after="80"/>
        <w:pBdr>
          <w:bottom w:val="single" w:sz="4" w:space="1" w:color="CBD5E1"/>
        </w:pBdr>
      </w:pPr>
    </w:p>
    <w:p>
      <w:pPr>
        <w:spacing w:before="320" w:after="80"/>
      </w:pPr>
      <w:r>
        <w:rPr>
          <w:rFonts w:ascii="Calibri" w:hAnsi="Calibri"/>
          <w:b/>
          <w:color w:val="0F172A"/>
          <w:sz w:val="22"/>
        </w:rPr>
        <w:t>Ziv Raviv</w:t>
      </w:r>
    </w:p>
    <w:p>
      <w:pPr>
        <w:spacing w:before="0" w:after="160"/>
      </w:pPr>
      <w:r>
        <w:rPr>
          <w:rFonts w:ascii="Calibri" w:hAnsi="Calibri"/>
          <w:color w:val="2563EB"/>
          <w:sz w:val="20"/>
        </w:rPr>
        <w:t>zivraviv.com</w:t>
      </w:r>
    </w:p>
    <w:p>
      <w:pPr>
        <w:spacing w:before="80" w:after="120" w:line="320" w:lineRule="exact"/>
        <w:jc w:val="left"/>
      </w:pPr>
      <w:r>
        <w:rPr>
          <w:rFonts w:ascii="Calibri" w:hAnsi="Calibri"/>
          <w:i/>
          <w:color w:val="64748B"/>
          <w:sz w:val="22"/>
        </w:rPr>
        <w:t>Ready to see how other agency owners are cutting their tool count in half while doubling their output? Comment AGENTSHIFT and I'll send you three real case studies of successful dashboard-to-agent transitions.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4748B"/>
        <w:sz w:val="16"/>
      </w:rPr>
      <w:t xml:space="preserve">By Ziv Raviv  |  zivraviv.com  |  Page </w:t>
    </w:r>
    <w:r>
      <w:fldChar w:fldCharType="begin"/>
    </w:r>
    <w:r>
      <w:rPr>
        <w:color w:val="64748B"/>
        <w:sz w:val="16"/>
      </w:rP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