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shd w:val="clear" w:color="auto" w:fill="1B3A5C"/>
            <w:tcBorders>
              <w:top w:val="nil"/>
              <w:bottom w:val="nil"/>
              <w:left w:val="nil"/>
              <w:right w:val="nil"/>
            </w:tcBorders>
            <w:tcMar>
              <w:top w:w="100" w:type="dxa"/>
              <w:bottom w:w="100" w:type="dxa"/>
              <w:left w:w="120" w:type="dxa"/>
              <w:right w:w="60" w:type="dxa"/>
            </w:tcMar>
            <w:tcW w:w="3118" w:type="dxa"/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20000" cy="3631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ivo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363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color="auto" w:fill="1B3A5C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60" w:type="dxa"/>
              <w:right w:w="120" w:type="dxa"/>
            </w:tcMar>
            <w:tcW w:w="6747" w:type="dxa"/>
          </w:tcPr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FFFFFF"/>
                <w:sz w:val="26"/>
              </w:rPr>
              <w:t>SEGURO DE MASCOTAS PARA PERROS Y GATOS</w:t>
            </w:r>
          </w:p>
          <w:p>
            <w:pPr>
              <w:spacing w:before="20" w:after="0"/>
            </w:pPr>
            <w:r>
              <w:rPr>
                <w:rFonts w:ascii="Arial" w:hAnsi="Arial"/>
                <w:b w:val="0"/>
                <w:i w:val="0"/>
                <w:color w:val="2BA8A0"/>
                <w:sz w:val="18"/>
              </w:rPr>
              <w:t>DOCUMENTO DE INFORMACIÓN DEL PRODUCTO DE SEGURO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BF0F5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3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Empresa: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KIVO Seguros, S.L. — Agencia de Suscripción (MGA) inscrita en el Registro de Mediadores de la DGSFP.</w:t>
            </w:r>
          </w:p>
          <w:p>
            <w:pPr>
              <w:spacing w:before="0" w:after="3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Aseguradora portadora del riesgo: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Identificada en el IPID de la entidad aseguradora y en las Condiciones Particulares de cada póliza.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i w:val="0"/>
                <w:color w:val="1B3A5C"/>
                <w:sz w:val="17"/>
              </w:rPr>
              <w:t xml:space="preserve">Producto: </w:t>
            </w: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Seguro de Accidentes y Enfermedades, Enfermedades y Responsabilidad Civil para Mascotas — Plan KIVO CARE PLUS   |   Ref: IPID-KIVO-CARE-PLUS-2026</w:t>
            </w:r>
          </w:p>
        </w:tc>
      </w:tr>
    </w:tbl>
    <w:p/>
    <w:p>
      <w:pPr>
        <w:spacing w:before="0" w:after="80"/>
      </w:pPr>
      <w:r>
        <w:rPr>
          <w:rFonts w:ascii="Arial" w:hAnsi="Arial"/>
          <w:b w:val="0"/>
          <w:i/>
          <w:color w:val="555555"/>
          <w:sz w:val="15"/>
        </w:rPr>
        <w:t>Este documento contiene información genérica del producto de seguro. No toma en consideración sus necesidades y demandas específicas. La información precontractual o contractual completa se facilitará en el Condicionado General (Ref: CG-KIVO-AYE-RC-2026) y en las Condiciones Particulares.</w:t>
      </w:r>
    </w:p>
    <w:p>
      <w:pPr>
        <w:spacing w:before="0" w:after="60"/>
      </w:pPr>
      <w:r>
        <w:rPr>
          <w:rFonts w:ascii="Arial" w:hAnsi="Arial"/>
          <w:b/>
          <w:i w:val="0"/>
          <w:color w:val="1B3A5C"/>
          <w:sz w:val="22"/>
        </w:rPr>
        <w:t>¿En qué consiste este tipo de seguro?</w:t>
      </w:r>
    </w:p>
    <w:p>
      <w:pPr>
        <w:spacing w:before="0" w:after="100"/>
      </w:pPr>
      <w:r>
        <w:rPr>
          <w:rFonts w:ascii="Arial" w:hAnsi="Arial"/>
          <w:b w:val="0"/>
          <w:i w:val="0"/>
          <w:color w:val="333333"/>
          <w:sz w:val="17"/>
        </w:rPr>
        <w:t>Seguro de reembolso de gastos veterinarios para perros y gatos domésticos que cubre accidentes, enfermedades y Responsabilidad Civil por daños a terceros causados por el animal asegurado. Límite anual de reembolso: 4.000 EUR. Reembolso del 90% de los gastos cubiertos. El 10% restante queda a cargo del asegurado.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w="3288" w:type="dxa"/>
            <w:shd w:val="clear" w:color="auto" w:fill="E8F7F6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2BA8A0"/>
                <w:sz w:val="20"/>
              </w:rPr>
              <w:t>✔  ¿Qué se asegura?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Consultas y visitas veterinarias (90% de reembolso).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Hospitalización, cirugía y anestesia (90%).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Diagnóstico: análisis, radiografías, ecografías, resonancias (90%).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Oncología: quimioterapia, radioterapia, inmunoterapia (90%, sublímite 2.500 EUR por proceso).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Urgencias veterinarias 24h (90%).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Fisioterapia y rehabilitación: hasta 9 sesiones/año (90%).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Vacunación obligatoria y recomendada: 100% sin carencia (hasta 250 EUR/año).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Tartrectomía cubierta a partir del segundo año de vigencia.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Teleconsulta veterinaria: videollamada o llamada con veterinario colegiado, sin desplazamiento.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2BA8A0"/>
                <w:sz w:val="17"/>
              </w:rPr>
              <w:t xml:space="preserve">✔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Responsabilidad Civil — R.C. ESENCIAL: hasta 250.000 EUR por siniestro.</w:t>
            </w:r>
          </w:p>
          <w:p>
            <w:pPr>
              <w:spacing w:before="60" w:after="0"/>
            </w:pPr>
            <w:r>
              <w:rPr>
                <w:rFonts w:ascii="Arial" w:hAnsi="Arial"/>
                <w:b/>
                <w:i w:val="0"/>
                <w:color w:val="1B3A5C"/>
                <w:sz w:val="18"/>
              </w:rPr>
              <w:t>Límite anual de reembolso: 4.000 EUR.</w:t>
            </w:r>
          </w:p>
        </w:tc>
        <w:tc>
          <w:tcPr>
            <w:tcW w:w="3288" w:type="dxa"/>
            <w:shd w:val="clear" w:color="auto" w:fill="FDECEA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C0392B"/>
                <w:sz w:val="20"/>
              </w:rPr>
              <w:t>✖  ¿Qué no está asegurado?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Enfermedades y accidentes previos a la contratación (preexistencias).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Patologías congénitas o hereditarias.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Gastos de alimentación, suplementos y vitaminas.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Gestación, parto, anticoncepción y esterilización electiva.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Tratamientos estéticos o de embellecimiento.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Animales sin identificación por microchip.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Perros menores de 2 meses en la fecha de efecto. Gatos menores de 2 meses o mayores de 10 años en la fecha de efecto.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Terapias experimentales sin evidencia científica veterinaria reconocida (salvo lo expresamente indicado en el CG).</w:t>
            </w:r>
          </w:p>
          <w:p>
            <w:pPr>
              <w:spacing w:before="0" w:after="50"/>
            </w:pPr>
            <w:r>
              <w:rPr>
                <w:rFonts w:ascii="Arial" w:hAnsi="Arial"/>
                <w:b/>
                <w:i w:val="0"/>
                <w:color w:val="C0392B"/>
                <w:sz w:val="17"/>
              </w:rPr>
              <w:t xml:space="preserve">✖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Gastos de alimentación terapéutica y dietética continuada.</w:t>
            </w:r>
          </w:p>
        </w:tc>
        <w:tc>
          <w:tcPr>
            <w:tcW w:w="3288" w:type="dxa"/>
            <w:shd w:val="clear" w:color="auto" w:fill="FEF3E2"/>
            <w:tcBorders>
              <w:top w:val="nil"/>
              <w:bottom w:val="nil"/>
              <w:left w:val="nil"/>
              <w:right w:val="nil"/>
            </w:tcBorders>
            <w:tcMar>
              <w:top w:w="80" w:type="dxa"/>
              <w:bottom w:w="80" w:type="dxa"/>
              <w:left w:w="100" w:type="dxa"/>
              <w:right w:w="80" w:type="dxa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i w:val="0"/>
                <w:color w:val="E67E22"/>
                <w:sz w:val="20"/>
              </w:rPr>
              <w:t>⚠  ¿Existen restricciones?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/>
                <w:i w:val="0"/>
                <w:color w:val="333333"/>
                <w:sz w:val="16"/>
              </w:rPr>
              <w:t>Períodos de carencia desde la fecha de efecto: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5 días: accidentes.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28 días: enfermedades comunes.</w:t>
            </w:r>
          </w:p>
          <w:p>
            <w:pPr>
              <w:spacing w:before="0" w:after="40"/>
            </w:pP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 xml:space="preserve">     — 6 meses: cirugía compleja, oncología, epilepsia, dermatología/atopia, leishmaniosis.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Edad de contratación — Perros: Tramo Joven (2 meses a 7 años) a prima estándar; Tramo Senior (más de 7 años hasta 11 años) a prima senior diferenciada. Gatos: de 2 meses a 10 años.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Sublímite por proceso: 2.500 EUR (excepto oncología: 2.500 EUR por proceso).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Enfermedades crónicas cubiertas hasta 18 meses desde el primer diagnóstico.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Franquicia RC: 50 EUR.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6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Sublímite defensa jurídica RC: 5.000 EUR</w:t>
            </w:r>
          </w:p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E67E22"/>
                <w:sz w:val="17"/>
              </w:rPr>
              <w:t xml:space="preserve">⚠  </w:t>
            </w:r>
            <w:r>
              <w:rPr>
                <w:rFonts w:ascii="Arial" w:hAnsi="Arial"/>
                <w:b w:val="0"/>
                <w:i w:val="0"/>
                <w:color w:val="333333"/>
                <w:sz w:val="16"/>
              </w:rPr>
              <w:t>Historial clínico disponible de los últimos 3 años requerido en el primer reembolso.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🌍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¿DÓNDE ESTOY</w:t>
              <w:br/>
              <w:t>CUBIERTO?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España (territorio nacional), Unión Europea, Reino Unido y Andorra, durante desplazamientos de hasta 90 días.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de Responsabilidad Civil opera en toda la Unión Europea.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Fuera de estos territorios y plazos, la cobertura queda suspendida salvo acuerdo expreso en Condiciones Particulares.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🤝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¿CUÁLES SON</w:t>
              <w:br/>
              <w:t>MIS OBLIGACIONES?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Antes de contratar: declarar verazmente todas las circunstancias del animal en el cuestionario de salud (art. 10 LCS). Proporcionar el historial clínico disponible.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Durante la vigencia: mantener al animal identificado con microchip; comunicar cualquier agravación del riesgo; abonar la prima en los plazos acordados.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En caso de siniestro: comunicar el siniestro a KIVO en un plazo de 7 días; presentar facturas originales, historial clínico y toda la documentación veterinaria en el plazo de 3 meses desde la última factura.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💶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¿CUÁNDO Y CÓMO</w:t>
              <w:br/>
              <w:t>EFECTUAR LOS PAGOS?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prima se abona en el momento de la contratación. Las renovaciones anuales se cobran mediante domiciliación bancaria o tarjeta en la fecha de vencimiento.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fraccionamiento mensual puede pactarse con el recargo indicado en las Condiciones Particulares.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queda en suspenso si el recibo es devuelto, previa notificación con 15 días de antelación.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⏰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¿CUÁNDO COMIENZA</w:t>
              <w:br/>
              <w:t>Y FINALIZA?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comienza a las 00:00 h del día indicado en las Condiciones Particulares, una vez abonado el primer recibo.</w:t>
            </w:r>
          </w:p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contrato tiene duración anual y se renueva automáticamente cada año, sin límite de edad para la renovación.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cobertura también finaliza por fallecimiento del animal, cesión o acuerdo entre partes, conforme al Capítulo X del Condicionado General.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w="850" w:type="dxa"/>
            <w:shd w:val="clear" w:color="auto" w:fill="1B3A5C"/>
            <w:tcMar>
              <w:top w:w="80" w:type="dxa"/>
              <w:bottom w:w="80" w:type="dxa"/>
              <w:left w:w="100" w:type="dxa"/>
              <w:right w:w="6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  <w:spacing w:before="40" w:after="0"/>
            </w:pPr>
            <w:r>
              <w:rPr>
                <w:rFonts w:ascii="Arial" w:hAnsi="Arial"/>
                <w:b/>
                <w:i w:val="0"/>
                <w:color w:val="FFFFFF"/>
                <w:sz w:val="28"/>
              </w:rPr>
              <w:t>🛡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¿CÓMO PUEDO</w:t>
              <w:br/>
              <w:t>RESCINDIR?</w:t>
            </w:r>
          </w:p>
        </w:tc>
        <w:tc>
          <w:tcPr>
            <w:tcW w:w="8788" w:type="dxa"/>
            <w:shd w:val="clear" w:color="auto" w:fill="EBF0F5"/>
            <w:tcMar>
              <w:top w:w="80" w:type="dxa"/>
              <w:bottom w:w="80" w:type="dxa"/>
              <w:left w:w="120" w:type="dxa"/>
              <w:right w:w="80" w:type="dxa"/>
            </w:tcMar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3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El tomador puede resolver el contrato con un preaviso mínimo de 1 mes antes del vencimiento anual, sin penalización.</w:t>
            </w:r>
          </w:p>
          <w:p>
            <w:pPr>
              <w:spacing w:before="0" w:after="0"/>
            </w:pPr>
            <w:r>
              <w:rPr>
                <w:rFonts w:ascii="Arial" w:hAnsi="Arial"/>
                <w:b w:val="0"/>
                <w:i w:val="0"/>
                <w:color w:val="333333"/>
                <w:sz w:val="17"/>
              </w:rPr>
              <w:t>La comunicación puede realizarse por escrito a través de la plataforma KIVO (www.kivo.es/mi-cuenta), por correo electrónico a atencion.cliente@kivo.es o por carta certificada a la dirección de la compañía.</w:t>
            </w:r>
          </w:p>
        </w:tc>
      </w:tr>
    </w:tbl>
    <w:p>
      <w:pPr>
        <w:spacing w:after="60"/>
      </w:pPr>
    </w:p>
    <w:p/>
    <w:p>
      <w:pPr>
        <w:spacing w:before="60" w:after="0"/>
        <w:pBdr>
          <w:top w:val="single" w:sz="4" w:color="1B3A5C"/>
        </w:pBdr>
      </w:pPr>
    </w:p>
    <w:p>
      <w:pPr>
        <w:spacing w:before="40" w:after="0"/>
      </w:pPr>
      <w:r>
        <w:rPr>
          <w:rFonts w:ascii="Arial" w:hAnsi="Arial"/>
          <w:b w:val="0"/>
          <w:i w:val="0"/>
          <w:color w:val="555555"/>
          <w:sz w:val="14"/>
        </w:rPr>
        <w:t>KIVO Seguros, S.L. — Agencia de Suscripción (MGA) — Inscrita en el Registro de Mediadores de Seguros de la DGSFP   |   www.kivo.es   |   atencion.cliente@kivo.es</w:t>
      </w:r>
    </w:p>
    <w:p>
      <w:pPr>
        <w:spacing w:before="0" w:after="0"/>
      </w:pPr>
      <w:r>
        <w:rPr>
          <w:rFonts w:ascii="Arial" w:hAnsi="Arial"/>
          <w:b w:val="0"/>
          <w:i w:val="0"/>
          <w:color w:val="555555"/>
          <w:sz w:val="14"/>
        </w:rPr>
        <w:t>Ref: IPID-KIVO-CARE-PLUS-2026   |   Versión 1.0   |   Julio 2026   |   Condicionado General de referencia: CG-KIVO-AYE-RC-2026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