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shd w:val="clear" w:color="auto" w:fill="1B3A5C"/>
            <w:tcBorders>
              <w:top w:val="nil"/>
              <w:bottom w:val="nil"/>
              <w:left w:val="nil"/>
              <w:right w:val="nil"/>
            </w:tcBorders>
            <w:tcMar>
              <w:top w:w="100" w:type="dxa"/>
              <w:bottom w:w="100" w:type="dxa"/>
              <w:left w:w="120" w:type="dxa"/>
              <w:right w:w="60" w:type="dxa"/>
            </w:tcMar>
            <w:tcW w:w="3118" w:type="dxa"/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0" cy="3631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vo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363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1B3A5C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60" w:type="dxa"/>
              <w:right w:w="120" w:type="dxa"/>
            </w:tcMar>
            <w:tcW w:w="6747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SEGURO DE MASCOTAS PARA PERROS Y GATOS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2BA8A0"/>
                <w:sz w:val="18"/>
              </w:rPr>
              <w:t>DOCUMENTO DE INFORMACIÓN DEL PRODUCTO DE SEGURO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BF0F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30"/>
            </w:pPr>
            <w:r>
              <w:rPr>
                <w:rFonts w:ascii="Arial" w:hAnsi="Arial"/>
                <w:b/>
                <w:i w:val="0"/>
                <w:color w:val="1B3A5C"/>
                <w:sz w:val="17"/>
              </w:rPr>
              <w:t xml:space="preserve">Empresa: </w:t>
            </w: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KIVO Seguros, S.L. — Agencia de Suscripción (MGA) inscrita en el Registro de Mediadores de la DGSFP.</w:t>
            </w:r>
          </w:p>
          <w:p>
            <w:pPr>
              <w:spacing w:before="0" w:after="30"/>
            </w:pPr>
            <w:r>
              <w:rPr>
                <w:rFonts w:ascii="Arial" w:hAnsi="Arial"/>
                <w:b/>
                <w:i w:val="0"/>
                <w:color w:val="1B3A5C"/>
                <w:sz w:val="17"/>
              </w:rPr>
              <w:t xml:space="preserve">Aseguradora portadora del riesgo: </w:t>
            </w: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Identificada en el IPID de la entidad aseguradora y en las Condiciones Particulares de cada póliza.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B3A5C"/>
                <w:sz w:val="17"/>
              </w:rPr>
              <w:t xml:space="preserve">Producto: </w:t>
            </w: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Seguro de Accidentes y Enfermedades, Enfermedades y Responsabilidad Civil para Mascotas — Plan KIVO CARE   |   Ref: IPID-KIVO-CARE-2026</w:t>
            </w:r>
          </w:p>
        </w:tc>
      </w:tr>
    </w:tbl>
    <w:p/>
    <w:p>
      <w:pPr>
        <w:spacing w:before="0" w:after="80"/>
      </w:pPr>
      <w:r>
        <w:rPr>
          <w:rFonts w:ascii="Arial" w:hAnsi="Arial"/>
          <w:b w:val="0"/>
          <w:i/>
          <w:color w:val="555555"/>
          <w:sz w:val="15"/>
        </w:rPr>
        <w:t>Este documento contiene información genérica del producto de seguro. No toma en consideración sus necesidades y demandas específicas. La información precontractual o contractual completa se facilitará en el Condicionado General (Ref: CG-KIVO-AYE-RC-2026) y en las Condiciones Particulares.</w:t>
      </w:r>
    </w:p>
    <w:p>
      <w:pPr>
        <w:spacing w:before="0" w:after="60"/>
      </w:pPr>
      <w:r>
        <w:rPr>
          <w:rFonts w:ascii="Arial" w:hAnsi="Arial"/>
          <w:b/>
          <w:i w:val="0"/>
          <w:color w:val="1B3A5C"/>
          <w:sz w:val="22"/>
        </w:rPr>
        <w:t>¿En qué consiste este tipo de seguro?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33333"/>
          <w:sz w:val="17"/>
        </w:rPr>
        <w:t>Seguro de reembolso de gastos veterinarios para perros y gatos domésticos que cubre accidentes, enfermedades y Responsabilidad Civil por daños a terceros causados por el animal asegurado. Límite anual de reembolso: 3.500 EUR. Reembolso del 80% de los gastos cubiertos. El 20% restante queda a cargo del asegurado.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w="3288" w:type="dxa"/>
            <w:shd w:val="clear" w:color="auto" w:fill="E8F7F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i w:val="0"/>
                <w:color w:val="2BA8A0"/>
                <w:sz w:val="20"/>
              </w:rPr>
              <w:t>✔  ¿Qué se asegura?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Consultas y visitas veterinarias (80% de reembolso).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Hospitalización, cirugía y anestesia (80%).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Diagnóstico: análisis, radiografías, ecografías, resonancias (80%).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Oncología: quimioterapia, radioterapia, inmunoterapia (80%, sublímite 2.500 EUR por proceso).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Urgencias veterinarias 24h (80%).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Fisioterapia y rehabilitación: hasta 9 sesiones/año (80%).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Vacunación obligatoria y recomendada: 100% sin carencia (hasta 250 EUR/año).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Tartrectomía cubierta a partir del segundo año de vigencia.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Teleconsulta veterinaria: videollamada o llamada con veterinario colegiado, sin desplazamiento.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Responsabilidad Civil — R.C. ESENCIAL: hasta 200.000 EUR por siniestro.</w:t>
            </w:r>
          </w:p>
          <w:p>
            <w:pPr>
              <w:spacing w:before="60" w:after="0"/>
            </w:pPr>
            <w:r>
              <w:rPr>
                <w:rFonts w:ascii="Arial" w:hAnsi="Arial"/>
                <w:b/>
                <w:i w:val="0"/>
                <w:color w:val="1B3A5C"/>
                <w:sz w:val="18"/>
              </w:rPr>
              <w:t>Límite anual de reembolso: 3.500 EUR.</w:t>
            </w:r>
          </w:p>
        </w:tc>
        <w:tc>
          <w:tcPr>
            <w:tcW w:w="3288" w:type="dxa"/>
            <w:shd w:val="clear" w:color="auto" w:fill="FDECEA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i w:val="0"/>
                <w:color w:val="C0392B"/>
                <w:sz w:val="20"/>
              </w:rPr>
              <w:t>✖  ¿Qué no está asegurado?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Enfermedades y accidentes previos a la contratación (preexistencias).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Patologías congénitas o hereditarias.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Gastos de alimentación, suplementos y vitaminas.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Gestación, parto, anticoncepción y esterilización electiva.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Tratamientos estéticos o de embellecimiento.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Animales sin identificación por microchip.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Perros menores de 2 meses en la fecha de efecto. Gatos menores de 2 meses o mayores de 10 años en la fecha de efecto.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Terapias experimentales sin evidencia científica veterinaria reconocida (salvo lo expresamente indicado en el CG).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Gastos de alimentación terapéutica y dietética continuada.</w:t>
            </w:r>
          </w:p>
        </w:tc>
        <w:tc>
          <w:tcPr>
            <w:tcW w:w="3288" w:type="dxa"/>
            <w:shd w:val="clear" w:color="auto" w:fill="FEF3E2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i w:val="0"/>
                <w:color w:val="E67E22"/>
                <w:sz w:val="20"/>
              </w:rPr>
              <w:t>⚠  ¿Existen restricciones?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/>
                <w:i w:val="0"/>
                <w:color w:val="333333"/>
                <w:sz w:val="16"/>
              </w:rPr>
              <w:t>Períodos de carencia desde la fecha de efecto: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 xml:space="preserve">     — 5 días: accidentes.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 xml:space="preserve">     — 28 días: enfermedades comunes.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 xml:space="preserve">     — 6 meses: cirugía compleja, oncología, epilepsia, dermatología/atopia, leishmaniosis.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Edad de contratación — Perros: Tramo Joven (2 meses a 7 años) a prima estándar; Tramo Senior (más de 7 años hasta 11 años) a prima senior diferenciada. Gatos: de 2 meses a 10 años.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Sublímite por proceso: 2.500 EUR (excepto oncología: 2.500 EUR por proceso).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Enfermedades crónicas cubiertas hasta 18 meses desde el primer diagnóstico.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Franquicia RC: 100 EUR.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6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Sublímite defensa jurídica RC: 4.000 EUR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Historial clínico disponible de los últimos 3 años requerido en el primer reembolso.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🌍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¿DÓNDE ESTOY</w:t>
              <w:br/>
              <w:t>CUBIERTO?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España (territorio nacional), Unión Europea, Reino Unido y Andorra, durante desplazamientos de hasta 90 días.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de Responsabilidad Civil opera en toda la Unión Europea.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Fuera de estos territorios y plazos, la cobertura queda suspendida salvo acuerdo expreso en Condiciones Particulares.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🤝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¿CUÁLES SON</w:t>
              <w:br/>
              <w:t>MIS OBLIGACIONES?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Antes de contratar: declarar verazmente todas las circunstancias del animal en el cuestionario de salud (art. 10 LCS). Proporcionar el historial clínico disponible.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Durante la vigencia: mantener al animal identificado con microchip; comunicar cualquier agravación del riesgo; abonar la prima en los plazos acordados.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En caso de siniestro: comunicar el siniestro a KIVO en un plazo de 7 días; presentar facturas originales, historial clínico y toda la documentación veterinaria en el plazo de 3 meses desde la última factura.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💶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¿CUÁNDO Y CÓMO</w:t>
              <w:br/>
              <w:t>EFECTUAR LOS PAGOS?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prima se abona en el momento de la contratación. Las renovaciones anuales se cobran mediante domiciliación bancaria o tarjeta en la fecha de vencimiento.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El fraccionamiento mensual puede pactarse con el recargo indicado en las Condiciones Particulares.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queda en suspenso si el recibo es devuelto, previa notificación con 15 días de antelación.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⏰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¿CUÁNDO COMIENZA</w:t>
              <w:br/>
              <w:t>Y FINALIZA?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comienza a las 00:00 h del día indicado en las Condiciones Particulares, una vez abonado el primer recibo.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El contrato tiene duración anual y se renueva automáticamente cada año, sin límite de edad para la renovación.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también finaliza por fallecimiento del animal, cesión o acuerdo entre partes, conforme al Capítulo X del Condicionado General.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🛡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¿CÓMO PUEDO</w:t>
              <w:br/>
              <w:t>RESCINDIR?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El tomador puede resolver el contrato con un preaviso mínimo de 1 mes antes del vencimiento anual, sin penalización.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comunicación puede realizarse por escrito a través de la plataforma KIVO (www.kivo.es/mi-cuenta), por correo electrónico a atencion.cliente@kivo.es o por carta certificada a la dirección de la compañía.</w:t>
            </w:r>
          </w:p>
        </w:tc>
      </w:tr>
    </w:tbl>
    <w:p>
      <w:pPr>
        <w:spacing w:after="60"/>
      </w:pPr>
    </w:p>
    <w:p/>
    <w:p>
      <w:pPr>
        <w:spacing w:before="60" w:after="0"/>
        <w:pBdr>
          <w:top w:val="single" w:sz="4" w:color="1B3A5C"/>
        </w:pBdr>
      </w:pPr>
    </w:p>
    <w:p>
      <w:pPr>
        <w:spacing w:before="40" w:after="0"/>
      </w:pPr>
      <w:r>
        <w:rPr>
          <w:rFonts w:ascii="Arial" w:hAnsi="Arial"/>
          <w:b w:val="0"/>
          <w:i w:val="0"/>
          <w:color w:val="555555"/>
          <w:sz w:val="14"/>
        </w:rPr>
        <w:t>KIVO Seguros, S.L. — Agencia de Suscripción (MGA) — Inscrita en el Registro de Mediadores de Seguros de la DGSFP   |   www.kivo.es   |   atencion.cliente@kivo.es</w:t>
      </w:r>
    </w:p>
    <w:p>
      <w:pPr>
        <w:spacing w:before="0" w:after="0"/>
      </w:pPr>
      <w:r>
        <w:rPr>
          <w:rFonts w:ascii="Arial" w:hAnsi="Arial"/>
          <w:b w:val="0"/>
          <w:i w:val="0"/>
          <w:color w:val="555555"/>
          <w:sz w:val="14"/>
        </w:rPr>
        <w:t>Ref: IPID-KIVO-CARE-2026   |   Versión 1.0   |   Julio 2026   |   Condicionado General de referencia: CG-KIVO-AYE-RC-2026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