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9E1B" w14:textId="42B464C3" w:rsidR="00BD2B41" w:rsidRPr="00BD2B41" w:rsidRDefault="00BD2B41" w:rsidP="00BD2B41">
      <w:pPr>
        <w:spacing w:line="360" w:lineRule="auto"/>
        <w:ind w:left="720" w:hanging="360"/>
        <w:rPr>
          <w:lang w:val="en-US"/>
        </w:rPr>
      </w:pPr>
      <w:r>
        <w:rPr>
          <w:lang w:val="en-US"/>
        </w:rPr>
        <w:t xml:space="preserve">Below procedures for </w:t>
      </w:r>
      <w:r>
        <w:rPr>
          <w:rFonts w:ascii="Times New Roman" w:hAnsi="Times New Roman" w:cs="Times New Roman"/>
          <w:i/>
          <w:iCs/>
          <w:lang w:val="en-GB"/>
        </w:rPr>
        <w:t>SX7E and FGBL.</w:t>
      </w:r>
    </w:p>
    <w:p w14:paraId="24E6A164" w14:textId="77777777" w:rsidR="00BD2B41" w:rsidRPr="00BD2B41" w:rsidRDefault="00BD2B41" w:rsidP="00BD2B41">
      <w:pPr>
        <w:pStyle w:val="ListParagraph"/>
        <w:spacing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7308F4FA" w14:textId="0A6D79CF" w:rsidR="00BD2B41" w:rsidRPr="00BD2B41" w:rsidRDefault="00BD2B41" w:rsidP="00BD2B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BD2B41">
        <w:rPr>
          <w:rFonts w:ascii="Times New Roman" w:hAnsi="Times New Roman" w:cs="Times New Roman"/>
          <w:i/>
          <w:iCs/>
          <w:highlight w:val="yellow"/>
          <w:lang w:val="en-GB"/>
        </w:rPr>
        <w:t>Summary statistics of return</w:t>
      </w:r>
      <w:r>
        <w:rPr>
          <w:rFonts w:ascii="Times New Roman" w:hAnsi="Times New Roman" w:cs="Times New Roman"/>
          <w:i/>
          <w:iCs/>
          <w:highlight w:val="yellow"/>
          <w:lang w:val="en-GB"/>
        </w:rPr>
        <w:t xml:space="preserve"> </w:t>
      </w:r>
      <w:r w:rsidRPr="00BD2B41">
        <w:rPr>
          <w:rFonts w:ascii="Times New Roman" w:hAnsi="Times New Roman" w:cs="Times New Roman"/>
          <w:i/>
          <w:iCs/>
          <w:highlight w:val="yellow"/>
          <w:lang w:val="en-GB"/>
        </w:rPr>
        <w:t xml:space="preserve">(use % change </w:t>
      </w:r>
      <w:proofErr w:type="gramStart"/>
      <w:r w:rsidRPr="00BD2B41">
        <w:rPr>
          <w:rFonts w:ascii="Times New Roman" w:hAnsi="Times New Roman" w:cs="Times New Roman"/>
          <w:i/>
          <w:iCs/>
          <w:highlight w:val="yellow"/>
          <w:lang w:val="en-GB"/>
        </w:rPr>
        <w:t>column )</w:t>
      </w:r>
      <w:proofErr w:type="gramEnd"/>
      <w:r w:rsidRPr="00BD2B41">
        <w:rPr>
          <w:rFonts w:ascii="Times New Roman" w:hAnsi="Times New Roman" w:cs="Times New Roman"/>
          <w:i/>
          <w:iCs/>
          <w:highlight w:val="yellow"/>
          <w:lang w:val="en-GB"/>
        </w:rPr>
        <w:t xml:space="preserve"> and volume can be seen in table 1,and also need a distribution graph.</w:t>
      </w:r>
      <w:r w:rsidRPr="00BD2B41">
        <w:rPr>
          <w:rFonts w:ascii="Times New Roman" w:hAnsi="Times New Roman" w:cs="Times New Roman"/>
          <w:i/>
          <w:iCs/>
          <w:lang w:val="en-GB"/>
        </w:rPr>
        <w:t xml:space="preserve">  </w:t>
      </w:r>
    </w:p>
    <w:p w14:paraId="7221DEFA" w14:textId="62F388E9" w:rsidR="00BD2B41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1A6F10">
        <w:rPr>
          <w:rFonts w:ascii="Times New Roman" w:hAnsi="Times New Roman" w:cs="Times New Roman"/>
          <w:i/>
          <w:iCs/>
          <w:lang w:val="en-GB"/>
        </w:rPr>
        <w:drawing>
          <wp:inline distT="0" distB="0" distL="0" distR="0" wp14:anchorId="187422CB" wp14:editId="3A6796E5">
            <wp:extent cx="5731510" cy="10299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6F10">
        <w:rPr>
          <w:rFonts w:ascii="Times New Roman" w:hAnsi="Times New Roman" w:cs="Times New Roman"/>
          <w:i/>
          <w:iCs/>
          <w:lang w:val="en-GB"/>
        </w:rPr>
        <w:t xml:space="preserve"> </w:t>
      </w:r>
    </w:p>
    <w:p w14:paraId="33D84C55" w14:textId="0BF522C3" w:rsidR="00BD2B41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2EFF72D3" w14:textId="6865DA54" w:rsidR="00BD2B41" w:rsidRDefault="00BD2B41" w:rsidP="00BD2B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highlight w:val="yellow"/>
          <w:lang w:val="en-GB"/>
        </w:rPr>
      </w:pPr>
      <w:r w:rsidRPr="00BD2B41">
        <w:rPr>
          <w:rFonts w:ascii="Times New Roman" w:hAnsi="Times New Roman" w:cs="Times New Roman"/>
          <w:highlight w:val="yellow"/>
          <w:lang w:val="en-GB"/>
        </w:rPr>
        <w:t xml:space="preserve">Both daily logarithmic volume (daily volume) and volatilities (sum of the squared </w:t>
      </w:r>
      <w:proofErr w:type="gramStart"/>
      <w:r w:rsidRPr="00BD2B41">
        <w:rPr>
          <w:rFonts w:ascii="Times New Roman" w:hAnsi="Times New Roman" w:cs="Times New Roman"/>
          <w:highlight w:val="yellow"/>
          <w:lang w:val="en-GB"/>
        </w:rPr>
        <w:t>one minute</w:t>
      </w:r>
      <w:proofErr w:type="gramEnd"/>
      <w:r w:rsidRPr="00BD2B41">
        <w:rPr>
          <w:rFonts w:ascii="Times New Roman" w:hAnsi="Times New Roman" w:cs="Times New Roman"/>
          <w:highlight w:val="yellow"/>
          <w:lang w:val="en-GB"/>
        </w:rPr>
        <w:t xml:space="preserve"> returns of each day) can be seen in</w:t>
      </w:r>
      <w:r w:rsidRPr="00BD2B41">
        <w:rPr>
          <w:rFonts w:ascii="Times New Roman" w:hAnsi="Times New Roman" w:cs="Times New Roman"/>
          <w:lang w:val="en-GB"/>
        </w:rPr>
        <w:t xml:space="preserve"> </w:t>
      </w:r>
      <w:r w:rsidRPr="00BD2B41">
        <w:rPr>
          <w:rFonts w:ascii="Times New Roman" w:hAnsi="Times New Roman" w:cs="Times New Roman"/>
          <w:highlight w:val="yellow"/>
          <w:lang w:val="en-GB"/>
        </w:rPr>
        <w:t>figure 2.</w:t>
      </w:r>
    </w:p>
    <w:p w14:paraId="2675C1D4" w14:textId="0E99986B" w:rsidR="00BD2B41" w:rsidRPr="00BD2B41" w:rsidRDefault="00BD2B41" w:rsidP="00BD2B41">
      <w:pPr>
        <w:pStyle w:val="ListParagraph"/>
        <w:spacing w:line="360" w:lineRule="auto"/>
        <w:rPr>
          <w:rFonts w:ascii="Times New Roman" w:hAnsi="Times New Roman" w:cs="Times New Roman"/>
          <w:highlight w:val="yellow"/>
          <w:lang w:val="en-GB"/>
        </w:rPr>
      </w:pPr>
      <w:r w:rsidRPr="000F4E83">
        <w:rPr>
          <w:rFonts w:ascii="Times New Roman" w:hAnsi="Times New Roman" w:cs="Times New Roman"/>
          <w:lang w:val="en-GB"/>
        </w:rPr>
        <w:drawing>
          <wp:inline distT="0" distB="0" distL="0" distR="0" wp14:anchorId="3578EF67" wp14:editId="5B88647F">
            <wp:extent cx="5731510" cy="344614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1203" w14:textId="42BD68D5" w:rsidR="00BD2B41" w:rsidRDefault="00BD2B41" w:rsidP="00BD2B41">
      <w:pPr>
        <w:pStyle w:val="ListParagraph"/>
        <w:spacing w:line="360" w:lineRule="auto"/>
        <w:rPr>
          <w:rFonts w:ascii="Times New Roman" w:hAnsi="Times New Roman" w:cs="Times New Roman"/>
          <w:highlight w:val="yellow"/>
          <w:lang w:val="en-GB"/>
        </w:rPr>
      </w:pPr>
      <w:bookmarkStart w:id="0" w:name="OLE_LINK13"/>
      <w:bookmarkStart w:id="1" w:name="OLE_LINK14"/>
    </w:p>
    <w:p w14:paraId="5F424A30" w14:textId="2D92BC45" w:rsidR="00BD2B41" w:rsidRDefault="00BD2B41" w:rsidP="00BD2B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highlight w:val="yellow"/>
          <w:lang w:val="en-GB"/>
        </w:rPr>
      </w:pPr>
      <w:r>
        <w:rPr>
          <w:rFonts w:ascii="Times New Roman" w:hAnsi="Times New Roman" w:cs="Times New Roman"/>
          <w:highlight w:val="yellow"/>
          <w:lang w:val="en-GB"/>
        </w:rPr>
        <w:t>New announcements table, before and after filter comparisons (can be done by myself)</w:t>
      </w:r>
    </w:p>
    <w:p w14:paraId="7ECADD1B" w14:textId="0AECCC8F" w:rsidR="00BD2B41" w:rsidRDefault="00BD2B41" w:rsidP="00BD2B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highlight w:val="yellow"/>
          <w:lang w:val="en-GB"/>
        </w:rPr>
      </w:pPr>
      <w:r>
        <w:rPr>
          <w:rFonts w:ascii="Times New Roman" w:hAnsi="Times New Roman" w:cs="Times New Roman"/>
          <w:highlight w:val="yellow"/>
          <w:lang w:val="en-GB"/>
        </w:rPr>
        <w:t>News filter: after filtering the below news announces, we see them as my “announcements days”.</w:t>
      </w:r>
    </w:p>
    <w:p w14:paraId="3B63209F" w14:textId="28CABD4B" w:rsidR="00BD2B41" w:rsidRDefault="00BD2B41" w:rsidP="00BD2B41">
      <w:pPr>
        <w:pStyle w:val="ListParagraph"/>
        <w:spacing w:line="360" w:lineRule="auto"/>
        <w:rPr>
          <w:rFonts w:ascii="Times New Roman" w:hAnsi="Times New Roman" w:cs="Times New Roman"/>
          <w:highlight w:val="yellow"/>
          <w:lang w:val="en-GB"/>
        </w:rPr>
      </w:pPr>
    </w:p>
    <w:p w14:paraId="2BB8F4A2" w14:textId="7CD33047" w:rsidR="00BD2B41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 xml:space="preserve">For SX7E: </w:t>
      </w:r>
    </w:p>
    <w:p w14:paraId="33913CEF" w14:textId="7A3A5AC3" w:rsidR="00BD2B41" w:rsidRPr="006A57DA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6A57DA">
        <w:rPr>
          <w:rFonts w:ascii="Times New Roman" w:hAnsi="Times New Roman" w:cs="Times New Roman"/>
          <w:i/>
          <w:iCs/>
          <w:lang w:val="en-GB"/>
        </w:rPr>
        <w:t>ECB Main refinancing rate (EC)</w:t>
      </w:r>
    </w:p>
    <w:p w14:paraId="65DB6AAC" w14:textId="77777777" w:rsidR="00BD2B41" w:rsidRPr="006A57DA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6A57DA">
        <w:rPr>
          <w:rFonts w:ascii="Times New Roman" w:hAnsi="Times New Roman" w:cs="Times New Roman"/>
          <w:i/>
          <w:iCs/>
          <w:lang w:val="en-GB"/>
        </w:rPr>
        <w:t>CPI (EC)</w:t>
      </w:r>
    </w:p>
    <w:p w14:paraId="2D983E20" w14:textId="77777777" w:rsidR="00BD2B41" w:rsidRPr="006A57DA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6A57DA">
        <w:rPr>
          <w:rFonts w:ascii="Times New Roman" w:hAnsi="Times New Roman" w:cs="Times New Roman"/>
          <w:i/>
          <w:iCs/>
          <w:lang w:val="en-GB"/>
        </w:rPr>
        <w:lastRenderedPageBreak/>
        <w:t>GDP(EC)</w:t>
      </w:r>
    </w:p>
    <w:p w14:paraId="44940BD8" w14:textId="37D06D31" w:rsidR="00BD2B41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bookmarkStart w:id="2" w:name="OLE_LINK11"/>
      <w:bookmarkStart w:id="3" w:name="OLE_LINK12"/>
      <w:r w:rsidRPr="006A57DA">
        <w:rPr>
          <w:rFonts w:ascii="Times New Roman" w:hAnsi="Times New Roman" w:cs="Times New Roman"/>
          <w:i/>
          <w:iCs/>
          <w:lang w:val="en-GB"/>
        </w:rPr>
        <w:t xml:space="preserve">S&amp;P global eurozone manufacturing PMI </w:t>
      </w:r>
      <w:bookmarkEnd w:id="2"/>
      <w:bookmarkEnd w:id="3"/>
      <w:r w:rsidRPr="006A57DA">
        <w:rPr>
          <w:rFonts w:ascii="Times New Roman" w:hAnsi="Times New Roman" w:cs="Times New Roman"/>
          <w:i/>
          <w:iCs/>
          <w:lang w:val="en-GB"/>
        </w:rPr>
        <w:t>(EC)</w:t>
      </w:r>
    </w:p>
    <w:p w14:paraId="51F9C099" w14:textId="77DFBB8E" w:rsidR="00BD2B41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5D2B3763" w14:textId="13FA0910" w:rsidR="00BD2B41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US:</w:t>
      </w:r>
    </w:p>
    <w:p w14:paraId="119855B6" w14:textId="77777777" w:rsidR="00BD2B41" w:rsidRPr="000F1E8E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0F1E8E">
        <w:rPr>
          <w:rFonts w:ascii="Times New Roman" w:hAnsi="Times New Roman" w:cs="Times New Roman"/>
          <w:i/>
          <w:iCs/>
          <w:lang w:val="en-GB"/>
        </w:rPr>
        <w:t>FOMC Rates decisions</w:t>
      </w:r>
    </w:p>
    <w:p w14:paraId="1C1CDF04" w14:textId="77777777" w:rsidR="00BD2B41" w:rsidRPr="000F1E8E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0F1E8E">
        <w:rPr>
          <w:rFonts w:ascii="Times New Roman" w:hAnsi="Times New Roman" w:cs="Times New Roman"/>
          <w:i/>
          <w:iCs/>
          <w:lang w:val="en-GB"/>
        </w:rPr>
        <w:t>Change in nonfarm payrolls</w:t>
      </w:r>
    </w:p>
    <w:p w14:paraId="1AA46343" w14:textId="77777777" w:rsidR="00BD2B41" w:rsidRPr="000F1E8E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0F1E8E">
        <w:rPr>
          <w:rFonts w:ascii="Times New Roman" w:hAnsi="Times New Roman" w:cs="Times New Roman"/>
          <w:i/>
          <w:iCs/>
          <w:lang w:val="en-GB"/>
        </w:rPr>
        <w:t>Initial jobless claims</w:t>
      </w:r>
    </w:p>
    <w:p w14:paraId="2F80CDC5" w14:textId="77777777" w:rsidR="00BD2B41" w:rsidRPr="000F1E8E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0F1E8E">
        <w:rPr>
          <w:rFonts w:ascii="Times New Roman" w:hAnsi="Times New Roman" w:cs="Times New Roman"/>
          <w:i/>
          <w:iCs/>
          <w:lang w:val="en-GB"/>
        </w:rPr>
        <w:t>CPI</w:t>
      </w:r>
    </w:p>
    <w:p w14:paraId="7B62BC87" w14:textId="77777777" w:rsidR="00BD2B41" w:rsidRPr="000F1E8E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0F1E8E">
        <w:rPr>
          <w:rFonts w:ascii="Times New Roman" w:hAnsi="Times New Roman" w:cs="Times New Roman"/>
          <w:i/>
          <w:iCs/>
          <w:lang w:val="en-GB"/>
        </w:rPr>
        <w:t>GDP</w:t>
      </w:r>
    </w:p>
    <w:p w14:paraId="15E78F91" w14:textId="77777777" w:rsidR="00BD2B41" w:rsidRPr="000F1E8E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0F1E8E">
        <w:rPr>
          <w:rFonts w:ascii="Times New Roman" w:hAnsi="Times New Roman" w:cs="Times New Roman"/>
          <w:i/>
          <w:iCs/>
          <w:lang w:val="en-GB"/>
        </w:rPr>
        <w:t xml:space="preserve">ISM Manufacturing </w:t>
      </w:r>
    </w:p>
    <w:p w14:paraId="49104E4A" w14:textId="77777777" w:rsidR="00BD2B41" w:rsidRPr="006A57DA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7E973C79" w14:textId="77777777" w:rsidR="00BD2B41" w:rsidRPr="006A57DA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0AF7FA73" w14:textId="77777777" w:rsidR="00BD2B41" w:rsidRPr="006A57DA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6A57DA">
        <w:rPr>
          <w:rFonts w:ascii="Times New Roman" w:hAnsi="Times New Roman" w:cs="Times New Roman"/>
          <w:i/>
          <w:iCs/>
          <w:lang w:val="en-GB"/>
        </w:rPr>
        <w:t xml:space="preserve">Below German areas news exclusively for FGBL: </w:t>
      </w:r>
    </w:p>
    <w:p w14:paraId="664FD76E" w14:textId="77777777" w:rsidR="00BD2B41" w:rsidRPr="006A57DA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6A57DA">
        <w:rPr>
          <w:rFonts w:ascii="Times New Roman" w:hAnsi="Times New Roman" w:cs="Times New Roman"/>
          <w:i/>
          <w:iCs/>
          <w:lang w:val="en-GB"/>
        </w:rPr>
        <w:t>IFO Business climate (GE)</w:t>
      </w:r>
    </w:p>
    <w:p w14:paraId="20088602" w14:textId="77777777" w:rsidR="00BD2B41" w:rsidRPr="006A57DA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6A57DA">
        <w:rPr>
          <w:rFonts w:ascii="Times New Roman" w:hAnsi="Times New Roman" w:cs="Times New Roman"/>
          <w:i/>
          <w:iCs/>
          <w:lang w:val="en-GB"/>
        </w:rPr>
        <w:t>ZEW Survey expectations (GE)</w:t>
      </w:r>
    </w:p>
    <w:p w14:paraId="0209B58D" w14:textId="77777777" w:rsidR="00BD2B41" w:rsidRPr="006A57DA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6A57DA">
        <w:rPr>
          <w:rFonts w:ascii="Times New Roman" w:hAnsi="Times New Roman" w:cs="Times New Roman"/>
          <w:i/>
          <w:iCs/>
          <w:lang w:val="en-GB"/>
        </w:rPr>
        <w:t>CPI(GE)</w:t>
      </w:r>
    </w:p>
    <w:p w14:paraId="498685E3" w14:textId="77777777" w:rsidR="00BD2B41" w:rsidRPr="006A57DA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6A57DA">
        <w:rPr>
          <w:rFonts w:ascii="Times New Roman" w:hAnsi="Times New Roman" w:cs="Times New Roman"/>
          <w:i/>
          <w:iCs/>
          <w:lang w:val="en-GB"/>
        </w:rPr>
        <w:t>S&amp;P global/BME Germany manufacturing PMI</w:t>
      </w:r>
    </w:p>
    <w:p w14:paraId="04CC9CF3" w14:textId="77777777" w:rsidR="00BD2B41" w:rsidRPr="00BD2B41" w:rsidRDefault="00BD2B41" w:rsidP="00BD2B41">
      <w:pPr>
        <w:pStyle w:val="ListParagraph"/>
        <w:spacing w:line="360" w:lineRule="auto"/>
        <w:rPr>
          <w:rFonts w:ascii="Times New Roman" w:hAnsi="Times New Roman" w:cs="Times New Roman"/>
          <w:highlight w:val="yellow"/>
          <w:lang w:val="en-GB"/>
        </w:rPr>
      </w:pPr>
    </w:p>
    <w:bookmarkEnd w:id="0"/>
    <w:bookmarkEnd w:id="1"/>
    <w:p w14:paraId="4393F2C4" w14:textId="776B930F" w:rsidR="00BD2B41" w:rsidRDefault="00BD2B41" w:rsidP="00BD2B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GB"/>
        </w:rPr>
      </w:pPr>
      <w:r w:rsidRPr="00BD2B41">
        <w:rPr>
          <w:rFonts w:ascii="Times New Roman" w:hAnsi="Times New Roman" w:cs="Times New Roman"/>
          <w:highlight w:val="yellow"/>
          <w:lang w:val="en-GB"/>
        </w:rPr>
        <w:t xml:space="preserve">By observing the intraday pattern, I plot the average volatility over each minute of the day. First, only select non announcement days. Then, (on each day, on this minute, the </w:t>
      </w:r>
      <w:proofErr w:type="spellStart"/>
      <w:r w:rsidRPr="00BD2B41">
        <w:rPr>
          <w:rFonts w:ascii="Times New Roman" w:hAnsi="Times New Roman" w:cs="Times New Roman"/>
          <w:highlight w:val="yellow"/>
          <w:lang w:val="en-GB"/>
        </w:rPr>
        <w:t>squartroot</w:t>
      </w:r>
      <w:proofErr w:type="spellEnd"/>
      <w:r w:rsidRPr="00BD2B41">
        <w:rPr>
          <w:rFonts w:ascii="Times New Roman" w:hAnsi="Times New Roman" w:cs="Times New Roman"/>
          <w:highlight w:val="yellow"/>
          <w:lang w:val="en-GB"/>
        </w:rPr>
        <w:t xml:space="preserve"> of the average of squared returns) (and the average trading volume across each minute) Figure: Intraday pattern of vola and volume</w:t>
      </w:r>
      <w:r w:rsidRPr="00BD2B41">
        <w:rPr>
          <w:rFonts w:ascii="Times New Roman" w:hAnsi="Times New Roman" w:cs="Times New Roman"/>
          <w:lang w:val="en-GB"/>
        </w:rPr>
        <w:t xml:space="preserve">: </w:t>
      </w:r>
      <w:bookmarkStart w:id="4" w:name="OLE_LINK22"/>
      <w:bookmarkStart w:id="5" w:name="OLE_LINK23"/>
    </w:p>
    <w:p w14:paraId="74F5A4ED" w14:textId="6CF8A011" w:rsidR="00BD2B41" w:rsidRPr="00BD2B41" w:rsidRDefault="00BD2B41" w:rsidP="00BD2B41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2B3BAD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19219E72" wp14:editId="336A24B1">
            <wp:extent cx="5731510" cy="4085590"/>
            <wp:effectExtent l="0" t="0" r="0" b="381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5"/>
    <w:p w14:paraId="1DD51F13" w14:textId="77777777" w:rsidR="00BD2B41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2D2310C5" w14:textId="3E8FEF03" w:rsidR="00BD2B41" w:rsidRPr="00BD2B41" w:rsidRDefault="00BD2B41" w:rsidP="00BD2B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highlight w:val="yellow"/>
          <w:lang w:val="en-GB"/>
        </w:rPr>
      </w:pPr>
    </w:p>
    <w:p w14:paraId="3432B2A0" w14:textId="304DA0EA" w:rsidR="00BD2B41" w:rsidRPr="00D76122" w:rsidRDefault="00BD2B41" w:rsidP="00BD2B41">
      <w:pPr>
        <w:spacing w:line="360" w:lineRule="auto"/>
        <w:rPr>
          <w:rFonts w:ascii="Times New Roman" w:hAnsi="Times New Roman" w:cs="Times New Roman"/>
          <w:i/>
          <w:iCs/>
          <w:highlight w:val="yellow"/>
          <w:lang w:val="en-GB"/>
        </w:rPr>
      </w:pPr>
      <w:r w:rsidRPr="00D76122">
        <w:rPr>
          <w:rFonts w:ascii="Times New Roman" w:hAnsi="Times New Roman" w:cs="Times New Roman"/>
          <w:i/>
          <w:iCs/>
          <w:highlight w:val="yellow"/>
          <w:lang w:val="en-GB"/>
        </w:rPr>
        <w:t>Volume intensity: 15min mean volume</w:t>
      </w:r>
    </w:p>
    <w:p w14:paraId="56434A10" w14:textId="0BC1B0EA" w:rsidR="00BD2B41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  <w:r w:rsidRPr="00BD2B41">
        <w:rPr>
          <w:rFonts w:ascii="Times New Roman" w:hAnsi="Times New Roman" w:cs="Times New Roman"/>
          <w:i/>
          <w:iCs/>
          <w:highlight w:val="yellow"/>
          <w:lang w:val="en-GB"/>
        </w:rPr>
        <w:t xml:space="preserve">Volatility: </w:t>
      </w:r>
      <w:proofErr w:type="spellStart"/>
      <w:r w:rsidRPr="00BD2B41">
        <w:rPr>
          <w:rFonts w:ascii="Times New Roman" w:hAnsi="Times New Roman" w:cs="Times New Roman"/>
          <w:i/>
          <w:iCs/>
          <w:highlight w:val="yellow"/>
          <w:lang w:val="en-GB"/>
        </w:rPr>
        <w:t>squared</w:t>
      </w:r>
      <w:r w:rsidRPr="00BD2B41">
        <w:rPr>
          <w:rFonts w:ascii="Times New Roman" w:hAnsi="Times New Roman" w:cs="Times New Roman"/>
          <w:i/>
          <w:iCs/>
          <w:lang w:val="en-GB"/>
        </w:rPr>
        <w:t>root</w:t>
      </w:r>
      <w:proofErr w:type="spellEnd"/>
      <w:r w:rsidRPr="00BD2B41">
        <w:rPr>
          <w:rFonts w:ascii="Times New Roman" w:hAnsi="Times New Roman" w:cs="Times New Roman"/>
          <w:i/>
          <w:iCs/>
          <w:lang w:val="en-GB"/>
        </w:rPr>
        <w:t xml:space="preserve"> </w:t>
      </w:r>
      <w:proofErr w:type="gramStart"/>
      <w:r w:rsidRPr="00BD2B41">
        <w:rPr>
          <w:rFonts w:ascii="Times New Roman" w:hAnsi="Times New Roman" w:cs="Times New Roman"/>
          <w:i/>
          <w:iCs/>
          <w:lang w:val="en-GB"/>
        </w:rPr>
        <w:t>of( sum</w:t>
      </w:r>
      <w:proofErr w:type="gramEnd"/>
      <w:r w:rsidRPr="00BD2B41">
        <w:rPr>
          <w:rFonts w:ascii="Times New Roman" w:hAnsi="Times New Roman" w:cs="Times New Roman"/>
          <w:i/>
          <w:iCs/>
          <w:lang w:val="en-GB"/>
        </w:rPr>
        <w:t xml:space="preserve"> of the return square.)</w:t>
      </w:r>
    </w:p>
    <w:p w14:paraId="20ACC199" w14:textId="1E8BD417" w:rsidR="00BD2B41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39EC7582" w14:textId="17561C94" w:rsidR="00BD2B41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plots the </w:t>
      </w:r>
      <w:r w:rsidRPr="009E4A23">
        <w:rPr>
          <w:rFonts w:ascii="Times New Roman" w:hAnsi="Times New Roman" w:cs="Times New Roman"/>
          <w:u w:val="single"/>
          <w:lang w:val="en-GB"/>
        </w:rPr>
        <w:t>average volume</w:t>
      </w:r>
      <w:r>
        <w:rPr>
          <w:rFonts w:ascii="Times New Roman" w:hAnsi="Times New Roman" w:cs="Times New Roman"/>
          <w:u w:val="single"/>
          <w:lang w:val="en-GB"/>
        </w:rPr>
        <w:t xml:space="preserve"> intensity</w:t>
      </w:r>
      <w:r w:rsidRPr="009E4A23">
        <w:rPr>
          <w:rFonts w:ascii="Times New Roman" w:hAnsi="Times New Roman" w:cs="Times New Roman"/>
          <w:u w:val="single"/>
          <w:lang w:val="en-GB"/>
        </w:rPr>
        <w:t xml:space="preserve"> and volatilities</w:t>
      </w:r>
      <w:r>
        <w:rPr>
          <w:rFonts w:ascii="Times New Roman" w:hAnsi="Times New Roman" w:cs="Times New Roman"/>
          <w:lang w:val="en-GB"/>
        </w:rPr>
        <w:t xml:space="preserve"> changes before and after the Eurozone area news announcements.</w:t>
      </w:r>
    </w:p>
    <w:p w14:paraId="5D930778" w14:textId="6C927F27" w:rsidR="00BD2B41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4B24DEF9" w14:textId="1A609358" w:rsidR="00BD2B41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Then plot the changes for US news change. </w:t>
      </w:r>
    </w:p>
    <w:p w14:paraId="06015BE8" w14:textId="7938294A" w:rsidR="00BD2B41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For FGBL only use the GE news.</w:t>
      </w:r>
    </w:p>
    <w:p w14:paraId="06D5970C" w14:textId="6269AF8F" w:rsidR="00BD2B41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  <w:r w:rsidRPr="00EB6143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0B80FB76" wp14:editId="313347CC">
            <wp:extent cx="5731510" cy="3706495"/>
            <wp:effectExtent l="0" t="0" r="0" b="190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C595" w14:textId="70BB6F7A" w:rsidR="00BD2B41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4A9B43A5" w14:textId="1E4DFB74" w:rsidR="00BD2B41" w:rsidRDefault="00BD2B41" w:rsidP="00BD2B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highlight w:val="yellow"/>
          <w:lang w:val="en-GB"/>
        </w:rPr>
        <w:t xml:space="preserve">Plot a figure </w:t>
      </w:r>
      <w:r w:rsidRPr="00BD2B41">
        <w:rPr>
          <w:rFonts w:ascii="Times New Roman" w:hAnsi="Times New Roman" w:cs="Times New Roman"/>
          <w:highlight w:val="yellow"/>
          <w:lang w:val="en-GB"/>
        </w:rPr>
        <w:t xml:space="preserve">depicts each events </w:t>
      </w:r>
      <w:r>
        <w:rPr>
          <w:rFonts w:ascii="Times New Roman" w:hAnsi="Times New Roman" w:cs="Times New Roman"/>
          <w:highlight w:val="yellow"/>
          <w:lang w:val="en-GB"/>
        </w:rPr>
        <w:t xml:space="preserve">volume and vola </w:t>
      </w:r>
      <w:r w:rsidRPr="00BD2B41">
        <w:rPr>
          <w:rFonts w:ascii="Times New Roman" w:hAnsi="Times New Roman" w:cs="Times New Roman"/>
          <w:highlight w:val="yellow"/>
          <w:lang w:val="en-GB"/>
        </w:rPr>
        <w:t>change across our data set.</w:t>
      </w:r>
      <w:r w:rsidRPr="00BD2B41">
        <w:rPr>
          <w:rFonts w:ascii="Times New Roman" w:hAnsi="Times New Roman" w:cs="Times New Roman"/>
          <w:lang w:val="en-GB"/>
        </w:rPr>
        <w:t xml:space="preserve"> </w:t>
      </w:r>
    </w:p>
    <w:p w14:paraId="6F321ED5" w14:textId="70D5CFB5" w:rsidR="00BD2B41" w:rsidRPr="00BD2B41" w:rsidRDefault="00BD2B41" w:rsidP="00BD2B41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1E7C5A">
        <w:rPr>
          <w:rFonts w:ascii="Times New Roman" w:hAnsi="Times New Roman" w:cs="Times New Roman"/>
          <w:lang w:val="en-GB"/>
        </w:rPr>
        <w:drawing>
          <wp:inline distT="0" distB="0" distL="0" distR="0" wp14:anchorId="558E362F" wp14:editId="18CE6418">
            <wp:extent cx="5731510" cy="4065905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6039" w14:textId="77777777" w:rsidR="00BD2B41" w:rsidRPr="00BD2B41" w:rsidRDefault="00BD2B41" w:rsidP="00BD2B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GB"/>
        </w:rPr>
      </w:pPr>
      <w:r w:rsidRPr="00BD2B41">
        <w:rPr>
          <w:rFonts w:ascii="Times New Roman" w:hAnsi="Times New Roman" w:cs="Times New Roman"/>
          <w:highlight w:val="yellow"/>
          <w:lang w:val="en-GB"/>
        </w:rPr>
        <w:t>normalized the one-minute return and plot the pre and post volume:</w:t>
      </w:r>
    </w:p>
    <w:p w14:paraId="61B094B4" w14:textId="77DAA78A" w:rsidR="00BD2B41" w:rsidRDefault="00BD2B41" w:rsidP="00BD2B41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 w:rsidRPr="0067451A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13FC2285" wp14:editId="30D85FA9">
            <wp:extent cx="5731510" cy="4077335"/>
            <wp:effectExtent l="0" t="0" r="0" b="0"/>
            <wp:docPr id="8" name="Picture 8" descr="Graphical user interface,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shape, arrow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F4FF" w14:textId="7DC7B335" w:rsidR="00BD2B41" w:rsidRDefault="00BD2B41" w:rsidP="00BD2B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plot the vola and volume elasticity (use log)</w:t>
      </w:r>
    </w:p>
    <w:p w14:paraId="4B5F9D3E" w14:textId="2E2027E5" w:rsidR="00BD2B41" w:rsidRDefault="00BD2B41" w:rsidP="00BD2B41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p w14:paraId="05E4A1E1" w14:textId="32A5F8A8" w:rsidR="00BD2B41" w:rsidRPr="00BB2183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lang w:val="en-GB"/>
        </w:rPr>
        <w:t>Vola :</w:t>
      </w:r>
      <w:r w:rsidRPr="00BB2183">
        <w:rPr>
          <w:rFonts w:ascii="Times New Roman" w:hAnsi="Times New Roman" w:cs="Times New Roman"/>
          <w:lang w:val="en-GB"/>
        </w:rPr>
        <w:t>log</w:t>
      </w:r>
      <w:proofErr w:type="gramEnd"/>
      <w:r w:rsidRPr="00BB2183">
        <w:rPr>
          <w:rFonts w:ascii="Times New Roman" w:hAnsi="Times New Roman" w:cs="Times New Roman"/>
          <w:lang w:val="en-GB"/>
        </w:rPr>
        <w:t>(</w:t>
      </w:r>
      <w:proofErr w:type="spellStart"/>
      <w:r w:rsidRPr="00BB2183">
        <w:rPr>
          <w:rFonts w:ascii="Times New Roman" w:hAnsi="Times New Roman" w:cs="Times New Roman"/>
          <w:lang w:val="en-GB"/>
        </w:rPr>
        <w:t>στ</w:t>
      </w:r>
      <w:proofErr w:type="spellEnd"/>
      <w:r w:rsidRPr="00BB2183">
        <w:rPr>
          <w:rFonts w:ascii="Times New Roman" w:hAnsi="Times New Roman" w:cs="Times New Roman"/>
          <w:lang w:val="en-GB"/>
        </w:rPr>
        <w:t xml:space="preserve"> )≡log(</w:t>
      </w:r>
      <w:proofErr w:type="spellStart"/>
      <w:r w:rsidRPr="00BB2183">
        <w:rPr>
          <w:rFonts w:ascii="Times New Roman" w:hAnsi="Times New Roman" w:cs="Times New Roman"/>
          <w:lang w:val="en-GB"/>
        </w:rPr>
        <w:t>στ</w:t>
      </w:r>
      <w:proofErr w:type="spellEnd"/>
      <w:r w:rsidRPr="00BB2183">
        <w:rPr>
          <w:rFonts w:ascii="Times New Roman" w:hAnsi="Times New Roman" w:cs="Times New Roman"/>
          <w:lang w:val="en-GB"/>
        </w:rPr>
        <w:t xml:space="preserve"> )−log(</w:t>
      </w:r>
      <w:proofErr w:type="spellStart"/>
      <w:r w:rsidRPr="00BB2183">
        <w:rPr>
          <w:rFonts w:ascii="Times New Roman" w:hAnsi="Times New Roman" w:cs="Times New Roman"/>
          <w:lang w:val="en-GB"/>
        </w:rPr>
        <w:t>στ</w:t>
      </w:r>
      <w:proofErr w:type="spellEnd"/>
      <w:r w:rsidRPr="00BB2183">
        <w:rPr>
          <w:rFonts w:ascii="Times New Roman" w:hAnsi="Times New Roman" w:cs="Times New Roman"/>
          <w:lang w:val="en-GB"/>
        </w:rPr>
        <w:t>−) and</w:t>
      </w:r>
    </w:p>
    <w:p w14:paraId="2F22E79E" w14:textId="60F80B55" w:rsidR="00BD2B41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Volume:</w:t>
      </w:r>
      <w:proofErr w:type="gramStart"/>
      <w:r w:rsidRPr="00BB2183">
        <w:rPr>
          <w:rFonts w:ascii="Times New Roman" w:hAnsi="Times New Roman" w:cs="Times New Roman"/>
          <w:lang w:val="en-GB"/>
        </w:rPr>
        <w:t>log</w:t>
      </w:r>
      <w:proofErr w:type="spellEnd"/>
      <w:r w:rsidRPr="00BB2183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BB2183">
        <w:rPr>
          <w:rFonts w:ascii="Times New Roman" w:hAnsi="Times New Roman" w:cs="Times New Roman"/>
          <w:lang w:val="en-GB"/>
        </w:rPr>
        <w:t>mτ</w:t>
      </w:r>
      <w:proofErr w:type="spellEnd"/>
      <w:r w:rsidRPr="00BB2183">
        <w:rPr>
          <w:rFonts w:ascii="Times New Roman" w:hAnsi="Times New Roman" w:cs="Times New Roman"/>
          <w:lang w:val="en-GB"/>
        </w:rPr>
        <w:t xml:space="preserve"> )≡log(</w:t>
      </w:r>
      <w:proofErr w:type="spellStart"/>
      <w:r w:rsidRPr="00BB2183">
        <w:rPr>
          <w:rFonts w:ascii="Times New Roman" w:hAnsi="Times New Roman" w:cs="Times New Roman"/>
          <w:lang w:val="en-GB"/>
        </w:rPr>
        <w:t>mτ</w:t>
      </w:r>
      <w:proofErr w:type="spellEnd"/>
      <w:r w:rsidRPr="00BB2183">
        <w:rPr>
          <w:rFonts w:ascii="Times New Roman" w:hAnsi="Times New Roman" w:cs="Times New Roman"/>
          <w:lang w:val="en-GB"/>
        </w:rPr>
        <w:t xml:space="preserve"> )−log(</w:t>
      </w:r>
      <w:proofErr w:type="spellStart"/>
      <w:r w:rsidRPr="00BB2183">
        <w:rPr>
          <w:rFonts w:ascii="Times New Roman" w:hAnsi="Times New Roman" w:cs="Times New Roman"/>
          <w:lang w:val="en-GB"/>
        </w:rPr>
        <w:t>mτ</w:t>
      </w:r>
      <w:proofErr w:type="spellEnd"/>
      <w:r w:rsidRPr="00BB2183">
        <w:rPr>
          <w:rFonts w:ascii="Times New Roman" w:hAnsi="Times New Roman" w:cs="Times New Roman"/>
          <w:lang w:val="en-GB"/>
        </w:rPr>
        <w:t>−)</w:t>
      </w:r>
    </w:p>
    <w:p w14:paraId="26D79C9D" w14:textId="389FF99E" w:rsidR="00BD2B41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6C380048" w14:textId="7B3AC5B9" w:rsidR="00BD2B41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log difference Before 15 min and after 15min </w:t>
      </w:r>
    </w:p>
    <w:p w14:paraId="18C04FFA" w14:textId="0E3A74FC" w:rsidR="00BD2B41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  <w:r w:rsidRPr="00BB7B5B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4906BC78" wp14:editId="02623FE9">
            <wp:extent cx="5731510" cy="4496435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A8E2" w14:textId="235DBE7B" w:rsidR="00BD2B41" w:rsidRDefault="00BD2B41" w:rsidP="00BD2B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plot a </w:t>
      </w:r>
      <w:proofErr w:type="gramStart"/>
      <w:r>
        <w:rPr>
          <w:rFonts w:ascii="Times New Roman" w:hAnsi="Times New Roman" w:cs="Times New Roman"/>
          <w:lang w:val="en-GB"/>
        </w:rPr>
        <w:t>table :</w:t>
      </w:r>
      <w:proofErr w:type="gramEnd"/>
      <w:r>
        <w:rPr>
          <w:rFonts w:ascii="Times New Roman" w:hAnsi="Times New Roman" w:cs="Times New Roman"/>
          <w:lang w:val="en-GB"/>
        </w:rPr>
        <w:t xml:space="preserve"> which sort of news announcements have the biggest vola &amp; volume jump. </w:t>
      </w:r>
    </w:p>
    <w:p w14:paraId="5E614096" w14:textId="4CFA5674" w:rsidR="00BD2B41" w:rsidRPr="00BD2B41" w:rsidRDefault="00BD2B41" w:rsidP="00BD2B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Analysis during the war times. (tbc)</w:t>
      </w:r>
    </w:p>
    <w:p w14:paraId="3F6E22C1" w14:textId="7F381A08" w:rsidR="00BD2B41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264B8F88" w14:textId="77777777" w:rsidR="00BD2B41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22A743E6" w14:textId="77777777" w:rsidR="00BD2B41" w:rsidRPr="00BD2B41" w:rsidRDefault="00BD2B41" w:rsidP="00BD2B41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p w14:paraId="17FCB84D" w14:textId="5702A89E" w:rsidR="00BD2B41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p w14:paraId="55372D46" w14:textId="77777777" w:rsidR="00BD2B41" w:rsidRDefault="00BD2B41" w:rsidP="00BD2B41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75543119" w14:textId="77777777" w:rsidR="00BD2B41" w:rsidRPr="00BD2B41" w:rsidRDefault="00BD2B41" w:rsidP="00BD2B41">
      <w:pPr>
        <w:spacing w:line="360" w:lineRule="auto"/>
        <w:rPr>
          <w:rFonts w:ascii="Times New Roman" w:hAnsi="Times New Roman" w:cs="Times New Roman"/>
          <w:highlight w:val="yellow"/>
          <w:lang w:val="en-GB"/>
        </w:rPr>
      </w:pPr>
    </w:p>
    <w:p w14:paraId="0A9CA2C8" w14:textId="77777777" w:rsidR="00BD2B41" w:rsidRDefault="00BD2B41" w:rsidP="00BD2B41">
      <w:pPr>
        <w:spacing w:line="360" w:lineRule="auto"/>
        <w:rPr>
          <w:rFonts w:ascii="Times New Roman" w:hAnsi="Times New Roman" w:cs="Times New Roman"/>
          <w:i/>
          <w:iCs/>
          <w:lang w:val="en-GB"/>
        </w:rPr>
      </w:pPr>
    </w:p>
    <w:p w14:paraId="1D43C56F" w14:textId="6CE0ABFD" w:rsidR="00BD2B41" w:rsidRPr="00BD2B41" w:rsidRDefault="00BD2B41" w:rsidP="00BD2B41">
      <w:pPr>
        <w:rPr>
          <w:lang w:val="en-US"/>
        </w:rPr>
      </w:pPr>
    </w:p>
    <w:sectPr w:rsidR="00BD2B41" w:rsidRPr="00BD2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7878"/>
    <w:multiLevelType w:val="hybridMultilevel"/>
    <w:tmpl w:val="0862ECDC"/>
    <w:lvl w:ilvl="0" w:tplc="5950D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542"/>
    <w:multiLevelType w:val="hybridMultilevel"/>
    <w:tmpl w:val="AD3C8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110AD"/>
    <w:multiLevelType w:val="hybridMultilevel"/>
    <w:tmpl w:val="F3382FE6"/>
    <w:lvl w:ilvl="0" w:tplc="02E08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9102B5"/>
    <w:multiLevelType w:val="hybridMultilevel"/>
    <w:tmpl w:val="AD3C882C"/>
    <w:lvl w:ilvl="0" w:tplc="0A9A0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219B2"/>
    <w:multiLevelType w:val="hybridMultilevel"/>
    <w:tmpl w:val="AD3C8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75BB7"/>
    <w:multiLevelType w:val="hybridMultilevel"/>
    <w:tmpl w:val="AD3C8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973944">
    <w:abstractNumId w:val="0"/>
  </w:num>
  <w:num w:numId="2" w16cid:durableId="64572964">
    <w:abstractNumId w:val="3"/>
  </w:num>
  <w:num w:numId="3" w16cid:durableId="290330668">
    <w:abstractNumId w:val="2"/>
  </w:num>
  <w:num w:numId="4" w16cid:durableId="972759112">
    <w:abstractNumId w:val="5"/>
  </w:num>
  <w:num w:numId="5" w16cid:durableId="1992785233">
    <w:abstractNumId w:val="4"/>
  </w:num>
  <w:num w:numId="6" w16cid:durableId="632905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41"/>
    <w:rsid w:val="00BD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163E5"/>
  <w15:chartTrackingRefBased/>
  <w15:docId w15:val="{2E2E8595-D39B-1D49-A6D1-BA7C321A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Han</dc:creator>
  <cp:keywords/>
  <dc:description/>
  <cp:lastModifiedBy>Yi Han</cp:lastModifiedBy>
  <cp:revision>1</cp:revision>
  <dcterms:created xsi:type="dcterms:W3CDTF">2022-07-24T21:38:00Z</dcterms:created>
  <dcterms:modified xsi:type="dcterms:W3CDTF">2022-07-24T21:58:00Z</dcterms:modified>
</cp:coreProperties>
</file>