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이수민</w:t>
            </w:r>
          </w:p>
        </w:tc>
        <w:tc>
          <w:tcPr>
            <w:tcW w:type="dxa" w:w="1200"/>
          </w:tcPr>
          <w:p>
            <w:pPr>
              <w:jc w:val="center"/>
            </w:pPr>
            <w:r>
              <w:rPr>
                <w:rFonts w:ascii="맑은 고딕" w:hAnsi="맑은 고딕" w:eastAsia="맑은 고딕"/>
                <w:b w:val="0"/>
                <w:sz w:val="18"/>
              </w:rPr>
              <w:t>강민석</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2026년 하반기 사업전략 방향 보고서</w:t>
      </w:r>
    </w:p>
    <w:p>
      <w:r>
        <w:rPr>
          <w:rFonts w:ascii="맑은 고딕" w:hAnsi="맑은 고딕" w:eastAsia="맑은 고딕"/>
          <w:b w:val="0"/>
          <w:color w:val="595959"/>
          <w:sz w:val="18"/>
        </w:rPr>
        <w:t>문서번호: NW-STRAT-2026-014    작성일: 2026-08-10    작성자: 전략기획팀장 이수민    배포범위: 경영기획실 및 임원 한정</w:t>
      </w:r>
    </w:p>
    <w:p/>
    <w:p>
      <w:r>
        <w:rPr>
          <w:rFonts w:ascii="맑은 고딕" w:hAnsi="맑은 고딕" w:eastAsia="맑은 고딕"/>
          <w:b/>
          <w:color w:val="1F3864"/>
          <w:sz w:val="26"/>
        </w:rPr>
        <w:t>1. 보고 개요 및 추진 배경</w:t>
      </w:r>
    </w:p>
    <w:p>
      <w:pPr>
        <w:spacing w:line="312" w:lineRule="auto" w:after="160"/>
      </w:pPr>
      <w:r>
        <w:rPr>
          <w:rFonts w:ascii="맑은 고딕" w:hAnsi="맑은 고딕" w:eastAsia="맑은 고딕"/>
          <w:b w:val="0"/>
          <w:sz w:val="22"/>
        </w:rPr>
        <w:t>본 보고서는 2026년 하반기 ㈜네오웍스의 핵심 사업전략 방향을 정리한 것으로, 특히 이사회에서 승인된 PRJ-2026-07(일본 진출 프로젝트)의 추진 배경과 실행 계획을 중심으로 작성되었다. 당사는 2016년 설립 이래 국내 B2B 협업 SaaS 시장에서 '네오보드(NeoBoard)'를 통해 안정적인 성장을 이어왔으며, 최근 분기 매출 약 18억원, 영업이익률 약 12%를 기록하며 흑자 기조를 유지하고 있다. 그러나 국내 협업툴 시장은 이미 다수의 경쟁사가 진입해 있어 점유율 확대에 구조적 한계가 있다는 판단 하에, 경영기획실은 지난 1분기부터 해외 진출 타당성 검토를 진행해왔다.</w:t>
      </w:r>
    </w:p>
    <w:p>
      <w:pPr>
        <w:spacing w:line="312" w:lineRule="auto" w:after="160"/>
      </w:pPr>
      <w:r>
        <w:rPr>
          <w:rFonts w:ascii="맑은 고딕" w:hAnsi="맑은 고딕" w:eastAsia="맑은 고딕"/>
          <w:b w:val="0"/>
          <w:sz w:val="22"/>
        </w:rPr>
        <w:t>해외 진출 후보국으로는 일본, 동남아시아(베트남·싱가포르), 북미 3개 권역을 검토하였으며, 정성·정량 평가 결과 일본 시장이 최우선 진출 대상으로 선정되었다. 일본은 기업용 SaaS 지출 규모가 국내 대비 약 4.5배 크고, 디지털 전환(DX) 정책 기조에 따라 중소·중견기업의 업무 협업 도구 도입 수요가 빠르게 증가하고 있다. 또한 한국 기업에 대한 신뢰도가 상대적으로 높고, 시차·문화적 거리가 짧아 초기 진입 비용이 타 권역 대비 낮다는 점도 주요 선정 근거가 되었다.</w:t>
      </w:r>
    </w:p>
    <w:p>
      <w:pPr>
        <w:spacing w:line="312" w:lineRule="auto" w:after="160"/>
      </w:pPr>
      <w:r>
        <w:rPr>
          <w:rFonts w:ascii="맑은 고딕" w:hAnsi="맑은 고딕" w:eastAsia="맑은 고딕"/>
          <w:b w:val="0"/>
          <w:sz w:val="22"/>
        </w:rPr>
        <w:t>본 프로젝트는 PRJ-2026-07로 명명되어 경영기획실 주관, 개발본부(CTO 강민석) 및 영업팀(팀장 오세훈) 협업 체계로 추진되며, 2026년 9월 도쿄 현지 파트너사와의 업무협약(MOU) 체결을 시작으로 2027년 1분기 정식 서비스 출시를 목표로 한다. 본 보고서는 시장 환경, 경쟁 구도, 자사 역량, 실행 로드맵, 조직·재원 계획, KPI를 종합적으로 다루어 8월 하반기 경영전략회의 의결 자료로 활용될 예정이다.</w:t>
      </w:r>
    </w:p>
    <w:p>
      <w:pPr>
        <w:spacing w:line="312" w:lineRule="auto" w:after="160"/>
      </w:pPr>
      <w:r>
        <w:rPr>
          <w:rFonts w:ascii="맑은 고딕" w:hAnsi="맑은 고딕" w:eastAsia="맑은 고딕"/>
          <w:b w:val="0"/>
          <w:sz w:val="22"/>
        </w:rPr>
        <w:t>아울러 본 보고서는 대외비로 분류되며, 배포 범위는 경영기획실 및 임원진으로 한정한다. 시장 조사 데이터 중 일부는 외부 리서치 기관(가칭 J-Market Research)의 유료 보고서를 인용하였으며, 경쟁사 재무 정보는 각사 공개 IR 자료 및 업계 추정치를 기반으로 재구성한 값으로 실제 수치와 오차가 있을 수 있음을 밝힌다.</w:t>
      </w:r>
    </w:p>
    <w:p>
      <w:pPr>
        <w:spacing w:line="312" w:lineRule="auto" w:after="160"/>
      </w:pPr>
      <w:r>
        <w:rPr>
          <w:rFonts w:ascii="맑은 고딕" w:hAnsi="맑은 고딕" w:eastAsia="맑은 고딕"/>
          <w:b w:val="0"/>
          <w:sz w:val="22"/>
        </w:rPr>
        <w:t>본 보고서 작성을 위해 경영기획실은 6월 중순부터 7월 말까지 약 6주간에 걸쳐 시장조사, 경쟁사 인터뷰(비공개 채널을 통한 간접 조사 포함), 사내 부서별 인터뷰(개발본부, 영업팀, CS팀, IT보안팀, 법무팀, 재무회계팀, 인사팀)를 순차적으로 진행하였다. 특히 개발본부 강민석 CTO와는 총 3회에 걸친 심층 인터뷰를 통해 PRJ-2026-03(네오보드 3.0) 및 PRJ-2026-05(AI 요약 기능) 개발 일정과 일본 진출 로드맵 간의 정합성을 확인하였으며, 이 과정에서 도출된 시사점은 본 보고서 9장(제품 로드맵과 사업전략의 연계)에 별도로 반영하였다.</w:t>
      </w:r>
    </w:p>
    <w:p>
      <w:pPr>
        <w:spacing w:line="312" w:lineRule="auto" w:after="160"/>
      </w:pPr>
      <w:r>
        <w:rPr>
          <w:rFonts w:ascii="맑은 고딕" w:hAnsi="맑은 고딕" w:eastAsia="맑은 고딕"/>
          <w:b w:val="0"/>
          <w:sz w:val="22"/>
        </w:rPr>
        <w:t>2026년 하반기 당사의 사업전략은 크게 네 개의 축으로 구성된다. 첫째는 본 보고서의 중심 주제인 일본 진출(PRJ-2026-07)이며, 둘째는 국내 시장에서의 점유율 방어 및 심화(본 보고서 8장 참조), 셋째는 제품 경쟁력 강화를 위한 네오보드 3.0 출시(PRJ-2026-03) 및 AI 요약 기능 고도화(PRJ-2026-05), 넷째는 공공·금융권 진입을 위한 전제조건인 ISMS 인증 취득(PRJ-2026-02)이다. 이 네 개 축은 상호 독립적이지 않으며, 특히 ISMS 인증은 일본 진출 시 현지 기업의 보안 심사 대응에도 긍정적으로 작용할 것으로 기대되어 두 프로젝트 간 일정 조율이 중요한 관리 포인트로 부상하였다.</w:t>
      </w:r>
    </w:p>
    <w:p>
      <w:pPr>
        <w:spacing w:line="312" w:lineRule="auto" w:after="160"/>
      </w:pPr>
      <w:r>
        <w:rPr>
          <w:rFonts w:ascii="맑은 고딕" w:hAnsi="맑은 고딕" w:eastAsia="맑은 고딕"/>
          <w:b w:val="0"/>
          <w:sz w:val="22"/>
        </w:rPr>
        <w:t>본 보고서의 구성은 다음과 같다. 1장은 추진 배경을, 2장부터 4장까지는 일본 시장 환경, 경쟁사 분석, 자사 SWOT을 각각 다루며, 5장은 향후 12개월 실행 로드맵을 제시한다. 6장은 조직 및 재원 계획을, 7장은 성과 지표와 리스크 관리 방안을 다룬다. 이어 8장부터는 이번 개정판에서 신규로 추가된 내용으로, 8장 국내 시장 심화 전략, 9장 제품 로드맵과의 연계, 10장 부서별 채용 계획 상세, 11장 파트너십 전략, 12장 재무 목표 3개년 요약을 순서대로 다룬다.</w:t>
      </w:r>
    </w:p>
    <w:p>
      <w:pPr>
        <w:spacing w:line="312" w:lineRule="auto" w:after="160"/>
      </w:pPr>
      <w:r>
        <w:rPr>
          <w:rFonts w:ascii="맑은 고딕" w:hAnsi="맑은 고딕" w:eastAsia="맑은 고딕"/>
          <w:b w:val="0"/>
          <w:sz w:val="22"/>
        </w:rPr>
        <w:t>본 보고서는 8월 하반기 경영전략회의 의결을 거쳐 최종 확정되며, 확정 이후에는 이사회 보고 안건으로 상정될 예정이다. 승인 완료 시 각 부서는 본 보고서의 로드맵과 예산안을 근거로 3분기 실행 계획을 구체화하여 9월 첫째 주까지 경영기획실에 제출하도록 요청되었다. 경영기획실은 제출된 부서별 실행계획을 종합하여 통합 실행계획서(문서 06_통합실행계획서, 가칭)를 별도로 작성할 예정이다.</w:t>
      </w:r>
    </w:p>
    <w:p>
      <w:r>
        <w:rPr>
          <w:rFonts w:ascii="맑은 고딕" w:hAnsi="맑은 고딕" w:eastAsia="맑은 고딕"/>
          <w:b/>
          <w:color w:val="1F3864"/>
          <w:sz w:val="26"/>
        </w:rPr>
        <w:t>2. 시장 환경 분석</w:t>
      </w:r>
    </w:p>
    <w:p>
      <w:pPr>
        <w:spacing w:line="312" w:lineRule="auto" w:after="160"/>
      </w:pPr>
      <w:r>
        <w:rPr>
          <w:rFonts w:ascii="맑은 고딕" w:hAnsi="맑은 고딕" w:eastAsia="맑은 고딕"/>
          <w:b w:val="0"/>
          <w:sz w:val="22"/>
        </w:rPr>
        <w:t>일본 B2B 협업 SaaS 시장은 2026년 기준 약 3,200억엔 규모로 추정되며, 연평균 성장률(CAGR) 9.8%로 향후 3년간 지속 성장할 것으로 전망된다. 특히 코로나19 이후 정착된 하이브리드 근무 문화와 2025년 일본 정부의 '중소기업 DX 촉진 보조금' 정책 확대에 힘입어, 종업원 50~300명 규모의 중소·중견기업(SMB) 세그먼트에서 협업툴 신규 도입 수요가 뚜렷하게 증가하고 있다. 이 세그먼트는 당사의 기존 국내 고객군과 유사한 특성을 가지고 있어 네오보드의 제품 포지셔닝을 크게 변경하지 않고도 진입이 가능하다는 강점이 있다.</w:t>
      </w:r>
    </w:p>
    <w:p>
      <w:pPr>
        <w:spacing w:line="312" w:lineRule="auto" w:after="160"/>
      </w:pPr>
      <w:r>
        <w:rPr>
          <w:rFonts w:ascii="맑은 고딕" w:hAnsi="맑은 고딕" w:eastAsia="맑은 고딕"/>
          <w:b w:val="0"/>
          <w:sz w:val="22"/>
        </w:rPr>
        <w:t>다만 일본 시장은 몇 가지 구조적 진입장벽을 가지고 있다. 첫째, 현지 기업들의 온프레미스 및 자국산 솔루션 선호도가 여전히 높아 해외 SaaS에 대한 보안 심사가 까다롭다. 둘째, 일본 특유의 결재 및 계약 관행(도장 날인, 장기 벤더 심사 프로세스)으로 인해 영업 사이클이 국내 대비 1.5~2배 길다. 셋째, 현지화 수준에 대한 요구가 매우 높아 단순 번역이 아닌 UI/UX 전반의 재설계 및 일본어 고객지원 체계 구축이 선결 과제로 지적된다.</w:t>
      </w:r>
    </w:p>
    <w:p>
      <w:pPr>
        <w:spacing w:line="312" w:lineRule="auto" w:after="160"/>
      </w:pPr>
      <w:r>
        <w:rPr>
          <w:rFonts w:ascii="맑은 고딕" w:hAnsi="맑은 고딕" w:eastAsia="맑은 고딕"/>
          <w:b w:val="0"/>
          <w:sz w:val="22"/>
        </w:rPr>
        <w:t>고객 세그먼트별로 보면, IT·스타트업 업종은 해외 SaaS 도입에 상대적으로 개방적이나 시장 규모가 작고, 제조·물류 업종은 시장 규모는 크지만 보수적 구매 성향으로 초기 침투가 어렵다. 이에 따라 1차 타겟은 'IT·디지털 마케팅·컨설팅' 업종의 종업원 50~200명 기업으로 설정하고, 2차 확장 단계에서 제조·물류 업종으로 확대하는 단계적 진입 전략을 수립하였다.</w:t>
      </w:r>
    </w:p>
    <w:p>
      <w:pPr>
        <w:spacing w:line="312" w:lineRule="auto" w:after="160"/>
      </w:pPr>
      <w:r>
        <w:rPr>
          <w:rFonts w:ascii="맑은 고딕" w:hAnsi="맑은 고딕" w:eastAsia="맑은 고딕"/>
          <w:b w:val="0"/>
          <w:sz w:val="22"/>
        </w:rPr>
        <w:t>환율 및 거시경제 측면에서는 엔저 기조가 지속될 경우 초기 현지 운영비 부담이 완화되는 긍정적 요인으로 작용하나, 원화 환산 매출 기준으로는 수익성이 저평가될 리스크가 있다. 재무회계팀(팀장 최영재)과 협의하여 엔화 매출에 대한 환헤지 방안을 4분기 중 별도 검토할 예정이다.</w:t>
      </w:r>
    </w:p>
    <w:p>
      <w:pPr>
        <w:spacing w:line="312" w:lineRule="auto" w:after="160"/>
      </w:pPr>
      <w:r>
        <w:rPr>
          <w:rFonts w:ascii="맑은 고딕" w:hAnsi="맑은 고딕" w:eastAsia="맑은 고딕"/>
          <w:b w:val="0"/>
          <w:sz w:val="22"/>
        </w:rPr>
        <w:t>시장 규모를 세분화하면, 전체 시장(TAM) 3,200억엔 중 당사가 우선 타겟팅하는 종업원 50~300명 SMB 세그먼트(SAM)는 약 850억엔 규모로 추정된다. 이 중 IT·디지털마케팅·컨설팅 업종에 한정한 초기 목표 시장(SOM)은 약 90억엔 수준으로 산정되며, 2027년 2분기까지 확보를 목표로 하는 누적 유료 고객 80개사, MRR 4,000만엔 목표는 이 SOM의 약 0.5% 수준에 해당하여 현실적으로 달성 가능한 목표로 판단된다.</w:t>
      </w:r>
    </w:p>
    <w:p>
      <w:pPr>
        <w:spacing w:line="312" w:lineRule="auto" w:after="160"/>
      </w:pPr>
      <w:r>
        <w:rPr>
          <w:rFonts w:ascii="맑은 고딕" w:hAnsi="맑은 고딕" w:eastAsia="맑은 고딕"/>
          <w:b w:val="0"/>
          <w:sz w:val="22"/>
        </w:rPr>
        <w:t>일본 정부의 '중소기업 DX 촉진 보조금' 제도는 2025년 예산 기준 약 1,200억엔 규모로 편성되었으며, 협업툴·클라우드 도입 비용의 최대 50%까지 보조하는 것으로 파악된다. 다만 보조금 신청 자격 요건 중 일부(현지 법인 소재 벤더 우대 조항 등)가 외국계 SaaS에 불리하게 작용할 가능성이 있어, 법무팀 한지원 팀장을 통해 현지 로펌에 정식 유권해석을 의뢰한 상태이며 9월 중 회신을 받을 예정이다.</w:t>
      </w:r>
    </w:p>
    <w:p>
      <w:pPr>
        <w:spacing w:line="312" w:lineRule="auto" w:after="160"/>
      </w:pPr>
      <w:r>
        <w:rPr>
          <w:rFonts w:ascii="맑은 고딕" w:hAnsi="맑은 고딕" w:eastAsia="맑은 고딕"/>
          <w:b w:val="0"/>
          <w:sz w:val="22"/>
        </w:rPr>
        <w:t>지역별로는 도쿄권(도쿄·가나가와·사이타마·지바)이 일본 전체 SMB 협업툴 수요의 약 42%를 차지하고 있어 1차 진출 거점으로 최적으로 평가되며, 오사카·나고야를 포함한 2대 도시권이 약 23%, 나머지 지방 중소도시가 35%를 차지하는 것으로 조사되었다. 이에 따라 본 보고서 5장의 로드맵은 1~3단계까지 도쿄권에 자원을 집중하고, 4단계부터 오사카·나고야로 확장하는 순서로 설계되었다.</w:t>
      </w:r>
    </w:p>
    <w:p>
      <w:pPr>
        <w:spacing w:line="312" w:lineRule="auto" w:after="160"/>
      </w:pPr>
      <w:r>
        <w:rPr>
          <w:rFonts w:ascii="맑은 고딕" w:hAnsi="맑은 고딕" w:eastAsia="맑은 고딕"/>
          <w:b w:val="0"/>
          <w:sz w:val="22"/>
        </w:rPr>
        <w:t>환율 시나리오 분석 결과, 엔/원 환율이 현재 수준(100엔=920원 내외) 대비 10% 추가 하락할 경우 1년차 원화 환산 매출은 약 8% 감소하는 것으로 시뮬레이션되었다. 반대로 엔화가 강세로 전환될 경우 초기 운영비(현지 사무공간, 채용 비용) 부담이 커지는 상반된 리스크가 존재하여, 재무회계팀은 엔화 매출 비중이 전체의 15%를 초과하는 시점부터 통화선도계약 등 환헤지 수단 도입을 검토하기로 하였다.</w:t>
      </w:r>
    </w:p>
    <w:p>
      <w:r>
        <w:rPr>
          <w:rFonts w:ascii="맑은 고딕" w:hAnsi="맑은 고딕" w:eastAsia="맑은 고딕"/>
          <w:b/>
          <w:color w:val="1F3864"/>
          <w:sz w:val="26"/>
        </w:rPr>
        <w:t>3. 경쟁사 분석</w:t>
      </w:r>
    </w:p>
    <w:p>
      <w:pPr>
        <w:spacing w:line="312" w:lineRule="auto" w:after="160"/>
      </w:pPr>
      <w:r>
        <w:rPr>
          <w:rFonts w:ascii="맑은 고딕" w:hAnsi="맑은 고딕" w:eastAsia="맑은 고딕"/>
          <w:b w:val="0"/>
          <w:sz w:val="22"/>
        </w:rPr>
        <w:t>일본 B2B 협업 SaaS 시장의 주요 경쟁사로는 현지 1위 사업자인 'Chatwork', 글로벌 진출 확대 중인 국내 경쟁사 '콜라보스퀘어(가칭)', 그리고 아시아 리전에서 공격적으로 확장 중인 싱가포르 기반 'TeamHub Asia(가칭)' 3개사를 핵심 비교 대상으로 선정하였다. 아래 표는 각사의 시장 점유율, 강점, 약점을 정리한 것이다.</w:t>
      </w:r>
    </w:p>
    <w:p>
      <w:pPr>
        <w:spacing w:line="312" w:lineRule="auto" w:after="160"/>
      </w:pPr>
      <w:r>
        <w:rPr>
          <w:rFonts w:ascii="맑은 고딕" w:hAnsi="맑은 고딕" w:eastAsia="맑은 고딕"/>
          <w:b w:val="0"/>
          <w:sz w:val="22"/>
        </w:rPr>
        <w:t>Chatwork은 일본 내 압도적 브랜드 인지도와 20만개 이상의 기업 고객 기반을 보유하고 있어 단기간 내 정면 대응은 비효율적이라 판단된다. 다만 UI가 채팅 중심으로 설계되어 있어 프로젝트 관리·문서 협업 기능이 상대적으로 약하며, 이는 네오보드의 통합형 워크스페이스 강점으로 차별화가 가능한 지점이다.</w:t>
      </w:r>
    </w:p>
    <w:p>
      <w:pPr>
        <w:spacing w:line="312" w:lineRule="auto" w:after="160"/>
      </w:pPr>
      <w:r>
        <w:rPr>
          <w:rFonts w:ascii="맑은 고딕" w:hAnsi="맑은 고딕" w:eastAsia="맑은 고딕"/>
          <w:b w:val="0"/>
          <w:sz w:val="22"/>
        </w:rPr>
        <w:t>콜라보스퀘어는 2025년부터 일본 진출을 시작한 국내 경쟁사로, 당사와 유사한 제품 포지셔닝을 가지고 있어 직접 경쟁이 예상된다. 다만 현지 영업 조직이 아직 5명 미만으로 소규모이며, 일본어 고객지원이 평일 주간에만 제공되는 등 현지화 완성도가 낮은 것으로 파악된다. 당사는 이 시점에 진입함으로써 '2호 진출 기업'으로서 콜라보스퀘어의 시행착오를 학습하고 이를 반면교사로 삼을 수 있다.</w:t>
      </w:r>
    </w:p>
    <w:p>
      <w:pPr>
        <w:spacing w:line="312" w:lineRule="auto" w:after="160"/>
      </w:pPr>
      <w:r>
        <w:rPr>
          <w:rFonts w:ascii="맑은 고딕" w:hAnsi="맑은 고딕" w:eastAsia="맑은 고딕"/>
          <w:b w:val="0"/>
          <w:sz w:val="22"/>
        </w:rPr>
        <w:t>TeamHub Asia는 싱가포르 기반으로 동남아 전역에 서비스를 제공 중이며, 최근 일본 리전 확장을 발표하였다. 멀티리전 인프라와 영어 기반 글로벌 UX가 강점이나, 일본어 현지화는 초기 단계이며 일본 특유의 결재 프로세스(품의서 연동 등)에 대한 대응이 미흡한 것으로 조사되었다. 자금력은 세 경쟁사 중 가장 풍부한 것으로 추정되어 중장기적으로 가장 위협적인 경쟁자가 될 가능성이 있다.</w:t>
      </w:r>
    </w:p>
    <w:p>
      <w:pPr>
        <w:spacing w:line="312" w:lineRule="auto" w:after="160"/>
      </w:pPr>
      <w:r>
        <w:rPr>
          <w:rFonts w:ascii="맑은 고딕" w:hAnsi="맑은 고딕" w:eastAsia="맑은 고딕"/>
          <w:b w:val="0"/>
          <w:sz w:val="22"/>
        </w:rPr>
        <w:t>종합하면, 당사는 '한국식 빠른 기능 업데이트 주기'와 'AI 요약 기능(PRJ-2026-05 연계)'을 차별화 포인트로 삼아 Chatwork 대비 생산성 기능 우위, 콜라보스퀘어 대비 현지화 속도 우위, TeamHub Asia 대비 일본 특화 UX 우위를 확보하는 전략을 취한다.</w:t>
      </w:r>
    </w:p>
    <w:p>
      <w:pPr>
        <w:spacing w:line="312" w:lineRule="auto" w:after="160"/>
      </w:pPr>
      <w:r>
        <w:rPr>
          <w:rFonts w:ascii="맑은 고딕" w:hAnsi="맑은 고딕" w:eastAsia="맑은 고딕"/>
          <w:b w:val="0"/>
          <w:sz w:val="22"/>
        </w:rPr>
        <w:t>이 외에도 일본 자체 스타트업 생태계에서 태동한 소형 협업툴들이 다수 존재하나, 대부분 특정 업종(건설·의료 등) 특화형이거나 사용자 수 1만개사 미만의 니치 플레이어로 파악되어 본 보고서에서는 정량 비교 대상에서 제외하였다. 다만 이 중 'TalkNote(가칭)'는 최근 AI 기반 업무 자동화 기능을 추가하며 빠르게 성장 중인 것으로 파악되어, 경영기획실은 분기별 경쟁사 모니터링 대상에 참고 지표로 추가하기로 하였다.</w:t>
      </w:r>
    </w:p>
    <w:p>
      <w:pPr>
        <w:spacing w:line="312" w:lineRule="auto" w:after="160"/>
      </w:pPr>
      <w:r>
        <w:rPr>
          <w:rFonts w:ascii="맑은 고딕" w:hAnsi="맑은 고딕" w:eastAsia="맑은 고딕"/>
          <w:b w:val="0"/>
          <w:sz w:val="22"/>
        </w:rPr>
        <w:t>가격 정책 비교 관점에서, Chatwork과 콜라보스퀘어는 1인당 월 450~500엔 수준의 저가 정책을 취하고 있는 반면 TeamHub Asia는 8~15달러(약 1,150~2,150엔) 수준의 프리미엄 정책을 취하고 있다. 당사는 이 두 가격대 사이인 1인당 월 700~800엔 수준에서 초기 가격을 책정하되, 파일럿 고객에게는 최초 6개월간 40% 할인된 프로모션 가격을 적용하는 방안을 검토 중이다.</w:t>
      </w:r>
    </w:p>
    <w:p>
      <w:pPr>
        <w:spacing w:line="312" w:lineRule="auto" w:after="160"/>
      </w:pPr>
      <w:r>
        <w:rPr>
          <w:rFonts w:ascii="맑은 고딕" w:hAnsi="맑은 고딕" w:eastAsia="맑은 고딕"/>
          <w:b w:val="0"/>
          <w:sz w:val="22"/>
        </w:rPr>
        <w:t>기능 비교 측면에서 3사 모두 화상회의 연동, 파일 공유, 태스크 관리 등 기본 기능은 갖추고 있으나, AI 기반 회의록·업무 요약 기능을 정식 제공하는 곳은 아직 없는 것으로 조사되었다. 이는 PRJ-2026-05로 개발 중인 네오보드의 AI 요약 기능이 일본 시장 진입 초기 최소 6~9개월간 유효한 기능적 차별화 요소로 작용할 수 있음을 시사한다.</w:t>
      </w:r>
    </w:p>
    <w:p>
      <w:pPr>
        <w:spacing w:line="312" w:lineRule="auto" w:after="160"/>
      </w:pPr>
      <w:r>
        <w:rPr>
          <w:rFonts w:ascii="맑은 고딕" w:hAnsi="맑은 고딕" w:eastAsia="맑은 고딕"/>
          <w:b w:val="0"/>
          <w:sz w:val="22"/>
        </w:rPr>
        <w:t>고객 지원 채널 측면에서 Chatwork은 전화·이메일·챗봇을 포함한 풀채널 지원체계를 갖춘 반면, 콜라보스퀘어는 이메일 중심의 제한적 지원만 제공하고 있어 이 부분이 고객 이탈의 주요 원인으로 추정된다. 당사는 CS팀 배유나 팀장 주도로 파일럿 단계부터 채팅 기반 실시간 지원을 우선 제공하고, 정식 출시 이후 순차적으로 전화 지원을 추가하는 단계적 접근을 계획하고 있다.</w:t>
      </w:r>
    </w:p>
    <w:p>
      <w:pPr>
        <w:spacing w:line="312" w:lineRule="auto" w:after="160"/>
      </w:pPr>
      <w:r>
        <w:rPr>
          <w:rFonts w:ascii="맑은 고딕" w:hAnsi="맑은 고딕" w:eastAsia="맑은 고딕"/>
          <w:b w:val="0"/>
          <w:sz w:val="22"/>
        </w:rPr>
        <w:t>종합 경쟁 포지셔닝 결론으로, 당사는 '가격은 중간, 기능은 프리미엄(AI 요약 등 차별화 기능 조기 탑재), 현지화 속도는 최고 수준'이라는 세 가지 포지셔닝 원칙을 수립하였다. 이는 정면 승부보다 틈새 차별화를 통한 점진적 시장 침투 전략에 해당하며, 향후 분기별 경쟁 환경 변화에 따라 유연하게 조정할 계획이다.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구분</w:t>
            </w:r>
          </w:p>
        </w:tc>
        <w:tc>
          <w:tcPr>
            <w:tcW w:type="dxa" w:w="2160"/>
            <w:shd w:val="clear" w:color="auto" w:fill="1F3864"/>
          </w:tcPr>
          <w:p>
            <w:pPr>
              <w:jc w:val="center"/>
            </w:pPr>
            <w:r>
              <w:rPr>
                <w:rFonts w:ascii="맑은 고딕" w:hAnsi="맑은 고딕" w:eastAsia="맑은 고딕"/>
                <w:b/>
                <w:color w:val="FFFFFF"/>
                <w:sz w:val="20"/>
              </w:rPr>
              <w:t>Chatwork</w:t>
            </w:r>
          </w:p>
        </w:tc>
        <w:tc>
          <w:tcPr>
            <w:tcW w:type="dxa" w:w="2160"/>
            <w:shd w:val="clear" w:color="auto" w:fill="1F3864"/>
          </w:tcPr>
          <w:p>
            <w:pPr>
              <w:jc w:val="center"/>
            </w:pPr>
            <w:r>
              <w:rPr>
                <w:rFonts w:ascii="맑은 고딕" w:hAnsi="맑은 고딕" w:eastAsia="맑은 고딕"/>
                <w:b/>
                <w:color w:val="FFFFFF"/>
                <w:sz w:val="20"/>
              </w:rPr>
              <w:t>콜라보스퀘어(가칭)</w:t>
            </w:r>
          </w:p>
        </w:tc>
        <w:tc>
          <w:tcPr>
            <w:tcW w:type="dxa" w:w="2160"/>
            <w:shd w:val="clear" w:color="auto" w:fill="1F3864"/>
          </w:tcPr>
          <w:p>
            <w:pPr>
              <w:jc w:val="center"/>
            </w:pPr>
            <w:r>
              <w:rPr>
                <w:rFonts w:ascii="맑은 고딕" w:hAnsi="맑은 고딕" w:eastAsia="맑은 고딕"/>
                <w:b/>
                <w:color w:val="FFFFFF"/>
                <w:sz w:val="20"/>
              </w:rPr>
              <w:t>TeamHub Asia(가칭)</w:t>
            </w:r>
          </w:p>
        </w:tc>
      </w:tr>
      <w:tr>
        <w:tc>
          <w:tcPr>
            <w:tcW w:type="dxa" w:w="2160"/>
          </w:tcPr>
          <w:p>
            <w:r>
              <w:rPr>
                <w:rFonts w:ascii="맑은 고딕" w:hAnsi="맑은 고딕" w:eastAsia="맑은 고딕"/>
                <w:b w:val="0"/>
                <w:sz w:val="20"/>
              </w:rPr>
              <w:t>국가/본사</w:t>
            </w:r>
          </w:p>
        </w:tc>
        <w:tc>
          <w:tcPr>
            <w:tcW w:type="dxa" w:w="2160"/>
          </w:tcPr>
          <w:p>
            <w:r>
              <w:rPr>
                <w:rFonts w:ascii="맑은 고딕" w:hAnsi="맑은 고딕" w:eastAsia="맑은 고딕"/>
                <w:b w:val="0"/>
                <w:sz w:val="20"/>
              </w:rPr>
              <w:t>일본</w:t>
            </w:r>
          </w:p>
        </w:tc>
        <w:tc>
          <w:tcPr>
            <w:tcW w:type="dxa" w:w="2160"/>
          </w:tcPr>
          <w:p>
            <w:r>
              <w:rPr>
                <w:rFonts w:ascii="맑은 고딕" w:hAnsi="맑은 고딕" w:eastAsia="맑은 고딕"/>
                <w:b w:val="0"/>
                <w:sz w:val="20"/>
              </w:rPr>
              <w:t>한국</w:t>
            </w:r>
          </w:p>
        </w:tc>
        <w:tc>
          <w:tcPr>
            <w:tcW w:type="dxa" w:w="2160"/>
          </w:tcPr>
          <w:p>
            <w:r>
              <w:rPr>
                <w:rFonts w:ascii="맑은 고딕" w:hAnsi="맑은 고딕" w:eastAsia="맑은 고딕"/>
                <w:b w:val="0"/>
                <w:sz w:val="20"/>
              </w:rPr>
              <w:t>싱가포르</w:t>
            </w:r>
          </w:p>
        </w:tc>
      </w:tr>
      <w:tr>
        <w:tc>
          <w:tcPr>
            <w:tcW w:type="dxa" w:w="2160"/>
            <w:shd w:val="clear" w:color="auto" w:fill="F2F2F2"/>
          </w:tcPr>
          <w:p>
            <w:r>
              <w:rPr>
                <w:rFonts w:ascii="맑은 고딕" w:hAnsi="맑은 고딕" w:eastAsia="맑은 고딕"/>
                <w:b w:val="0"/>
                <w:sz w:val="20"/>
              </w:rPr>
              <w:t>일본 시장 점유율(추정)</w:t>
            </w:r>
          </w:p>
        </w:tc>
        <w:tc>
          <w:tcPr>
            <w:tcW w:type="dxa" w:w="2160"/>
            <w:shd w:val="clear" w:color="auto" w:fill="F2F2F2"/>
          </w:tcPr>
          <w:p>
            <w:r>
              <w:rPr>
                <w:rFonts w:ascii="맑은 고딕" w:hAnsi="맑은 고딕" w:eastAsia="맑은 고딕"/>
                <w:b w:val="0"/>
                <w:sz w:val="20"/>
              </w:rPr>
              <w:t>약 34%</w:t>
            </w:r>
          </w:p>
        </w:tc>
        <w:tc>
          <w:tcPr>
            <w:tcW w:type="dxa" w:w="2160"/>
            <w:shd w:val="clear" w:color="auto" w:fill="F2F2F2"/>
          </w:tcPr>
          <w:p>
            <w:r>
              <w:rPr>
                <w:rFonts w:ascii="맑은 고딕" w:hAnsi="맑은 고딕" w:eastAsia="맑은 고딕"/>
                <w:b w:val="0"/>
                <w:sz w:val="20"/>
              </w:rPr>
              <w:t>약 2% 미만</w:t>
            </w:r>
          </w:p>
        </w:tc>
        <w:tc>
          <w:tcPr>
            <w:tcW w:type="dxa" w:w="2160"/>
            <w:shd w:val="clear" w:color="auto" w:fill="F2F2F2"/>
          </w:tcPr>
          <w:p>
            <w:r>
              <w:rPr>
                <w:rFonts w:ascii="맑은 고딕" w:hAnsi="맑은 고딕" w:eastAsia="맑은 고딕"/>
                <w:b w:val="0"/>
                <w:sz w:val="20"/>
              </w:rPr>
              <w:t>약 5%</w:t>
            </w:r>
          </w:p>
        </w:tc>
      </w:tr>
      <w:tr>
        <w:tc>
          <w:tcPr>
            <w:tcW w:type="dxa" w:w="2160"/>
          </w:tcPr>
          <w:p>
            <w:r>
              <w:rPr>
                <w:rFonts w:ascii="맑은 고딕" w:hAnsi="맑은 고딕" w:eastAsia="맑은 고딕"/>
                <w:b w:val="0"/>
                <w:sz w:val="20"/>
              </w:rPr>
              <w:t>기업 고객 수(추정)</w:t>
            </w:r>
          </w:p>
        </w:tc>
        <w:tc>
          <w:tcPr>
            <w:tcW w:type="dxa" w:w="2160"/>
          </w:tcPr>
          <w:p>
            <w:r>
              <w:rPr>
                <w:rFonts w:ascii="맑은 고딕" w:hAnsi="맑은 고딕" w:eastAsia="맑은 고딕"/>
                <w:b w:val="0"/>
                <w:sz w:val="20"/>
              </w:rPr>
              <w:t>약 20만개+</w:t>
            </w:r>
          </w:p>
        </w:tc>
        <w:tc>
          <w:tcPr>
            <w:tcW w:type="dxa" w:w="2160"/>
          </w:tcPr>
          <w:p>
            <w:r>
              <w:rPr>
                <w:rFonts w:ascii="맑은 고딕" w:hAnsi="맑은 고딕" w:eastAsia="맑은 고딕"/>
                <w:b w:val="0"/>
                <w:sz w:val="20"/>
              </w:rPr>
              <w:t>약 300개</w:t>
            </w:r>
          </w:p>
        </w:tc>
        <w:tc>
          <w:tcPr>
            <w:tcW w:type="dxa" w:w="2160"/>
          </w:tcPr>
          <w:p>
            <w:r>
              <w:rPr>
                <w:rFonts w:ascii="맑은 고딕" w:hAnsi="맑은 고딕" w:eastAsia="맑은 고딕"/>
                <w:b w:val="0"/>
                <w:sz w:val="20"/>
              </w:rPr>
              <w:t>약 4,000개</w:t>
            </w:r>
          </w:p>
        </w:tc>
      </w:tr>
      <w:tr>
        <w:tc>
          <w:tcPr>
            <w:tcW w:type="dxa" w:w="2160"/>
            <w:shd w:val="clear" w:color="auto" w:fill="F2F2F2"/>
          </w:tcPr>
          <w:p>
            <w:r>
              <w:rPr>
                <w:rFonts w:ascii="맑은 고딕" w:hAnsi="맑은 고딕" w:eastAsia="맑은 고딕"/>
                <w:b w:val="0"/>
                <w:sz w:val="20"/>
              </w:rPr>
              <w:t>핵심 강점</w:t>
            </w:r>
          </w:p>
        </w:tc>
        <w:tc>
          <w:tcPr>
            <w:tcW w:type="dxa" w:w="2160"/>
            <w:shd w:val="clear" w:color="auto" w:fill="F2F2F2"/>
          </w:tcPr>
          <w:p>
            <w:r>
              <w:rPr>
                <w:rFonts w:ascii="맑은 고딕" w:hAnsi="맑은 고딕" w:eastAsia="맑은 고딕"/>
                <w:b w:val="0"/>
                <w:sz w:val="20"/>
              </w:rPr>
              <w:t>브랜드 인지도, 방대한 고객 기반</w:t>
            </w:r>
          </w:p>
        </w:tc>
        <w:tc>
          <w:tcPr>
            <w:tcW w:type="dxa" w:w="2160"/>
            <w:shd w:val="clear" w:color="auto" w:fill="F2F2F2"/>
          </w:tcPr>
          <w:p>
            <w:r>
              <w:rPr>
                <w:rFonts w:ascii="맑은 고딕" w:hAnsi="맑은 고딕" w:eastAsia="맑은 고딕"/>
                <w:b w:val="0"/>
                <w:sz w:val="20"/>
              </w:rPr>
              <w:t>가격 경쟁력, 빠른 커스터마이징</w:t>
            </w:r>
          </w:p>
        </w:tc>
        <w:tc>
          <w:tcPr>
            <w:tcW w:type="dxa" w:w="2160"/>
            <w:shd w:val="clear" w:color="auto" w:fill="F2F2F2"/>
          </w:tcPr>
          <w:p>
            <w:r>
              <w:rPr>
                <w:rFonts w:ascii="맑은 고딕" w:hAnsi="맑은 고딕" w:eastAsia="맑은 고딕"/>
                <w:b w:val="0"/>
                <w:sz w:val="20"/>
              </w:rPr>
              <w:t>멀티리전 인프라, 글로벌 확장성</w:t>
            </w:r>
          </w:p>
        </w:tc>
      </w:tr>
      <w:tr>
        <w:tc>
          <w:tcPr>
            <w:tcW w:type="dxa" w:w="2160"/>
          </w:tcPr>
          <w:p>
            <w:r>
              <w:rPr>
                <w:rFonts w:ascii="맑은 고딕" w:hAnsi="맑은 고딕" w:eastAsia="맑은 고딕"/>
                <w:b w:val="0"/>
                <w:sz w:val="20"/>
              </w:rPr>
              <w:t>핵심 약점</w:t>
            </w:r>
          </w:p>
        </w:tc>
        <w:tc>
          <w:tcPr>
            <w:tcW w:type="dxa" w:w="2160"/>
          </w:tcPr>
          <w:p>
            <w:r>
              <w:rPr>
                <w:rFonts w:ascii="맑은 고딕" w:hAnsi="맑은 고딕" w:eastAsia="맑은 고딕"/>
                <w:b w:val="0"/>
                <w:sz w:val="20"/>
              </w:rPr>
              <w:t>프로젝트관리 기능 약함, UI 노후화</w:t>
            </w:r>
          </w:p>
        </w:tc>
        <w:tc>
          <w:tcPr>
            <w:tcW w:type="dxa" w:w="2160"/>
          </w:tcPr>
          <w:p>
            <w:r>
              <w:rPr>
                <w:rFonts w:ascii="맑은 고딕" w:hAnsi="맑은 고딕" w:eastAsia="맑은 고딕"/>
                <w:b w:val="0"/>
                <w:sz w:val="20"/>
              </w:rPr>
              <w:t>현지 영업조직 소규모, 지원시간 제한</w:t>
            </w:r>
          </w:p>
        </w:tc>
        <w:tc>
          <w:tcPr>
            <w:tcW w:type="dxa" w:w="2160"/>
          </w:tcPr>
          <w:p>
            <w:r>
              <w:rPr>
                <w:rFonts w:ascii="맑은 고딕" w:hAnsi="맑은 고딕" w:eastAsia="맑은 고딕"/>
                <w:b w:val="0"/>
                <w:sz w:val="20"/>
              </w:rPr>
              <w:t>일본어 현지화 미흡, 결재 프로세스 대응 부족</w:t>
            </w:r>
          </w:p>
        </w:tc>
      </w:tr>
      <w:tr>
        <w:tc>
          <w:tcPr>
            <w:tcW w:type="dxa" w:w="2160"/>
            <w:shd w:val="clear" w:color="auto" w:fill="F2F2F2"/>
          </w:tcPr>
          <w:p>
            <w:r>
              <w:rPr>
                <w:rFonts w:ascii="맑은 고딕" w:hAnsi="맑은 고딕" w:eastAsia="맑은 고딕"/>
                <w:b w:val="0"/>
                <w:sz w:val="20"/>
              </w:rPr>
              <w:t>가격 정책</w:t>
            </w:r>
          </w:p>
        </w:tc>
        <w:tc>
          <w:tcPr>
            <w:tcW w:type="dxa" w:w="2160"/>
            <w:shd w:val="clear" w:color="auto" w:fill="F2F2F2"/>
          </w:tcPr>
          <w:p>
            <w:r>
              <w:rPr>
                <w:rFonts w:ascii="맑은 고딕" w:hAnsi="맑은 고딕" w:eastAsia="맑은 고딕"/>
                <w:b w:val="0"/>
                <w:sz w:val="20"/>
              </w:rPr>
              <w:t>1인당 월 500엔~</w:t>
            </w:r>
          </w:p>
        </w:tc>
        <w:tc>
          <w:tcPr>
            <w:tcW w:type="dxa" w:w="2160"/>
            <w:shd w:val="clear" w:color="auto" w:fill="F2F2F2"/>
          </w:tcPr>
          <w:p>
            <w:r>
              <w:rPr>
                <w:rFonts w:ascii="맑은 고딕" w:hAnsi="맑은 고딕" w:eastAsia="맑은 고딕"/>
                <w:b w:val="0"/>
                <w:sz w:val="20"/>
              </w:rPr>
              <w:t>1인당 월 450엔~</w:t>
            </w:r>
          </w:p>
        </w:tc>
        <w:tc>
          <w:tcPr>
            <w:tcW w:type="dxa" w:w="2160"/>
            <w:shd w:val="clear" w:color="auto" w:fill="F2F2F2"/>
          </w:tcPr>
          <w:p>
            <w:r>
              <w:rPr>
                <w:rFonts w:ascii="맑은 고딕" w:hAnsi="맑은 고딕" w:eastAsia="맑은 고딕"/>
                <w:b w:val="0"/>
                <w:sz w:val="20"/>
              </w:rPr>
              <w:t>1인당 월 8~15달러</w:t>
            </w:r>
          </w:p>
        </w:tc>
      </w:tr>
      <w:tr>
        <w:tc>
          <w:tcPr>
            <w:tcW w:type="dxa" w:w="2160"/>
          </w:tcPr>
          <w:p>
            <w:r>
              <w:rPr>
                <w:rFonts w:ascii="맑은 고딕" w:hAnsi="맑은 고딕" w:eastAsia="맑은 고딕"/>
                <w:b w:val="0"/>
                <w:sz w:val="20"/>
              </w:rPr>
              <w:t>AI 요약/자동화 기능</w:t>
            </w:r>
          </w:p>
        </w:tc>
        <w:tc>
          <w:tcPr>
            <w:tcW w:type="dxa" w:w="2160"/>
          </w:tcPr>
          <w:p>
            <w:r>
              <w:rPr>
                <w:rFonts w:ascii="맑은 고딕" w:hAnsi="맑은 고딕" w:eastAsia="맑은 고딕"/>
                <w:b w:val="0"/>
                <w:sz w:val="20"/>
              </w:rPr>
              <w:t>미제공</w:t>
            </w:r>
          </w:p>
        </w:tc>
        <w:tc>
          <w:tcPr>
            <w:tcW w:type="dxa" w:w="2160"/>
          </w:tcPr>
          <w:p>
            <w:r>
              <w:rPr>
                <w:rFonts w:ascii="맑은 고딕" w:hAnsi="맑은 고딕" w:eastAsia="맑은 고딕"/>
                <w:b w:val="0"/>
                <w:sz w:val="20"/>
              </w:rPr>
              <w:t>미제공</w:t>
            </w:r>
          </w:p>
        </w:tc>
        <w:tc>
          <w:tcPr>
            <w:tcW w:type="dxa" w:w="2160"/>
          </w:tcPr>
          <w:p>
            <w:r>
              <w:rPr>
                <w:rFonts w:ascii="맑은 고딕" w:hAnsi="맑은 고딕" w:eastAsia="맑은 고딕"/>
                <w:b w:val="0"/>
                <w:sz w:val="20"/>
              </w:rPr>
              <w:t>미제공(개발 검토 중으로 파악)</w:t>
            </w:r>
          </w:p>
        </w:tc>
      </w:tr>
      <w:tr>
        <w:tc>
          <w:tcPr>
            <w:tcW w:type="dxa" w:w="2160"/>
            <w:shd w:val="clear" w:color="auto" w:fill="F2F2F2"/>
          </w:tcPr>
          <w:p>
            <w:r>
              <w:rPr>
                <w:rFonts w:ascii="맑은 고딕" w:hAnsi="맑은 고딕" w:eastAsia="맑은 고딕"/>
                <w:b w:val="0"/>
                <w:sz w:val="20"/>
              </w:rPr>
              <w:t>고객지원 채널</w:t>
            </w:r>
          </w:p>
        </w:tc>
        <w:tc>
          <w:tcPr>
            <w:tcW w:type="dxa" w:w="2160"/>
            <w:shd w:val="clear" w:color="auto" w:fill="F2F2F2"/>
          </w:tcPr>
          <w:p>
            <w:r>
              <w:rPr>
                <w:rFonts w:ascii="맑은 고딕" w:hAnsi="맑은 고딕" w:eastAsia="맑은 고딕"/>
                <w:b w:val="0"/>
                <w:sz w:val="20"/>
              </w:rPr>
              <w:t>전화·이메일·챗봇</w:t>
            </w:r>
          </w:p>
        </w:tc>
        <w:tc>
          <w:tcPr>
            <w:tcW w:type="dxa" w:w="2160"/>
            <w:shd w:val="clear" w:color="auto" w:fill="F2F2F2"/>
          </w:tcPr>
          <w:p>
            <w:r>
              <w:rPr>
                <w:rFonts w:ascii="맑은 고딕" w:hAnsi="맑은 고딕" w:eastAsia="맑은 고딕"/>
                <w:b w:val="0"/>
                <w:sz w:val="20"/>
              </w:rPr>
              <w:t>이메일 중심(평일 주간)</w:t>
            </w:r>
          </w:p>
        </w:tc>
        <w:tc>
          <w:tcPr>
            <w:tcW w:type="dxa" w:w="2160"/>
            <w:shd w:val="clear" w:color="auto" w:fill="F2F2F2"/>
          </w:tcPr>
          <w:p>
            <w:r>
              <w:rPr>
                <w:rFonts w:ascii="맑은 고딕" w:hAnsi="맑은 고딕" w:eastAsia="맑은 고딕"/>
                <w:b w:val="0"/>
                <w:sz w:val="20"/>
              </w:rPr>
              <w:t>이메일·챗봇(영어 위주)</w:t>
            </w:r>
          </w:p>
        </w:tc>
      </w:tr>
      <w:tr>
        <w:tc>
          <w:tcPr>
            <w:tcW w:type="dxa" w:w="2160"/>
          </w:tcPr>
          <w:p>
            <w:r>
              <w:rPr>
                <w:rFonts w:ascii="맑은 고딕" w:hAnsi="맑은 고딕" w:eastAsia="맑은 고딕"/>
                <w:b w:val="0"/>
                <w:sz w:val="20"/>
              </w:rPr>
              <w:t>당사 대비 위협도</w:t>
            </w:r>
          </w:p>
        </w:tc>
        <w:tc>
          <w:tcPr>
            <w:tcW w:type="dxa" w:w="2160"/>
          </w:tcPr>
          <w:p>
            <w:r>
              <w:rPr>
                <w:rFonts w:ascii="맑은 고딕" w:hAnsi="맑은 고딕" w:eastAsia="맑은 고딕"/>
                <w:b w:val="0"/>
                <w:sz w:val="20"/>
              </w:rPr>
              <w:t>높음(정면 대응 비효율)</w:t>
            </w:r>
          </w:p>
        </w:tc>
        <w:tc>
          <w:tcPr>
            <w:tcW w:type="dxa" w:w="2160"/>
          </w:tcPr>
          <w:p>
            <w:r>
              <w:rPr>
                <w:rFonts w:ascii="맑은 고딕" w:hAnsi="맑은 고딕" w:eastAsia="맑은 고딕"/>
                <w:b w:val="0"/>
                <w:sz w:val="20"/>
              </w:rPr>
              <w:t>중간(직접 경쟁 예상)</w:t>
            </w:r>
          </w:p>
        </w:tc>
        <w:tc>
          <w:tcPr>
            <w:tcW w:type="dxa" w:w="2160"/>
          </w:tcPr>
          <w:p>
            <w:r>
              <w:rPr>
                <w:rFonts w:ascii="맑은 고딕" w:hAnsi="맑은 고딕" w:eastAsia="맑은 고딕"/>
                <w:b w:val="0"/>
                <w:sz w:val="20"/>
              </w:rPr>
              <w:t>중장기 높음(자금력 우위)</w:t>
            </w:r>
          </w:p>
        </w:tc>
      </w:tr>
    </w:tbl>
    <w:p/>
    <w:p>
      <w:r>
        <w:rPr>
          <w:rFonts w:ascii="맑은 고딕" w:hAnsi="맑은 고딕" w:eastAsia="맑은 고딕"/>
          <w:b/>
          <w:color w:val="1F3864"/>
          <w:sz w:val="26"/>
        </w:rPr>
        <w:t>4. 자사 SWOT 분석</w:t>
      </w:r>
    </w:p>
    <w:p>
      <w:pPr>
        <w:spacing w:line="312" w:lineRule="auto" w:after="160"/>
      </w:pPr>
      <w:r>
        <w:rPr>
          <w:rFonts w:ascii="맑은 고딕" w:hAnsi="맑은 고딕" w:eastAsia="맑은 고딕"/>
          <w:b w:val="0"/>
          <w:sz w:val="22"/>
        </w:rPr>
        <w:t>강점(Strength) 측면에서 당사는 국내 시장에서 검증된 안정적 서비스 운영 이력(가동률 99.9% 이상)과 20명 규모의 개발본부를 통한 빠른 기능 개발 주기를 보유하고 있다. 특히 PRJ-2026-05로 진행 중인 AI 요약 기능은 경쟁사 대비 6개월 이상 앞선 기술 우위로 평가되며, 일본 진출 시 핵심 차별화 요소로 활용할 계획이다. 또한 한국 기업 특유의 신속한 의사결정 구조 덕분에 고객 요청사항에 대한 대응 속도가 빠르다는 점도 강점으로 꼽힌다.</w:t>
      </w:r>
    </w:p>
    <w:p>
      <w:pPr>
        <w:spacing w:line="312" w:lineRule="auto" w:after="160"/>
      </w:pPr>
      <w:r>
        <w:rPr>
          <w:rFonts w:ascii="맑은 고딕" w:hAnsi="맑은 고딕" w:eastAsia="맑은 고딕"/>
          <w:b w:val="0"/>
          <w:sz w:val="22"/>
        </w:rPr>
        <w:t>약점(Weakness)으로는 일본어 네이티브 인력 부재, 현지 법인 미설립으로 인한 계약·세무 처리의 복잡성, 그리고 브랜드 인지도가 전무하다는 점이 있다. 특히 CS팀(팀장 배유나)이 현재 한국어 위주로만 운영되고 있어, 일본어 고객지원 인력 채용 및 교육이 선행되지 않을 경우 초기 고객 이탈률이 높아질 위험이 있다.</w:t>
      </w:r>
    </w:p>
    <w:p>
      <w:pPr>
        <w:spacing w:line="312" w:lineRule="auto" w:after="160"/>
      </w:pPr>
      <w:r>
        <w:rPr>
          <w:rFonts w:ascii="맑은 고딕" w:hAnsi="맑은 고딕" w:eastAsia="맑은 고딕"/>
          <w:b w:val="0"/>
          <w:sz w:val="22"/>
        </w:rPr>
        <w:t>기회(Opportunity) 요인으로는 일본 정부의 중소기업 DX 보조금 정책 확대, 엔저 기조에 따른 초기 운영비 절감, 그리고 콜라보스퀘어의 초기 진입 시행착오를 참고할 수 있다는 점이 있다. 아울러 일본 스타트업 생태계에서 한국 SaaS 기업에 대한 관심이 높아지고 있어 현지 액셀러레이터·VC와의 협업을 통한 마케팅 채널 확보 가능성도 존재한다.</w:t>
      </w:r>
    </w:p>
    <w:p>
      <w:pPr>
        <w:spacing w:line="312" w:lineRule="auto" w:after="160"/>
      </w:pPr>
      <w:r>
        <w:rPr>
          <w:rFonts w:ascii="맑은 고딕" w:hAnsi="맑은 고딕" w:eastAsia="맑은 고딕"/>
          <w:b w:val="0"/>
          <w:sz w:val="22"/>
        </w:rPr>
        <w:t>위협(Threat)으로는 TeamHub Asia의 공격적 자금 투입 가능성, 엔화 환율 변동성에 따른 수익성 저하, 그리고 일본 개인정보보호법(APPI) 및 데이터 현지화 규제 강화 가능성이 있다. IT보안팀(팀장 서준혁)과 법무팀(팀장 한지원)이 공동으로 APPI 준수 여부를 3분기 내 사전 검토하기로 하였으며, 이는 ISMS 인증 취득 프로젝트(PRJ-2026-02)와도 연계하여 추진할 예정이다.</w:t>
      </w:r>
    </w:p>
    <w:p>
      <w:pPr>
        <w:spacing w:line="312" w:lineRule="auto" w:after="160"/>
      </w:pPr>
      <w:r>
        <w:rPr>
          <w:rFonts w:ascii="맑은 고딕" w:hAnsi="맑은 고딕" w:eastAsia="맑은 고딕"/>
          <w:b w:val="0"/>
          <w:sz w:val="22"/>
        </w:rPr>
        <w:t>추가로 당사는 최근 3년간 국내 300여개 고객사를 대상으로 한 서비스 운영 노하우를 통해 온보딩 프로세스를 표준화한 '네오보드 온보딩 플레이북'을 보유하고 있으며, 이는 일본 파일럿 고객 온보딩 기간을 국내 대비 단축하는 데 활용될 수 있다. 또한 클라우드 인프라를 멀티 리전으로 이미 구성해둔 이력이 있어 일본 리전 추가 구축에 소요되는 기술적 리드타임이 짧다는 점도 강점으로 추가되었다.</w:t>
      </w:r>
    </w:p>
    <w:p>
      <w:pPr>
        <w:spacing w:line="312" w:lineRule="auto" w:after="160"/>
      </w:pPr>
      <w:r>
        <w:rPr>
          <w:rFonts w:ascii="맑은 고딕" w:hAnsi="맑은 고딕" w:eastAsia="맑은 고딕"/>
          <w:b w:val="0"/>
          <w:sz w:val="22"/>
        </w:rPr>
        <w:t>아울러 당사는 아직 일본 현지 법인이 없어 계약 체결 시 국내 법인 명의로 진행해야 하는데, 이 경우 일부 일본 대기업 고객사의 벤더 등록 요건(현지 법인 필수)을 충족하지 못해 초기에는 SMB 세그먼트에 집중할 수밖에 없는 구조적 제약이 있다. 법무팀은 2027년 상반기 중 현지 법인(자회사) 설립 여부를 별도 검토 안건으로 상정할 예정이다.</w:t>
      </w:r>
    </w:p>
    <w:p>
      <w:pPr>
        <w:spacing w:line="312" w:lineRule="auto" w:after="160"/>
      </w:pPr>
      <w:r>
        <w:rPr>
          <w:rFonts w:ascii="맑은 고딕" w:hAnsi="맑은 고딕" w:eastAsia="맑은 고딕"/>
          <w:b w:val="0"/>
          <w:sz w:val="22"/>
        </w:rPr>
        <w:t>또한 최근 일본 대형 SI(시스템통합)업체들이 자체 협업툴 대신 외부 SaaS 파트너십을 확대하는 추세가 관측되고 있어, 이러한 SI업체와의 리셀러 또는 채널 파트너십을 통한 간접 판매 채널 확보 가능성도 기회 요인으로 부상하고 있다. 이는 본 보고서 11장(파트너십 전략)에서 상세히 다룬다.</w:t>
      </w:r>
    </w:p>
    <w:p>
      <w:pPr>
        <w:spacing w:line="312" w:lineRule="auto" w:after="160"/>
      </w:pPr>
      <w:r>
        <w:rPr>
          <w:rFonts w:ascii="맑은 고딕" w:hAnsi="맑은 고딕" w:eastAsia="맑은 고딕"/>
          <w:b w:val="0"/>
          <w:sz w:val="22"/>
        </w:rPr>
        <w:t>마지막으로 국내 시장에서도 경쟁사들이 AI 기능을 빠르게 추격하고 있어, 일본 진출에 자원이 집중되는 동안 국내 시장점유율이 잠식될 리스크가 병존한다는 점도 위협 요인으로 신규 식별되었다. 이에 대한 대응 방안은 본 보고서 8장(국내 시장 심화 전략)에서 별도로 다룬다.</w:t>
      </w:r>
    </w:p>
    <w:p>
      <w:r>
        <w:rPr>
          <w:rFonts w:ascii="맑은 고딕" w:hAnsi="맑은 고딕" w:eastAsia="맑은 고딕"/>
          <w:b/>
          <w:color w:val="1F3864"/>
          <w:sz w:val="26"/>
        </w:rPr>
        <w:t>5. 향후 12개월 실행 로드맵</w:t>
      </w:r>
    </w:p>
    <w:p>
      <w:pPr>
        <w:spacing w:line="312" w:lineRule="auto" w:after="160"/>
      </w:pPr>
      <w:r>
        <w:rPr>
          <w:rFonts w:ascii="맑은 고딕" w:hAnsi="맑은 고딕" w:eastAsia="맑은 고딕"/>
          <w:b w:val="0"/>
          <w:sz w:val="22"/>
        </w:rPr>
        <w:t>일본 진출 프로젝트는 총 4단계(준비-파일럿-정식출시-확장)로 구분하여 2026년 9월부터 2027년 8월까지 12개월간 순차적으로 추진한다. 1단계(2026년 3분기)는 현지 파트너사 MOU 체결, 일본어 UI 현지화, APPI 규제 검토를 중심으로 진행하며, 이 기간 중 개발본부 프론트팀이 일본어 로케일 대응 작업을 완료할 예정이다.</w:t>
      </w:r>
    </w:p>
    <w:p>
      <w:pPr>
        <w:spacing w:line="312" w:lineRule="auto" w:after="160"/>
      </w:pPr>
      <w:r>
        <w:rPr>
          <w:rFonts w:ascii="맑은 고딕" w:hAnsi="맑은 고딕" w:eastAsia="맑은 고딕"/>
          <w:b w:val="0"/>
          <w:sz w:val="22"/>
        </w:rPr>
        <w:t>2단계(2026년 4분기)는 도쿄 소재 SMB 20개사를 대상으로 한 파일럿 프로그램을 운영하여 제품-시장 적합성(PMF)을 검증한다. 파일럿 기간 중 수집된 피드백은 정식 출시 전 제품 개선에 즉시 반영하며, 영업팀 오세훈 팀장이 파일럿 고객 밀착 관리를 총괄한다.</w:t>
      </w:r>
    </w:p>
    <w:p>
      <w:pPr>
        <w:spacing w:line="312" w:lineRule="auto" w:after="160"/>
      </w:pPr>
      <w:r>
        <w:rPr>
          <w:rFonts w:ascii="맑은 고딕" w:hAnsi="맑은 고딕" w:eastAsia="맑은 고딕"/>
          <w:b w:val="0"/>
          <w:sz w:val="22"/>
        </w:rPr>
        <w:t>3단계(2027년 1분기)는 정식 서비스 출시 및 현지 마케팅 캠페인을 개시하는 단계로, 도쿄 현지 소규모 영업 거점(2~3인) 개설을 목표로 한다. 4단계(2027년 2분기)는 오사카·나고야 등 2차 도시로 영업망을 확대하고, 제조·물류 업종으로 타겟 세그먼트를 확장한다. 아래 표는 분기별 세부 과제와 담당 조직을 정리한 것이다.</w:t>
      </w:r>
    </w:p>
    <w:p>
      <w:pPr>
        <w:spacing w:line="312" w:lineRule="auto" w:after="160"/>
      </w:pPr>
      <w:r>
        <w:rPr>
          <w:rFonts w:ascii="맑은 고딕" w:hAnsi="맑은 고딕" w:eastAsia="맑은 고딕"/>
          <w:b w:val="0"/>
          <w:sz w:val="22"/>
        </w:rPr>
        <w:t>각 단계별 진행 상황은 매월 경영전략회의에서 점검하며, 파일럿 단계에서 목표 KPI 미달 시 정식 출시 일정을 최대 1분기 연기하는 조건부 게이트(Gate) 방식을 적용한다. 이는 과거 유사 해외 진출 사례에서 무리한 일정 강행으로 인한 품질 저하 리스크를 방지하기 위한 조치이다.</w:t>
      </w:r>
    </w:p>
    <w:p>
      <w:pPr>
        <w:spacing w:line="312" w:lineRule="auto" w:after="160"/>
      </w:pPr>
      <w:r>
        <w:rPr>
          <w:rFonts w:ascii="맑은 고딕" w:hAnsi="맑은 고딕" w:eastAsia="맑은 고딕"/>
          <w:b w:val="0"/>
          <w:sz w:val="22"/>
        </w:rPr>
        <w:t>각 단계 전환 시점에는 경영전략회의 산하 '일본진출 게이트 리뷰' 회의체를 통해 정량 KPI 달성 여부를 심사하며, 심사 결과는 이사회에도 요약 보고된다. 게이트 리뷰에는 전략기획팀, 개발본부, 영업팀, CS팀, 재무회계팀 담당자가 필수 참석하며, 필요시 법무팀과 IT보안팀도 배석하여 규제 대응 현황을 함께 점검한다.</w:t>
      </w:r>
    </w:p>
    <w:p>
      <w:pPr>
        <w:spacing w:line="312" w:lineRule="auto" w:after="160"/>
      </w:pPr>
      <w:r>
        <w:rPr>
          <w:rFonts w:ascii="맑은 고딕" w:hAnsi="맑은 고딕" w:eastAsia="맑은 고딕"/>
          <w:b w:val="0"/>
          <w:sz w:val="22"/>
        </w:rPr>
        <w:t>1단계 준비 기간 중 개발본부는 프론트엔드 일본어 로케일 작업 외에도 결제 모듈의 엔화 결제 연동, 일본 표준 인보이스 형식 대응 등 백엔드 현지화 작업을 병행한다. 이 작업량은 개발본부 스프린트 기준 약 4~5개 스프린트(8~10주) 분량으로 추산되며, 이는 PRJ-2026-03(네오보드 3.0) 개발 일정과 일부 겹치는 구간이 있어 우선순위 조정이 필요한 상황이다. 이에 대한 상세 조율 방안은 9장에서 다룬다.</w:t>
      </w:r>
    </w:p>
    <w:p>
      <w:pPr>
        <w:spacing w:line="312" w:lineRule="auto" w:after="160"/>
      </w:pPr>
      <w:r>
        <w:rPr>
          <w:rFonts w:ascii="맑은 고딕" w:hAnsi="맑은 고딕" w:eastAsia="맑은 고딕"/>
          <w:b w:val="0"/>
          <w:sz w:val="22"/>
        </w:rPr>
        <w:t>2단계 파일럿 고객 20개사는 기존 국내 고객사의 일본 지사, 경영기획실 네트워크를 통한 소개, 그리고 온라인 마케팅을 통한 직접 유입의 세 가지 채널을 통해 균형 있게 모집할 계획이다. 채널별 목표 비중은 각각 40%, 30%, 30%로 설정하였으며, 파일럿 종료 시점에 채널별 전환율과 유지율을 비교 분석하여 정식 출시 이후 마케팅 채널 예산 배분에 반영할 예정이다.</w:t>
      </w:r>
    </w:p>
    <w:p>
      <w:pPr>
        <w:spacing w:line="312" w:lineRule="auto" w:after="160"/>
      </w:pPr>
      <w:r>
        <w:rPr>
          <w:rFonts w:ascii="맑은 고딕" w:hAnsi="맑은 고딕" w:eastAsia="맑은 고딕"/>
          <w:b w:val="0"/>
          <w:sz w:val="22"/>
        </w:rPr>
        <w:t>4단계 확장 이후의 5단계(2027년 3~4분기)는 본 로드맵의 공식 범위에는 포함되지 않으나, 잠정적으로 큐슈·홋카이도 등 3차 지역으로의 추가 확장과 현지 리셀러 파트너십 본격화를 검토하는 단계로 예상하고 있다. 해당 단계의 구체적 계획은 2027년 2분기 성과를 반영하여 별도 보고서로 재수립할 예정이다.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기간</w:t>
            </w:r>
          </w:p>
        </w:tc>
        <w:tc>
          <w:tcPr>
            <w:tcW w:type="dxa" w:w="1728"/>
            <w:shd w:val="clear" w:color="auto" w:fill="1F3864"/>
          </w:tcPr>
          <w:p>
            <w:pPr>
              <w:jc w:val="center"/>
            </w:pPr>
            <w:r>
              <w:rPr>
                <w:rFonts w:ascii="맑은 고딕" w:hAnsi="맑은 고딕" w:eastAsia="맑은 고딕"/>
                <w:b/>
                <w:color w:val="FFFFFF"/>
                <w:sz w:val="20"/>
              </w:rPr>
              <w:t>단계</w:t>
            </w:r>
          </w:p>
        </w:tc>
        <w:tc>
          <w:tcPr>
            <w:tcW w:type="dxa" w:w="1728"/>
            <w:shd w:val="clear" w:color="auto" w:fill="1F3864"/>
          </w:tcPr>
          <w:p>
            <w:pPr>
              <w:jc w:val="center"/>
            </w:pPr>
            <w:r>
              <w:rPr>
                <w:rFonts w:ascii="맑은 고딕" w:hAnsi="맑은 고딕" w:eastAsia="맑은 고딕"/>
                <w:b/>
                <w:color w:val="FFFFFF"/>
                <w:sz w:val="20"/>
              </w:rPr>
              <w:t>핵심 과제</w:t>
            </w:r>
          </w:p>
        </w:tc>
        <w:tc>
          <w:tcPr>
            <w:tcW w:type="dxa" w:w="1728"/>
            <w:shd w:val="clear" w:color="auto" w:fill="1F3864"/>
          </w:tcPr>
          <w:p>
            <w:pPr>
              <w:jc w:val="center"/>
            </w:pPr>
            <w:r>
              <w:rPr>
                <w:rFonts w:ascii="맑은 고딕" w:hAnsi="맑은 고딕" w:eastAsia="맑은 고딕"/>
                <w:b/>
                <w:color w:val="FFFFFF"/>
                <w:sz w:val="20"/>
              </w:rPr>
              <w:t>주요 담당</w:t>
            </w:r>
          </w:p>
        </w:tc>
        <w:tc>
          <w:tcPr>
            <w:tcW w:type="dxa" w:w="1728"/>
            <w:shd w:val="clear" w:color="auto" w:fill="1F3864"/>
          </w:tcPr>
          <w:p>
            <w:pPr>
              <w:jc w:val="center"/>
            </w:pPr>
            <w:r>
              <w:rPr>
                <w:rFonts w:ascii="맑은 고딕" w:hAnsi="맑은 고딕" w:eastAsia="맑은 고딕"/>
                <w:b/>
                <w:color w:val="FFFFFF"/>
                <w:sz w:val="20"/>
              </w:rPr>
              <w:t>목표 산출물</w:t>
            </w:r>
          </w:p>
        </w:tc>
      </w:tr>
      <w:tr>
        <w:tc>
          <w:tcPr>
            <w:tcW w:type="dxa" w:w="1728"/>
          </w:tcPr>
          <w:p>
            <w:r>
              <w:rPr>
                <w:rFonts w:ascii="맑은 고딕" w:hAnsi="맑은 고딕" w:eastAsia="맑은 고딕"/>
                <w:b w:val="0"/>
                <w:sz w:val="20"/>
              </w:rPr>
              <w:t>2026 Q3</w:t>
            </w:r>
          </w:p>
        </w:tc>
        <w:tc>
          <w:tcPr>
            <w:tcW w:type="dxa" w:w="1728"/>
          </w:tcPr>
          <w:p>
            <w:r>
              <w:rPr>
                <w:rFonts w:ascii="맑은 고딕" w:hAnsi="맑은 고딕" w:eastAsia="맑은 고딕"/>
                <w:b w:val="0"/>
                <w:sz w:val="20"/>
              </w:rPr>
              <w:t>1단계: 준비</w:t>
            </w:r>
          </w:p>
        </w:tc>
        <w:tc>
          <w:tcPr>
            <w:tcW w:type="dxa" w:w="1728"/>
          </w:tcPr>
          <w:p>
            <w:r>
              <w:rPr>
                <w:rFonts w:ascii="맑은 고딕" w:hAnsi="맑은 고딕" w:eastAsia="맑은 고딕"/>
                <w:b w:val="0"/>
                <w:sz w:val="20"/>
              </w:rPr>
              <w:t>현지 파트너사 MOU, UI 현지화, APPI 사전 검토</w:t>
            </w:r>
          </w:p>
        </w:tc>
        <w:tc>
          <w:tcPr>
            <w:tcW w:type="dxa" w:w="1728"/>
          </w:tcPr>
          <w:p>
            <w:r>
              <w:rPr>
                <w:rFonts w:ascii="맑은 고딕" w:hAnsi="맑은 고딕" w:eastAsia="맑은 고딕"/>
                <w:b w:val="0"/>
                <w:sz w:val="20"/>
              </w:rPr>
              <w:t>경영기획실, 개발본부, 법무팀</w:t>
            </w:r>
          </w:p>
        </w:tc>
        <w:tc>
          <w:tcPr>
            <w:tcW w:type="dxa" w:w="1728"/>
          </w:tcPr>
          <w:p>
            <w:r>
              <w:rPr>
                <w:rFonts w:ascii="맑은 고딕" w:hAnsi="맑은 고딕" w:eastAsia="맑은 고딕"/>
                <w:b w:val="0"/>
                <w:sz w:val="20"/>
              </w:rPr>
              <w:t>일본어 베타 버전, MOU 체결서</w:t>
            </w:r>
          </w:p>
        </w:tc>
      </w:tr>
      <w:tr>
        <w:tc>
          <w:tcPr>
            <w:tcW w:type="dxa" w:w="1728"/>
            <w:shd w:val="clear" w:color="auto" w:fill="F2F2F2"/>
          </w:tcPr>
          <w:p>
            <w:r>
              <w:rPr>
                <w:rFonts w:ascii="맑은 고딕" w:hAnsi="맑은 고딕" w:eastAsia="맑은 고딕"/>
                <w:b w:val="0"/>
                <w:sz w:val="20"/>
              </w:rPr>
              <w:t>2026 Q4</w:t>
            </w:r>
          </w:p>
        </w:tc>
        <w:tc>
          <w:tcPr>
            <w:tcW w:type="dxa" w:w="1728"/>
            <w:shd w:val="clear" w:color="auto" w:fill="F2F2F2"/>
          </w:tcPr>
          <w:p>
            <w:r>
              <w:rPr>
                <w:rFonts w:ascii="맑은 고딕" w:hAnsi="맑은 고딕" w:eastAsia="맑은 고딕"/>
                <w:b w:val="0"/>
                <w:sz w:val="20"/>
              </w:rPr>
              <w:t>2단계: 파일럿</w:t>
            </w:r>
          </w:p>
        </w:tc>
        <w:tc>
          <w:tcPr>
            <w:tcW w:type="dxa" w:w="1728"/>
            <w:shd w:val="clear" w:color="auto" w:fill="F2F2F2"/>
          </w:tcPr>
          <w:p>
            <w:r>
              <w:rPr>
                <w:rFonts w:ascii="맑은 고딕" w:hAnsi="맑은 고딕" w:eastAsia="맑은 고딕"/>
                <w:b w:val="0"/>
                <w:sz w:val="20"/>
              </w:rPr>
              <w:t>도쿄 SMB 20개사 파일럿 운영, PMF 검증</w:t>
            </w:r>
          </w:p>
        </w:tc>
        <w:tc>
          <w:tcPr>
            <w:tcW w:type="dxa" w:w="1728"/>
            <w:shd w:val="clear" w:color="auto" w:fill="F2F2F2"/>
          </w:tcPr>
          <w:p>
            <w:r>
              <w:rPr>
                <w:rFonts w:ascii="맑은 고딕" w:hAnsi="맑은 고딕" w:eastAsia="맑은 고딕"/>
                <w:b w:val="0"/>
                <w:sz w:val="20"/>
              </w:rPr>
              <w:t>영업팀, CS팀</w:t>
            </w:r>
          </w:p>
        </w:tc>
        <w:tc>
          <w:tcPr>
            <w:tcW w:type="dxa" w:w="1728"/>
            <w:shd w:val="clear" w:color="auto" w:fill="F2F2F2"/>
          </w:tcPr>
          <w:p>
            <w:r>
              <w:rPr>
                <w:rFonts w:ascii="맑은 고딕" w:hAnsi="맑은 고딕" w:eastAsia="맑은 고딕"/>
                <w:b w:val="0"/>
                <w:sz w:val="20"/>
              </w:rPr>
              <w:t>파일럿 결과 보고서, 개선 백로그</w:t>
            </w:r>
          </w:p>
        </w:tc>
      </w:tr>
      <w:tr>
        <w:tc>
          <w:tcPr>
            <w:tcW w:type="dxa" w:w="1728"/>
          </w:tcPr>
          <w:p>
            <w:r>
              <w:rPr>
                <w:rFonts w:ascii="맑은 고딕" w:hAnsi="맑은 고딕" w:eastAsia="맑은 고딕"/>
                <w:b w:val="0"/>
                <w:sz w:val="20"/>
              </w:rPr>
              <w:t>2027 Q1</w:t>
            </w:r>
          </w:p>
        </w:tc>
        <w:tc>
          <w:tcPr>
            <w:tcW w:type="dxa" w:w="1728"/>
          </w:tcPr>
          <w:p>
            <w:r>
              <w:rPr>
                <w:rFonts w:ascii="맑은 고딕" w:hAnsi="맑은 고딕" w:eastAsia="맑은 고딕"/>
                <w:b w:val="0"/>
                <w:sz w:val="20"/>
              </w:rPr>
              <w:t>3단계: 정식 출시</w:t>
            </w:r>
          </w:p>
        </w:tc>
        <w:tc>
          <w:tcPr>
            <w:tcW w:type="dxa" w:w="1728"/>
          </w:tcPr>
          <w:p>
            <w:r>
              <w:rPr>
                <w:rFonts w:ascii="맑은 고딕" w:hAnsi="맑은 고딕" w:eastAsia="맑은 고딕"/>
                <w:b w:val="0"/>
                <w:sz w:val="20"/>
              </w:rPr>
              <w:t>정식 서비스 런칭, 도쿄 영업거점 개설, 마케팅 캠페인</w:t>
            </w:r>
          </w:p>
        </w:tc>
        <w:tc>
          <w:tcPr>
            <w:tcW w:type="dxa" w:w="1728"/>
          </w:tcPr>
          <w:p>
            <w:r>
              <w:rPr>
                <w:rFonts w:ascii="맑은 고딕" w:hAnsi="맑은 고딕" w:eastAsia="맑은 고딕"/>
                <w:b w:val="0"/>
                <w:sz w:val="20"/>
              </w:rPr>
              <w:t>영업팀, 경영기획실</w:t>
            </w:r>
          </w:p>
        </w:tc>
        <w:tc>
          <w:tcPr>
            <w:tcW w:type="dxa" w:w="1728"/>
          </w:tcPr>
          <w:p>
            <w:r>
              <w:rPr>
                <w:rFonts w:ascii="맑은 고딕" w:hAnsi="맑은 고딕" w:eastAsia="맑은 고딕"/>
                <w:b w:val="0"/>
                <w:sz w:val="20"/>
              </w:rPr>
              <w:t>정식 출시, 유료 고객 30개사 확보</w:t>
            </w:r>
          </w:p>
        </w:tc>
      </w:tr>
      <w:tr>
        <w:tc>
          <w:tcPr>
            <w:tcW w:type="dxa" w:w="1728"/>
            <w:shd w:val="clear" w:color="auto" w:fill="F2F2F2"/>
          </w:tcPr>
          <w:p>
            <w:r>
              <w:rPr>
                <w:rFonts w:ascii="맑은 고딕" w:hAnsi="맑은 고딕" w:eastAsia="맑은 고딕"/>
                <w:b w:val="0"/>
                <w:sz w:val="20"/>
              </w:rPr>
              <w:t>2027 Q2</w:t>
            </w:r>
          </w:p>
        </w:tc>
        <w:tc>
          <w:tcPr>
            <w:tcW w:type="dxa" w:w="1728"/>
            <w:shd w:val="clear" w:color="auto" w:fill="F2F2F2"/>
          </w:tcPr>
          <w:p>
            <w:r>
              <w:rPr>
                <w:rFonts w:ascii="맑은 고딕" w:hAnsi="맑은 고딕" w:eastAsia="맑은 고딕"/>
                <w:b w:val="0"/>
                <w:sz w:val="20"/>
              </w:rPr>
              <w:t>4단계: 확장</w:t>
            </w:r>
          </w:p>
        </w:tc>
        <w:tc>
          <w:tcPr>
            <w:tcW w:type="dxa" w:w="1728"/>
            <w:shd w:val="clear" w:color="auto" w:fill="F2F2F2"/>
          </w:tcPr>
          <w:p>
            <w:r>
              <w:rPr>
                <w:rFonts w:ascii="맑은 고딕" w:hAnsi="맑은 고딕" w:eastAsia="맑은 고딕"/>
                <w:b w:val="0"/>
                <w:sz w:val="20"/>
              </w:rPr>
              <w:t>오사카·나고야 확대, 제조·물류 세그먼트 진입</w:t>
            </w:r>
          </w:p>
        </w:tc>
        <w:tc>
          <w:tcPr>
            <w:tcW w:type="dxa" w:w="1728"/>
            <w:shd w:val="clear" w:color="auto" w:fill="F2F2F2"/>
          </w:tcPr>
          <w:p>
            <w:r>
              <w:rPr>
                <w:rFonts w:ascii="맑은 고딕" w:hAnsi="맑은 고딕" w:eastAsia="맑은 고딕"/>
                <w:b w:val="0"/>
                <w:sz w:val="20"/>
              </w:rPr>
              <w:t>영업팀, 개발본부</w:t>
            </w:r>
          </w:p>
        </w:tc>
        <w:tc>
          <w:tcPr>
            <w:tcW w:type="dxa" w:w="1728"/>
            <w:shd w:val="clear" w:color="auto" w:fill="F2F2F2"/>
          </w:tcPr>
          <w:p>
            <w:r>
              <w:rPr>
                <w:rFonts w:ascii="맑은 고딕" w:hAnsi="맑은 고딕" w:eastAsia="맑은 고딕"/>
                <w:b w:val="0"/>
                <w:sz w:val="20"/>
              </w:rPr>
              <w:t>유료 고객 80개사, 2차 도시 거점</w:t>
            </w:r>
          </w:p>
        </w:tc>
      </w:tr>
      <w:tr>
        <w:tc>
          <w:tcPr>
            <w:tcW w:type="dxa" w:w="1728"/>
          </w:tcPr>
          <w:p>
            <w:r>
              <w:rPr>
                <w:rFonts w:ascii="맑은 고딕" w:hAnsi="맑은 고딕" w:eastAsia="맑은 고딕"/>
                <w:b w:val="0"/>
                <w:sz w:val="20"/>
              </w:rPr>
              <w:t>2027 Q3~Q4(잠정)</w:t>
            </w:r>
          </w:p>
        </w:tc>
        <w:tc>
          <w:tcPr>
            <w:tcW w:type="dxa" w:w="1728"/>
          </w:tcPr>
          <w:p>
            <w:r>
              <w:rPr>
                <w:rFonts w:ascii="맑은 고딕" w:hAnsi="맑은 고딕" w:eastAsia="맑은 고딕"/>
                <w:b w:val="0"/>
                <w:sz w:val="20"/>
              </w:rPr>
              <w:t>5단계: 재확장 검토</w:t>
            </w:r>
          </w:p>
        </w:tc>
        <w:tc>
          <w:tcPr>
            <w:tcW w:type="dxa" w:w="1728"/>
          </w:tcPr>
          <w:p>
            <w:r>
              <w:rPr>
                <w:rFonts w:ascii="맑은 고딕" w:hAnsi="맑은 고딕" w:eastAsia="맑은 고딕"/>
                <w:b w:val="0"/>
                <w:sz w:val="20"/>
              </w:rPr>
              <w:t>큐슈·홋카이도 등 3차 지역 검토, 리셀러 파트너십 본격화</w:t>
            </w:r>
          </w:p>
        </w:tc>
        <w:tc>
          <w:tcPr>
            <w:tcW w:type="dxa" w:w="1728"/>
          </w:tcPr>
          <w:p>
            <w:r>
              <w:rPr>
                <w:rFonts w:ascii="맑은 고딕" w:hAnsi="맑은 고딕" w:eastAsia="맑은 고딕"/>
                <w:b w:val="0"/>
                <w:sz w:val="20"/>
              </w:rPr>
              <w:t>경영기획실, 영업팀</w:t>
            </w:r>
          </w:p>
        </w:tc>
        <w:tc>
          <w:tcPr>
            <w:tcW w:type="dxa" w:w="1728"/>
          </w:tcPr>
          <w:p>
            <w:r>
              <w:rPr>
                <w:rFonts w:ascii="맑은 고딕" w:hAnsi="맑은 고딕" w:eastAsia="맑은 고딕"/>
                <w:b w:val="0"/>
                <w:sz w:val="20"/>
              </w:rPr>
              <w:t>5단계 별도 보고서, 파트너십 후보 확정</w:t>
            </w:r>
          </w:p>
        </w:tc>
      </w:tr>
    </w:tbl>
    <w:p/>
    <w:p>
      <w:r>
        <w:rPr>
          <w:rFonts w:ascii="맑은 고딕" w:hAnsi="맑은 고딕" w:eastAsia="맑은 고딕"/>
          <w:b/>
          <w:color w:val="1F3864"/>
          <w:sz w:val="26"/>
        </w:rPr>
        <w:t>6. 조직 및 재원 계획</w:t>
      </w:r>
    </w:p>
    <w:p>
      <w:pPr>
        <w:spacing w:line="312" w:lineRule="auto" w:after="160"/>
      </w:pPr>
      <w:r>
        <w:rPr>
          <w:rFonts w:ascii="맑은 고딕" w:hAnsi="맑은 고딕" w:eastAsia="맑은 고딕"/>
          <w:b w:val="0"/>
          <w:sz w:val="22"/>
        </w:rPr>
        <w:t>일본 진출 프로젝트 수행을 위해 전담 TF를 구성하며, TF장은 전략기획팀장 이수민이 겸임하고 개발본부·영업팀·CS팀에서 파견 인력을 배치한다. 초기에는 국내 인력의 파견 및 겸직 형태로 운영하되, 2단계 파일럿 종료 시점에 일본어 가능 인력 2명(영업 1명, CS 1명)을 신규 채용하여 현지 대응력을 강화할 계획이다. 3단계 정식 출시 시점에는 도쿄 소재 소규모 사무공간(공유오피스 형태)을 개설하고, 현지 채용 1~2명을 추가 배치한다.</w:t>
      </w:r>
    </w:p>
    <w:p>
      <w:pPr>
        <w:spacing w:line="312" w:lineRule="auto" w:after="160"/>
      </w:pPr>
      <w:r>
        <w:rPr>
          <w:rFonts w:ascii="맑은 고딕" w:hAnsi="맑은 고딕" w:eastAsia="맑은 고딕"/>
          <w:b w:val="0"/>
          <w:sz w:val="22"/>
        </w:rPr>
        <w:t>재원 계획 측면에서 본 프로젝트의 1년차(2026년 9월~2027년 8월) 총 소요 예산은 약 4억 2천만원으로 추정되며, 세부적으로 인건비(파견·신규채용) 약 1억 8천만원, 현지화 개발비 약 9천만원, 마케팅·영업활동비 약 8천만원, 사무공간 및 운영비 약 4천만원, 법무·회계 자문비 약 3천만원으로 구성된다. 재무회계팀(팀장 최영재)과 협의하여 4분기 예산안(문서 04_예산안_초안)에 반영을 요청할 예정이다.</w:t>
      </w:r>
    </w:p>
    <w:p>
      <w:pPr>
        <w:spacing w:line="312" w:lineRule="auto" w:after="160"/>
      </w:pPr>
      <w:r>
        <w:rPr>
          <w:rFonts w:ascii="맑은 고딕" w:hAnsi="맑은 고딕" w:eastAsia="맑은 고딕"/>
          <w:b w:val="0"/>
          <w:sz w:val="22"/>
        </w:rPr>
        <w:t>투자 재원은 자체 영업이익 유보금 및 향후 예정된 시리즈 투자 유치(문서 05_투자유치_자료 참조) 자금을 병행 활용하는 방안을 검토 중이다. 특히 투자 유치가 예정대로 진행될 경우 일본 진출 투자 속도를 앞당겨 2단계 파일럿 규모를 20개사에서 35개사 수준으로 확대하는 것도 대안으로 고려하고 있다.</w:t>
      </w:r>
    </w:p>
    <w:p>
      <w:pPr>
        <w:spacing w:line="312" w:lineRule="auto" w:after="160"/>
      </w:pPr>
      <w:r>
        <w:rPr>
          <w:rFonts w:ascii="맑은 고딕" w:hAnsi="맑은 고딕" w:eastAsia="맑은 고딕"/>
          <w:b w:val="0"/>
          <w:sz w:val="22"/>
        </w:rPr>
        <w:t>인력 운영과 관련하여 인사팀(팀장 정하늘)은 일본어 능통자 채용을 위한 채용 공고를 9월 중 게시할 예정이며, 채용 기준으로는 JLPT N2 이상 및 B2B SaaS 영업 또는 CS 경력 2년 이상을 우대 조건으로 설정하였다. 아울러 기존 국내 인력의 단기 파견(3~6개월)에 대한 출장 및 주재 지원 규정도 인사팀과 공동으로 정비할 계획이다.</w:t>
      </w:r>
    </w:p>
    <w:p>
      <w:pPr>
        <w:spacing w:line="312" w:lineRule="auto" w:after="160"/>
      </w:pPr>
      <w:r>
        <w:rPr>
          <w:rFonts w:ascii="맑은 고딕" w:hAnsi="맑은 고딕" w:eastAsia="맑은 고딕"/>
          <w:b w:val="0"/>
          <w:sz w:val="22"/>
        </w:rPr>
        <w:t>TF 조직 구성을 세부적으로 보면, 개발본부에서는 프론트엔드 개발자 1명과 백엔드 개발자 1명이 각 50% 리소스로 파견되며, 영업팀에서는 오세훈 팀장을 포함해 2명이 파견된다. CS팀에서는 배유나 팀장 산하 1명이 파견되고, 재무회계팀과 법무팀은 각각 자문 형태로 주 1회 정기 미팅에 참여한다. 이 파견 구조는 2단계 파일럿 종료 시점에 신규 채용 인력 투입과 함께 재편될 예정이다.</w:t>
      </w:r>
    </w:p>
    <w:p>
      <w:pPr>
        <w:spacing w:line="312" w:lineRule="auto" w:after="160"/>
      </w:pPr>
      <w:r>
        <w:rPr>
          <w:rFonts w:ascii="맑은 고딕" w:hAnsi="맑은 고딕" w:eastAsia="맑은 고딕"/>
          <w:b w:val="0"/>
          <w:sz w:val="22"/>
        </w:rPr>
        <w:t>예산 세부 내역 중 마케팅·영업활동비 8천만원은 현지 전시회 참가(2회), 디지털 광고(구글·야후재팬 검색광고 및 SNS), 현지 파트너사 공동 세미나 개최 비용으로 구성된다. 특히 3분기 도쿄에서 개최 예정인 'Japan SaaS Expo 2026'(가칭) 참가를 통해 초기 리드 확보 및 브랜드 노출을 도모할 계획이며, 이는 파일럿 고객 모집 채널 중 온라인 마케팅 채널과 연계된다.</w:t>
      </w:r>
    </w:p>
    <w:p>
      <w:pPr>
        <w:spacing w:line="312" w:lineRule="auto" w:after="160"/>
      </w:pPr>
      <w:r>
        <w:rPr>
          <w:rFonts w:ascii="맑은 고딕" w:hAnsi="맑은 고딕" w:eastAsia="맑은 고딕"/>
          <w:b w:val="0"/>
          <w:sz w:val="22"/>
        </w:rPr>
        <w:t>재원 조달 시나리오는 두 가지로 나뉜다. 시나리오 A는 시리즈 투자 유치가 예정대로 4분기 중 완료되는 경우로, 이 경우 예산의 약 60%를 투자금에서, 40%를 자체 유보금에서 충당한다. 시나리오 B는 투자 유치가 지연되는 경우로, 자체 유보금만으로 최소 예산(약 3억 2천만원 수준으로 축소, 파일럿 규모 20개사 유지)을 우선 집행하고 확장 단계는 투자 유치 완료 이후로 순연하는 방식이다. 재무회계팀은 두 시나리오에 대한 상세 자금 집행 계획을 각각 수립해 두었다.</w:t>
      </w:r>
    </w:p>
    <w:p>
      <w:pPr>
        <w:spacing w:line="312" w:lineRule="auto" w:after="160"/>
      </w:pPr>
      <w:r>
        <w:rPr>
          <w:rFonts w:ascii="맑은 고딕" w:hAnsi="맑은 고딕" w:eastAsia="맑은 고딕"/>
          <w:b w:val="0"/>
          <w:sz w:val="22"/>
        </w:rPr>
        <w:t>조직 운영 리스크와 관련하여, 파견 인력의 이중 업무 부담(국내 업무와 일본 진출 업무 병행)으로 인한 번아웃 가능성이 내부 설문에서 우려사항으로 제기되었다. 인사팀 정하늘 팀장은 이를 완화하기 위해 파견 인력에 대한 별도 인센티브(파견 수당 및 프로젝트 성과급) 지급 방안을 4분기 인사 정책에 반영하기로 하였다.</w:t>
      </w:r>
    </w:p>
    <w:p>
      <w:r>
        <w:rPr>
          <w:rFonts w:ascii="맑은 고딕" w:hAnsi="맑은 고딕" w:eastAsia="맑은 고딕"/>
          <w:b/>
          <w:color w:val="1F3864"/>
          <w:sz w:val="26"/>
        </w:rPr>
        <w:t>7. 성과 지표(KPI) 및 리스크 관리</w:t>
      </w:r>
    </w:p>
    <w:p>
      <w:pPr>
        <w:spacing w:line="312" w:lineRule="auto" w:after="160"/>
      </w:pPr>
      <w:r>
        <w:rPr>
          <w:rFonts w:ascii="맑은 고딕" w:hAnsi="맑은 고딕" w:eastAsia="맑은 고딕"/>
          <w:b w:val="0"/>
          <w:sz w:val="22"/>
        </w:rPr>
        <w:t>일본 진출 프로젝트의 성과는 단계별로 정량적 KPI를 설정하여 관리한다. 1단계 종료 시점(2026년 3분기 말)에는 일본어 UI 현지화 완료율 100%, APPI 준수 체크리스트 이행률 100%를 목표로 하며, 2단계 파일럿 종료 시점(2026년 4분기 말)에는 파일럿 고객 20개사 중 유지율 70% 이상, 순추천지수(NPS) 40점 이상을 목표로 설정하였다.</w:t>
      </w:r>
    </w:p>
    <w:p>
      <w:pPr>
        <w:spacing w:line="312" w:lineRule="auto" w:after="160"/>
      </w:pPr>
      <w:r>
        <w:rPr>
          <w:rFonts w:ascii="맑은 고딕" w:hAnsi="맑은 고딕" w:eastAsia="맑은 고딕"/>
          <w:b w:val="0"/>
          <w:sz w:val="22"/>
        </w:rPr>
        <w:t>3단계 정식 출시 이후(2027년 1분기 말)에는 유료 전환 고객 30개사, 월 반복 매출(MRR) 환산 기준 약 1,500만엔 확보를 목표로 하며, 4단계 확장 종료 시점(2027년 2분기 말)에는 누적 유료 고객 80개사, MRR 약 4,000만엔 달성을 최종 목표(북극성 지표)로 설정한다. 이 목표는 매월 경영전략회의에서 실적 대비 진행률을 점검하며, 목표 대비 70% 미만 달성 시 원인 분석 및 대응 방안을 익월 회의에 보고하도록 한다.</w:t>
      </w:r>
    </w:p>
    <w:p>
      <w:pPr>
        <w:spacing w:line="312" w:lineRule="auto" w:after="160"/>
      </w:pPr>
      <w:r>
        <w:rPr>
          <w:rFonts w:ascii="맑은 고딕" w:hAnsi="맑은 고딕" w:eastAsia="맑은 고딕"/>
          <w:b w:val="0"/>
          <w:sz w:val="22"/>
        </w:rPr>
        <w:t>주요 리스크로는 첫째, 일본어 인력 채용 지연에 따른 현지화 일정 차질 가능성이 있으며, 이에 대비해 외부 번역·현지화 전문업체와의 아웃소싱 계약을 병행 검토하고 있다. 둘째, 경쟁사(특히 TeamHub Asia)의 가격 인하 등 공격적 대응 가능성에 대비하여 당사는 초기 가격을 경쟁사 대비 10~15% 낮게 책정하는 침투 가격 전략을 잠정 수립하였다. 셋째, 일본 개인정보보호 규제 강화 리스크에 대응하기 위해 IT보안팀과 법무팀이 공동으로 데이터 현지화(일본 리전 서버 구축) 필요성을 4분기 중 검토할 예정이다.</w:t>
      </w:r>
    </w:p>
    <w:p>
      <w:pPr>
        <w:spacing w:line="312" w:lineRule="auto" w:after="160"/>
      </w:pPr>
      <w:r>
        <w:rPr>
          <w:rFonts w:ascii="맑은 고딕" w:hAnsi="맑은 고딕" w:eastAsia="맑은 고딕"/>
          <w:b w:val="0"/>
          <w:sz w:val="22"/>
        </w:rPr>
        <w:t>마지막으로, 파일럿 단계에서 목표 미달이 확인될 경우를 대비한 컨틴전시 플랜도 마련하였다. NPS 30점 미만 또는 고객 유지율 50% 미만 시 정식 출시를 1분기 연기하고 제품 개선에 집중하며, 그럼에도 개선이 없을 경우 진출 방식을 직접 진출에서 현지 파트너사를 통한 화이트라벨 공급 방식으로 전환하는 방안까지 검토 범위에 포함시켰다. 본 리스크 관리 계획은 매 분기 경영전략회의에서 갱신하여 이사회에 보고한다.</w:t>
      </w:r>
    </w:p>
    <w:p>
      <w:pPr>
        <w:spacing w:line="312" w:lineRule="auto" w:after="160"/>
      </w:pPr>
      <w:r>
        <w:rPr>
          <w:rFonts w:ascii="맑은 고딕" w:hAnsi="맑은 고딕" w:eastAsia="맑은 고딕"/>
          <w:b w:val="0"/>
          <w:sz w:val="22"/>
        </w:rPr>
        <w:t>KPI 관리 체계는 주간 단위 리딩 지표(웹사이트 트래픽, 리드 수, 데모 신청 건수)와 월간 단위 래깅 지표(유료 전환 고객 수, MRR, 유지율, NPS)로 이원화하여 운영한다. 리딩 지표는 영업팀이 매주 금요일 경영기획실에 공유하며, 래깅 지표는 월 1회 경영전략회의에서 종합 리포트 형태로 보고한다.</w:t>
      </w:r>
    </w:p>
    <w:p>
      <w:pPr>
        <w:spacing w:line="312" w:lineRule="auto" w:after="160"/>
      </w:pPr>
      <w:r>
        <w:rPr>
          <w:rFonts w:ascii="맑은 고딕" w:hAnsi="맑은 고딕" w:eastAsia="맑은 고딕"/>
          <w:b w:val="0"/>
          <w:sz w:val="22"/>
        </w:rPr>
        <w:t>리스크 관리 프레임워크는 발생 가능성(상/중/하)과 영향도(상/중/하)를 기준으로 리스크를 9단계로 분류하며, 본 프로젝트에서 식별된 리스크 중 '발생가능성 상 × 영향도 상'에 해당하는 최우선 관리 리스크는 (1) 일본어 인력 채용 지연, (2) 경쟁사 가격 대응, (3) APPI 규제 강화 3가지로 확인되었다. 각 리스크에는 담당 책임자와 완화 조치가 매칭되어 리스크 관리대장(문서 07_리스크관리대장, 가칭)에 별도 기록·관리된다.</w:t>
      </w:r>
    </w:p>
    <w:p>
      <w:pPr>
        <w:spacing w:line="312" w:lineRule="auto" w:after="160"/>
      </w:pPr>
      <w:r>
        <w:rPr>
          <w:rFonts w:ascii="맑은 고딕" w:hAnsi="맑은 고딕" w:eastAsia="맑은 고딕"/>
          <w:b w:val="0"/>
          <w:sz w:val="22"/>
        </w:rPr>
        <w:t>이 외에 상대적으로 낮은 우선순위이지만 지속 모니터링이 필요한 리스크로는 환율 변동에 따른 수익성 변동, 도쿄 사무공간 임차료 상승, 그리고 국내 인력의 일본 출장 관련 비자·노무 이슈 등이 식별되었다. 특히 노무 이슈와 관련해서는 인사팀과 법무팀이 공동으로 단기 파견자의 취업 비자 요건(90일 이내 무비자 상용 활동 범위 등)을 사전 검토하여 규정 위반 리스크를 최소화할 계획이다.</w:t>
      </w:r>
    </w:p>
    <w:p>
      <w:pPr>
        <w:spacing w:line="312" w:lineRule="auto" w:after="160"/>
      </w:pPr>
      <w:r>
        <w:rPr>
          <w:rFonts w:ascii="맑은 고딕" w:hAnsi="맑은 고딕" w:eastAsia="맑은 고딕"/>
          <w:b w:val="0"/>
          <w:sz w:val="22"/>
        </w:rPr>
        <w:t>본 리스크 관리 계획 및 KPI 달성 현황은 경영기획실 주관으로 매 분기 종합 점검 보고서를 작성하여 이사회에 보고하며, 필요시 임시 경영전략회의를 소집하여 로드맵 및 예산 조정 안건을 상정할 수 있도록 하였다. 아울러 연 1회 외부 자문사를 통한 프로젝트 중간 점검(외부 감사 성격)도 도입하는 방안을 검토 중이며, 이는 객관적 시각에서 진행 상황을 재점검하기 위한 목적이다.</w:t>
      </w:r>
    </w:p>
    <w:p>
      <w:r>
        <w:rPr>
          <w:rFonts w:ascii="맑은 고딕" w:hAnsi="맑은 고딕" w:eastAsia="맑은 고딕"/>
          <w:b/>
          <w:color w:val="1F3864"/>
          <w:sz w:val="26"/>
        </w:rPr>
        <w:t>8. 국내 시장 심화 전략(2027년까지)</w:t>
      </w:r>
    </w:p>
    <w:p>
      <w:pPr>
        <w:spacing w:line="312" w:lineRule="auto" w:after="160"/>
      </w:pPr>
      <w:r>
        <w:rPr>
          <w:rFonts w:ascii="맑은 고딕" w:hAnsi="맑은 고딕" w:eastAsia="맑은 고딕"/>
          <w:b w:val="0"/>
          <w:sz w:val="22"/>
        </w:rPr>
        <w:t>일본 진출에 자원을 집중하는 동안 국내 시장에서의 지위가 약화되지 않도록, 경영기획실은 2027년까지 국내 시장 심화 전략을 별도 축으로 병행 추진하기로 하였다. 현재 당사는 국내 B2B 협업 SaaS 시장에서 약 6~7% 내외의 점유율로 업계 4~5위권에 위치한 것으로 추정되며, 상위 3개사(가칭 워크플로우허브, 콜라보스퀘어, 팀싱크)와의 격차를 좁히기보다는 특정 업종·규모 세그먼트에서의 지배력을 강화하는 '선택과 집중' 전략을 취하기로 하였다.</w:t>
      </w:r>
    </w:p>
    <w:p>
      <w:pPr>
        <w:spacing w:line="312" w:lineRule="auto" w:after="160"/>
      </w:pPr>
      <w:r>
        <w:rPr>
          <w:rFonts w:ascii="맑은 고딕" w:hAnsi="맑은 고딕" w:eastAsia="맑은 고딕"/>
          <w:b w:val="0"/>
          <w:sz w:val="22"/>
        </w:rPr>
        <w:t>구체적으로 당사는 기존 강점 세그먼트인 IT·스타트업 및 전문 서비스업(회계·법무·컨설팅) 300인 이하 기업군에서의 점유율을 현재 약 12%에서 2027년까지 18%로 확대하는 것을 목표로 설정하였다. 이를 위해 국내 영업팀은 기존 오세훈 팀장 산하 조직을 유지하되, 일본 진출 파견 인력을 제외한 인원으로 국내 갱신(리텐션) 영업과 신규 영업을 분리 운영하는 조직 개편을 4분기 중 시행할 예정이다.</w:t>
      </w:r>
    </w:p>
    <w:p>
      <w:pPr>
        <w:spacing w:line="312" w:lineRule="auto" w:after="160"/>
      </w:pPr>
      <w:r>
        <w:rPr>
          <w:rFonts w:ascii="맑은 고딕" w:hAnsi="맑은 고딕" w:eastAsia="맑은 고딕"/>
          <w:b w:val="0"/>
          <w:sz w:val="22"/>
        </w:rPr>
        <w:t>국내 심화 전략의 핵심 수단은 첫째, 기존 고객의 업셀링(상위 요금제 전환)이다. 현재 국내 고객사의 약 65%가 스탠다드 요금제를 사용 중이며, PRJ-2026-05 AI 요약 기능이 프리미엄 요금제 전용 기능으로 출시될 경우 업셀링 전환율을 현재 대비 2배 수준으로 끌어올릴 수 있을 것으로 기대된다. 둘째, 갱신율 방어를 위한 고객 성공(Customer Success) 조직의 전담화로, CS팀 내 국내 고객 전담 인력을 별도 지정하여 이탈 조짐이 있는 계정을 조기 식별하는 얼리워닝 시스템을 3분기 중 도입할 계획이다.</w:t>
      </w:r>
    </w:p>
    <w:p>
      <w:pPr>
        <w:spacing w:line="312" w:lineRule="auto" w:after="160"/>
      </w:pPr>
      <w:r>
        <w:rPr>
          <w:rFonts w:ascii="맑은 고딕" w:hAnsi="맑은 고딕" w:eastAsia="맑은 고딕"/>
          <w:b w:val="0"/>
          <w:sz w:val="22"/>
        </w:rPr>
        <w:t>셋째, 국내 시장에서도 경쟁사들의 AI 기능 추격이 빨라지고 있는 만큼(4장 SWOT 위협 요인 참조), 네오보드 3.0(PRJ-2026-03) 출시를 통해 UI/UX 전면 개편과 함께 기능 격차를 재확보하는 것이 국내 심화 전략의 핵심 전제조건이다. 네오보드 3.0의 국내 출시는 2026년 4분기로 예정되어 있으며, 이는 일본 파일럿 2단계와 시기적으로 겹쳐 개발본부의 리소스 배분 이슈가 발생할 수 있어 별도 조율이 필요하다(9장 참조).</w:t>
      </w:r>
    </w:p>
    <w:p>
      <w:pPr>
        <w:spacing w:line="312" w:lineRule="auto" w:after="160"/>
      </w:pPr>
      <w:r>
        <w:rPr>
          <w:rFonts w:ascii="맑은 고딕" w:hAnsi="맑은 고딕" w:eastAsia="맑은 고딕"/>
          <w:b w:val="0"/>
          <w:sz w:val="22"/>
        </w:rPr>
        <w:t>넷째, 국내 파트너십 강화 차원에서 기존 SI·컨설팅 파트너사(가칭 브릿지컨설팅, 한울시스템) 2개사와의 협력을 확대하여 리셀러 채널을 통한 간접 판매 비중을 현재 8%에서 2027년까지 15%로 늘리는 것을 목표로 한다. 이는 직접 영업 인력을 일본 진출에 일부 재배치하면서도 국내 매출 성장을 유지하기 위한 보완적 채널 전략이다.</w:t>
      </w:r>
    </w:p>
    <w:p>
      <w:pPr>
        <w:spacing w:line="312" w:lineRule="auto" w:after="160"/>
      </w:pPr>
      <w:r>
        <w:rPr>
          <w:rFonts w:ascii="맑은 고딕" w:hAnsi="맑은 고딕" w:eastAsia="맑은 고딕"/>
          <w:b w:val="0"/>
          <w:sz w:val="22"/>
        </w:rPr>
        <w:t>재무적으로 국내 시장 심화 전략의 목표는 2027년까지 국내 매출 연평균 성장률(CAGR) 15% 유지이며, 이는 일본 매출 성장과 별도로 관리되는 독립 목표로 설정하였다. 경영기획실은 분기별로 국내·일본 매출 기여도를 구분하여 별도 대시보드로 관리하며, 이를 통해 자원 배분의 우선순위를 지속적으로 재조정할 계획이다.</w:t>
      </w:r>
    </w:p>
    <w:p>
      <w:pPr>
        <w:spacing w:line="312" w:lineRule="auto" w:after="160"/>
      </w:pPr>
      <w:r>
        <w:rPr>
          <w:rFonts w:ascii="맑은 고딕" w:hAnsi="맑은 고딕" w:eastAsia="맑은 고딕"/>
          <w:b w:val="0"/>
          <w:sz w:val="22"/>
        </w:rPr>
        <w:t>마지막으로, 국내 시장 심화 전략은 일본 진출 성과가 예상보다 저조할 경우를 대비한 '안전판(cushion)' 역할도 수행한다. 만약 일본 진출 파일럿 단계에서 컨틴전시 플랜(7장 참조)이 발동될 경우, 재배치되었던 자원은 우선적으로 국내 시장 심화 전략으로 회귀 투입하는 것을 원칙으로 한다.</w:t>
      </w:r>
    </w:p>
    <w:p>
      <w:r>
        <w:rPr>
          <w:rFonts w:ascii="맑은 고딕" w:hAnsi="맑은 고딕" w:eastAsia="맑은 고딕"/>
          <w:b/>
          <w:color w:val="1F3864"/>
          <w:sz w:val="26"/>
        </w:rPr>
        <w:t>9. 제품 로드맵과 사업전략의 연계</w:t>
      </w:r>
    </w:p>
    <w:p>
      <w:pPr>
        <w:spacing w:line="312" w:lineRule="auto" w:after="160"/>
      </w:pPr>
      <w:r>
        <w:rPr>
          <w:rFonts w:ascii="맑은 고딕" w:hAnsi="맑은 고딕" w:eastAsia="맑은 고딕"/>
          <w:b w:val="0"/>
          <w:sz w:val="22"/>
        </w:rPr>
        <w:t>본 장에서는 개발본부가 추진 중인 PRJ-2026-03(네오보드 3.0)과 PRJ-2026-05(AI 요약 기능)가 일본 진출 및 국내 심화 전략과 어떻게 연계되는지를 정리한다. 네오보드 3.0은 UI/UX 전면 개편, 성능 최적화(로딩 속도 40% 개선 목표), 그리고 모바일 앱 리뉴얼을 핵심 내용으로 하며, 2026년 4분기 국내 정식 출시를 목표로 개발이 진행 중이다.</w:t>
      </w:r>
    </w:p>
    <w:p>
      <w:pPr>
        <w:spacing w:line="312" w:lineRule="auto" w:after="160"/>
      </w:pPr>
      <w:r>
        <w:rPr>
          <w:rFonts w:ascii="맑은 고딕" w:hAnsi="맑은 고딕" w:eastAsia="맑은 고딕"/>
          <w:b w:val="0"/>
          <w:sz w:val="22"/>
        </w:rPr>
        <w:t>PRJ-2026-05 AI 요약 기능은 회의록 자동 요약, 장문 문서 핵심 요약, 그리고 프로젝트 진행 상황 자동 브리핑의 3개 하위 기능으로 구성되며, 현재 회의록 자동 요약 기능은 베타 테스트 단계, 나머지 2개 기능은 개발 중 단계로 파악된다. 개발본부 강민석 CTO에 따르면 회의록 자동 요약 기능은 2026년 3분기 내 정식 출시가 가능할 것으로 예상되어, 일본 파일럿 프로그램(5장 2단계) 개시 시점과 맞물려 일본 진출의 핵심 차별화 기능으로 즉시 활용 가능하다.</w:t>
      </w:r>
    </w:p>
    <w:p>
      <w:pPr>
        <w:spacing w:line="312" w:lineRule="auto" w:after="160"/>
      </w:pPr>
      <w:r>
        <w:rPr>
          <w:rFonts w:ascii="맑은 고딕" w:hAnsi="맑은 고딕" w:eastAsia="맑은 고딕"/>
          <w:b w:val="0"/>
          <w:sz w:val="22"/>
        </w:rPr>
        <w:t>다만 개발본부의 전체 개발 인력(20명)은 네오보드 3.0, AI 요약 기능, 일본어 현지화 작업, 그리고 후술할 ISMS 인증 대응(기술적 보완조치)까지 총 4개 트랙을 동시에 수행해야 하는 상황으로, 리소스 과부하 우려가 제기되고 있다. 이에 강민석 CTO는 우선순위를 (1) 일본어 현지화 및 AI 요약 회의록 기능(3분기 필수), (2) 네오보드 3.0 핵심 UI 개편(4분기), (3) AI 요약 나머지 하위 기능 및 ISMS 기술 보완(4분기~2027년 1분기) 순으로 재조정하는 안을 제시하였다.</w:t>
      </w:r>
    </w:p>
    <w:p>
      <w:pPr>
        <w:spacing w:line="312" w:lineRule="auto" w:after="160"/>
      </w:pPr>
      <w:r>
        <w:rPr>
          <w:rFonts w:ascii="맑은 고딕" w:hAnsi="맑은 고딕" w:eastAsia="맑은 고딕"/>
          <w:b w:val="0"/>
          <w:sz w:val="22"/>
        </w:rPr>
        <w:t>이러한 우선순위 조정에 따라 네오보드 3.0의 완전한 기능 완성은 당초 계획 대비 약 3~4주 지연될 가능성이 있으며, 이 경우 국내 심화 전략(8장)에서 언급된 4분기 국내 출시 목표도 함께 조정이 필요할 수 있다. 경영기획실은 이 리소스 상충 이슈를 8월 하반기 경영전략회의의 별도 안건으로 상정하여, 필요시 외주 개발 인력 충원(2~3명, 3개월 한시 계약)을 통한 병목 해소 방안을 함께 논의할 예정이다.</w:t>
      </w:r>
    </w:p>
    <w:p>
      <w:pPr>
        <w:spacing w:line="312" w:lineRule="auto" w:after="160"/>
      </w:pPr>
      <w:r>
        <w:rPr>
          <w:rFonts w:ascii="맑은 고딕" w:hAnsi="맑은 고딕" w:eastAsia="맑은 고딕"/>
          <w:b w:val="0"/>
          <w:sz w:val="22"/>
        </w:rPr>
        <w:t>제품-시장 연계 관점에서, 네오보드 3.0의 UI/UX 개편은 일본 현지화 작업과 병행 설계됨으로써 이중 작업을 방지하고 있다. 즉 네오보드 3.0 개발 시점부터 다국어 지원(i18n) 프레임워크를 기본 아키텍처에 반영하여, 향후 추가 언어(영어, 중국어 등) 확장 시에도 재작업 최소화가 가능하도록 설계되었다. 이는 장기적으로 일본 이외 권역 진출 시에도 재사용 가능한 기술 자산이 된다.</w:t>
      </w:r>
    </w:p>
    <w:p>
      <w:pPr>
        <w:spacing w:line="312" w:lineRule="auto" w:after="160"/>
      </w:pPr>
      <w:r>
        <w:rPr>
          <w:rFonts w:ascii="맑은 고딕" w:hAnsi="맑은 고딕" w:eastAsia="맑은 고딕"/>
          <w:b w:val="0"/>
          <w:sz w:val="22"/>
        </w:rPr>
        <w:t>AI 요약 기능(PRJ-2026-05)은 일본어 자연어 처리 성능이 한국어 대비 상대적으로 검증되지 않은 상태로, 파일럿 단계에서 일본어 요약 품질에 대한 별도 QA 프로세스를 운영할 계획이다. 개발본부는 일본어 회의록 샘플 데이터(비식별 처리된 파트너사 제공 자료 활용 예정) 200건을 확보하여 8월 말부터 정확도 검증을 진행하기로 하였으며, 목표 정확도(사람이 평가한 요약 품질 만족도)는 80% 이상으로 설정하였다.</w:t>
      </w:r>
    </w:p>
    <w:p>
      <w:pPr>
        <w:spacing w:line="312" w:lineRule="auto" w:after="160"/>
      </w:pPr>
      <w:r>
        <w:rPr>
          <w:rFonts w:ascii="맑은 고딕" w:hAnsi="맑은 고딕" w:eastAsia="맑은 고딕"/>
          <w:b w:val="0"/>
          <w:sz w:val="22"/>
        </w:rPr>
        <w:t>결론적으로 제품 로드맵과 사업전략은 '한 번의 개발 투자로 국내 심화와 일본 진출 두 마리 토끼를 잡는다'는 원칙 하에 최대한 통합 설계되고 있으나, 개발 리소스의 물리적 한계로 인해 일부 기능의 우선순위 조정이 불가피한 상황이다. 이 트레이드오프는 매월 경영전략회의에서 지속적으로 재검토될 예정이다.</w:t>
      </w:r>
    </w:p>
    <w:p>
      <w:r>
        <w:rPr>
          <w:rFonts w:ascii="맑은 고딕" w:hAnsi="맑은 고딕" w:eastAsia="맑은 고딕"/>
          <w:b/>
          <w:color w:val="1F3864"/>
          <w:sz w:val="26"/>
        </w:rPr>
        <w:t>10. 조직 및 인력 확충 계획 상세(부서별 채용 계획)</w:t>
      </w:r>
    </w:p>
    <w:p>
      <w:pPr>
        <w:spacing w:line="312" w:lineRule="auto" w:after="160"/>
      </w:pPr>
      <w:r>
        <w:rPr>
          <w:rFonts w:ascii="맑은 고딕" w:hAnsi="맑은 고딕" w:eastAsia="맑은 고딕"/>
          <w:b w:val="0"/>
          <w:sz w:val="22"/>
        </w:rPr>
        <w:t>6장에서 다룬 일본 진출 TF 인력 계획 외에, 2026년 하반기~2027년 상반기 전사 차원의 부서별 채용 계획을 종합하면 아래 표와 같다. 채용 계획은 일본 진출, 네오보드 3.0/AI 요약 개발, ISMS 인증 대응, 그리고 국내 심화 전략 수행을 위한 인력 수요를 모두 반영한 것이다.</w:t>
      </w:r>
    </w:p>
    <w:p>
      <w:pPr>
        <w:spacing w:line="312" w:lineRule="auto" w:after="160"/>
      </w:pPr>
      <w:r>
        <w:rPr>
          <w:rFonts w:ascii="맑은 고딕" w:hAnsi="맑은 고딕" w:eastAsia="맑은 고딕"/>
          <w:b w:val="0"/>
          <w:sz w:val="22"/>
        </w:rPr>
        <w:t>개발본부는 이번 채용 계획에서 가장 큰 비중을 차지하며, 백엔드 개발자 2명, 프론트엔드 개발자 1명, QA 엔지니어 1명 등 총 4명 충원을 목표로 한다. 이는 앞서 9장에서 언급한 리소스 과부하 문제를 근본적으로 해소하기 위한 조치로, 강민석 CTO는 특히 AI/자연어처리 경력자를 우대 채용하여 AI 요약 기능 고도화 속도를 높이고자 한다.</w:t>
      </w:r>
    </w:p>
    <w:p>
      <w:pPr>
        <w:spacing w:line="312" w:lineRule="auto" w:after="160"/>
      </w:pPr>
      <w:r>
        <w:rPr>
          <w:rFonts w:ascii="맑은 고딕" w:hAnsi="맑은 고딕" w:eastAsia="맑은 고딕"/>
          <w:b w:val="0"/>
          <w:sz w:val="22"/>
        </w:rPr>
        <w:t>영업팀과 CS팀은 각각 일본어 가능 인력(영업 1명, CS 1명, 6장 기술) 외에도 국내 심화 전략 수행을 위한 국내 전담 인력을 각 1명씩 추가 채용할 계획이다. 이에 따라 영업팀은 국내·일본 담당을 명확히 분리하는 조직 개편과 함께 총 4명(일본 1명, 국내 1명, 기존 인력 재배치 2명) 충원 효과를 갖게 된다.</w:t>
      </w:r>
    </w:p>
    <w:p>
      <w:pPr>
        <w:spacing w:line="312" w:lineRule="auto" w:after="160"/>
      </w:pPr>
      <w:r>
        <w:rPr>
          <w:rFonts w:ascii="맑은 고딕" w:hAnsi="맑은 고딕" w:eastAsia="맑은 고딕"/>
          <w:b w:val="0"/>
          <w:sz w:val="22"/>
        </w:rPr>
        <w:t>IT보안팀은 ISMS 인증 취득(PRJ-2026-02) 대응을 위해 보안 관제 및 인증 심사 대응 전담 인력 1명을 채용할 계획이며, 법무팀은 일본 진출 관련 계약·규제 대응 업무 증가에 따라 해외 계약 전문 인력 1명을 채용할 예정이다. 인사팀 자체적으로는 채용 업무 증가에 대응하기 위해 채용 전담 담당자 1명을 채용하는 방안도 함께 검토 중이다.</w:t>
      </w:r>
    </w:p>
    <w:p>
      <w:pPr>
        <w:spacing w:line="312" w:lineRule="auto" w:after="160"/>
      </w:pPr>
      <w:r>
        <w:rPr>
          <w:rFonts w:ascii="맑은 고딕" w:hAnsi="맑은 고딕" w:eastAsia="맑은 고딕"/>
          <w:b w:val="0"/>
          <w:sz w:val="22"/>
        </w:rPr>
        <w:t>전체 채용 계획에 따른 인건비 증가분은 연환산 기준 약 6억 5천만원으로 추정되며, 이는 6장에서 언급한 일본 진출 프로젝트 예산(인건비 1억 8천만원)과 일부 중복되지 않도록 재무회계팀이 별도 관리한다. 인사팀 정하늘 팀장은 전체 채용을 3분기와 4분기에 걸쳐 순차적으로 진행하되, 개발본부와 IT보안팀 채용을 최우선 순위로 9월 중 채용 공고를 게시하기로 하였다.</w:t>
      </w:r>
    </w:p>
    <w:p>
      <w:pPr>
        <w:spacing w:line="312" w:lineRule="auto" w:after="160"/>
      </w:pPr>
      <w:r>
        <w:rPr>
          <w:rFonts w:ascii="맑은 고딕" w:hAnsi="맑은 고딕" w:eastAsia="맑은 고딕"/>
          <w:b w:val="0"/>
          <w:sz w:val="22"/>
        </w:rPr>
        <w:t>채용 리스크로는 국내 IT 인력 시장의 경쟁 심화로 인한 채용 기간 장기화 가능성이 있으며, 특히 AI/자연어처리 경력자 및 일본어 가능 인력은 시장 내 공급이 제한적이어서 목표 대비 채용 지연이 발생할 가능성이 높은 것으로 평가된다. 이에 인사팀은 채용 플랫폼 다변화(기존 국내 채용 플랫폼 외에 일본어 인력 전문 채용 에이전시 활용) 및 리퍼럴 채용 인센티브 강화(추천 채용 성사 시 200만원 지급) 방안을 병행 추진하기로 하였다.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부서</w:t>
            </w:r>
          </w:p>
        </w:tc>
        <w:tc>
          <w:tcPr>
            <w:tcW w:type="dxa" w:w="1728"/>
            <w:shd w:val="clear" w:color="auto" w:fill="1F3864"/>
          </w:tcPr>
          <w:p>
            <w:pPr>
              <w:jc w:val="center"/>
            </w:pPr>
            <w:r>
              <w:rPr>
                <w:rFonts w:ascii="맑은 고딕" w:hAnsi="맑은 고딕" w:eastAsia="맑은 고딕"/>
                <w:b/>
                <w:color w:val="FFFFFF"/>
                <w:sz w:val="20"/>
              </w:rPr>
              <w:t>채용 인원</w:t>
            </w:r>
          </w:p>
        </w:tc>
        <w:tc>
          <w:tcPr>
            <w:tcW w:type="dxa" w:w="1728"/>
            <w:shd w:val="clear" w:color="auto" w:fill="1F3864"/>
          </w:tcPr>
          <w:p>
            <w:pPr>
              <w:jc w:val="center"/>
            </w:pPr>
            <w:r>
              <w:rPr>
                <w:rFonts w:ascii="맑은 고딕" w:hAnsi="맑은 고딕" w:eastAsia="맑은 고딕"/>
                <w:b/>
                <w:color w:val="FFFFFF"/>
                <w:sz w:val="20"/>
              </w:rPr>
              <w:t>직무</w:t>
            </w:r>
          </w:p>
        </w:tc>
        <w:tc>
          <w:tcPr>
            <w:tcW w:type="dxa" w:w="1728"/>
            <w:shd w:val="clear" w:color="auto" w:fill="1F3864"/>
          </w:tcPr>
          <w:p>
            <w:pPr>
              <w:jc w:val="center"/>
            </w:pPr>
            <w:r>
              <w:rPr>
                <w:rFonts w:ascii="맑은 고딕" w:hAnsi="맑은 고딕" w:eastAsia="맑은 고딕"/>
                <w:b/>
                <w:color w:val="FFFFFF"/>
                <w:sz w:val="20"/>
              </w:rPr>
              <w:t>우대 요건</w:t>
            </w:r>
          </w:p>
        </w:tc>
        <w:tc>
          <w:tcPr>
            <w:tcW w:type="dxa" w:w="1728"/>
            <w:shd w:val="clear" w:color="auto" w:fill="1F3864"/>
          </w:tcPr>
          <w:p>
            <w:pPr>
              <w:jc w:val="center"/>
            </w:pPr>
            <w:r>
              <w:rPr>
                <w:rFonts w:ascii="맑은 고딕" w:hAnsi="맑은 고딕" w:eastAsia="맑은 고딕"/>
                <w:b/>
                <w:color w:val="FFFFFF"/>
                <w:sz w:val="20"/>
              </w:rPr>
              <w:t>채용 목표 시기</w:t>
            </w:r>
          </w:p>
        </w:tc>
      </w:tr>
      <w:tr>
        <w:tc>
          <w:tcPr>
            <w:tcW w:type="dxa" w:w="1728"/>
          </w:tcPr>
          <w:p>
            <w:r>
              <w:rPr>
                <w:rFonts w:ascii="맑은 고딕" w:hAnsi="맑은 고딕" w:eastAsia="맑은 고딕"/>
                <w:b w:val="0"/>
                <w:sz w:val="20"/>
              </w:rPr>
              <w:t>개발본부</w:t>
            </w:r>
          </w:p>
        </w:tc>
        <w:tc>
          <w:tcPr>
            <w:tcW w:type="dxa" w:w="1728"/>
          </w:tcPr>
          <w:p>
            <w:r>
              <w:rPr>
                <w:rFonts w:ascii="맑은 고딕" w:hAnsi="맑은 고딕" w:eastAsia="맑은 고딕"/>
                <w:b w:val="0"/>
                <w:sz w:val="20"/>
              </w:rPr>
              <w:t>4명</w:t>
            </w:r>
          </w:p>
        </w:tc>
        <w:tc>
          <w:tcPr>
            <w:tcW w:type="dxa" w:w="1728"/>
          </w:tcPr>
          <w:p>
            <w:r>
              <w:rPr>
                <w:rFonts w:ascii="맑은 고딕" w:hAnsi="맑은 고딕" w:eastAsia="맑은 고딕"/>
                <w:b w:val="0"/>
                <w:sz w:val="20"/>
              </w:rPr>
              <w:t>백엔드 2, 프론트엔드 1, QA 1</w:t>
            </w:r>
          </w:p>
        </w:tc>
        <w:tc>
          <w:tcPr>
            <w:tcW w:type="dxa" w:w="1728"/>
          </w:tcPr>
          <w:p>
            <w:r>
              <w:rPr>
                <w:rFonts w:ascii="맑은 고딕" w:hAnsi="맑은 고딕" w:eastAsia="맑은 고딕"/>
                <w:b w:val="0"/>
                <w:sz w:val="20"/>
              </w:rPr>
              <w:t>SaaS 개발 경력, AI/NLP 경력 우대</w:t>
            </w:r>
          </w:p>
        </w:tc>
        <w:tc>
          <w:tcPr>
            <w:tcW w:type="dxa" w:w="1728"/>
          </w:tcPr>
          <w:p>
            <w:r>
              <w:rPr>
                <w:rFonts w:ascii="맑은 고딕" w:hAnsi="맑은 고딕" w:eastAsia="맑은 고딕"/>
                <w:b w:val="0"/>
                <w:sz w:val="20"/>
              </w:rPr>
              <w:t>2026 Q3~Q4</w:t>
            </w:r>
          </w:p>
        </w:tc>
      </w:tr>
      <w:tr>
        <w:tc>
          <w:tcPr>
            <w:tcW w:type="dxa" w:w="1728"/>
            <w:shd w:val="clear" w:color="auto" w:fill="F2F2F2"/>
          </w:tcPr>
          <w:p>
            <w:r>
              <w:rPr>
                <w:rFonts w:ascii="맑은 고딕" w:hAnsi="맑은 고딕" w:eastAsia="맑은 고딕"/>
                <w:b w:val="0"/>
                <w:sz w:val="20"/>
              </w:rPr>
              <w:t>영업팀</w:t>
            </w:r>
          </w:p>
        </w:tc>
        <w:tc>
          <w:tcPr>
            <w:tcW w:type="dxa" w:w="1728"/>
            <w:shd w:val="clear" w:color="auto" w:fill="F2F2F2"/>
          </w:tcPr>
          <w:p>
            <w:r>
              <w:rPr>
                <w:rFonts w:ascii="맑은 고딕" w:hAnsi="맑은 고딕" w:eastAsia="맑은 고딕"/>
                <w:b w:val="0"/>
                <w:sz w:val="20"/>
              </w:rPr>
              <w:t>2명</w:t>
            </w:r>
          </w:p>
        </w:tc>
        <w:tc>
          <w:tcPr>
            <w:tcW w:type="dxa" w:w="1728"/>
            <w:shd w:val="clear" w:color="auto" w:fill="F2F2F2"/>
          </w:tcPr>
          <w:p>
            <w:r>
              <w:rPr>
                <w:rFonts w:ascii="맑은 고딕" w:hAnsi="맑은 고딕" w:eastAsia="맑은 고딕"/>
                <w:b w:val="0"/>
                <w:sz w:val="20"/>
              </w:rPr>
              <w:t>일본 영업 1, 국내 영업 1</w:t>
            </w:r>
          </w:p>
        </w:tc>
        <w:tc>
          <w:tcPr>
            <w:tcW w:type="dxa" w:w="1728"/>
            <w:shd w:val="clear" w:color="auto" w:fill="F2F2F2"/>
          </w:tcPr>
          <w:p>
            <w:r>
              <w:rPr>
                <w:rFonts w:ascii="맑은 고딕" w:hAnsi="맑은 고딕" w:eastAsia="맑은 고딕"/>
                <w:b w:val="0"/>
                <w:sz w:val="20"/>
              </w:rPr>
              <w:t>JLPT N2 이상(일본 담당), B2B 영업 경력 2년+</w:t>
            </w:r>
          </w:p>
        </w:tc>
        <w:tc>
          <w:tcPr>
            <w:tcW w:type="dxa" w:w="1728"/>
            <w:shd w:val="clear" w:color="auto" w:fill="F2F2F2"/>
          </w:tcPr>
          <w:p>
            <w:r>
              <w:rPr>
                <w:rFonts w:ascii="맑은 고딕" w:hAnsi="맑은 고딕" w:eastAsia="맑은 고딕"/>
                <w:b w:val="0"/>
                <w:sz w:val="20"/>
              </w:rPr>
              <w:t>2026 Q4</w:t>
            </w:r>
          </w:p>
        </w:tc>
      </w:tr>
      <w:tr>
        <w:tc>
          <w:tcPr>
            <w:tcW w:type="dxa" w:w="1728"/>
          </w:tcPr>
          <w:p>
            <w:r>
              <w:rPr>
                <w:rFonts w:ascii="맑은 고딕" w:hAnsi="맑은 고딕" w:eastAsia="맑은 고딕"/>
                <w:b w:val="0"/>
                <w:sz w:val="20"/>
              </w:rPr>
              <w:t>CS팀</w:t>
            </w:r>
          </w:p>
        </w:tc>
        <w:tc>
          <w:tcPr>
            <w:tcW w:type="dxa" w:w="1728"/>
          </w:tcPr>
          <w:p>
            <w:r>
              <w:rPr>
                <w:rFonts w:ascii="맑은 고딕" w:hAnsi="맑은 고딕" w:eastAsia="맑은 고딕"/>
                <w:b w:val="0"/>
                <w:sz w:val="20"/>
              </w:rPr>
              <w:t>2명</w:t>
            </w:r>
          </w:p>
        </w:tc>
        <w:tc>
          <w:tcPr>
            <w:tcW w:type="dxa" w:w="1728"/>
          </w:tcPr>
          <w:p>
            <w:r>
              <w:rPr>
                <w:rFonts w:ascii="맑은 고딕" w:hAnsi="맑은 고딕" w:eastAsia="맑은 고딕"/>
                <w:b w:val="0"/>
                <w:sz w:val="20"/>
              </w:rPr>
              <w:t>일본어 CS 1, 국내 CS 1</w:t>
            </w:r>
          </w:p>
        </w:tc>
        <w:tc>
          <w:tcPr>
            <w:tcW w:type="dxa" w:w="1728"/>
          </w:tcPr>
          <w:p>
            <w:r>
              <w:rPr>
                <w:rFonts w:ascii="맑은 고딕" w:hAnsi="맑은 고딕" w:eastAsia="맑은 고딕"/>
                <w:b w:val="0"/>
                <w:sz w:val="20"/>
              </w:rPr>
              <w:t>JLPT N2 이상(일본 담당), SaaS CS 경력 우대</w:t>
            </w:r>
          </w:p>
        </w:tc>
        <w:tc>
          <w:tcPr>
            <w:tcW w:type="dxa" w:w="1728"/>
          </w:tcPr>
          <w:p>
            <w:r>
              <w:rPr>
                <w:rFonts w:ascii="맑은 고딕" w:hAnsi="맑은 고딕" w:eastAsia="맑은 고딕"/>
                <w:b w:val="0"/>
                <w:sz w:val="20"/>
              </w:rPr>
              <w:t>2026 Q4</w:t>
            </w:r>
          </w:p>
        </w:tc>
      </w:tr>
      <w:tr>
        <w:tc>
          <w:tcPr>
            <w:tcW w:type="dxa" w:w="1728"/>
            <w:shd w:val="clear" w:color="auto" w:fill="F2F2F2"/>
          </w:tcPr>
          <w:p>
            <w:r>
              <w:rPr>
                <w:rFonts w:ascii="맑은 고딕" w:hAnsi="맑은 고딕" w:eastAsia="맑은 고딕"/>
                <w:b w:val="0"/>
                <w:sz w:val="20"/>
              </w:rPr>
              <w:t>IT보안팀</w:t>
            </w:r>
          </w:p>
        </w:tc>
        <w:tc>
          <w:tcPr>
            <w:tcW w:type="dxa" w:w="1728"/>
            <w:shd w:val="clear" w:color="auto" w:fill="F2F2F2"/>
          </w:tcPr>
          <w:p>
            <w:r>
              <w:rPr>
                <w:rFonts w:ascii="맑은 고딕" w:hAnsi="맑은 고딕" w:eastAsia="맑은 고딕"/>
                <w:b w:val="0"/>
                <w:sz w:val="20"/>
              </w:rPr>
              <w:t>1명</w:t>
            </w:r>
          </w:p>
        </w:tc>
        <w:tc>
          <w:tcPr>
            <w:tcW w:type="dxa" w:w="1728"/>
            <w:shd w:val="clear" w:color="auto" w:fill="F2F2F2"/>
          </w:tcPr>
          <w:p>
            <w:r>
              <w:rPr>
                <w:rFonts w:ascii="맑은 고딕" w:hAnsi="맑은 고딕" w:eastAsia="맑은 고딕"/>
                <w:b w:val="0"/>
                <w:sz w:val="20"/>
              </w:rPr>
              <w:t>보안 관제 및 인증 대응</w:t>
            </w:r>
          </w:p>
        </w:tc>
        <w:tc>
          <w:tcPr>
            <w:tcW w:type="dxa" w:w="1728"/>
            <w:shd w:val="clear" w:color="auto" w:fill="F2F2F2"/>
          </w:tcPr>
          <w:p>
            <w:r>
              <w:rPr>
                <w:rFonts w:ascii="맑은 고딕" w:hAnsi="맑은 고딕" w:eastAsia="맑은 고딕"/>
                <w:b w:val="0"/>
                <w:sz w:val="20"/>
              </w:rPr>
              <w:t>ISMS/ISO27001 심사 대응 경력</w:t>
            </w:r>
          </w:p>
        </w:tc>
        <w:tc>
          <w:tcPr>
            <w:tcW w:type="dxa" w:w="1728"/>
            <w:shd w:val="clear" w:color="auto" w:fill="F2F2F2"/>
          </w:tcPr>
          <w:p>
            <w:r>
              <w:rPr>
                <w:rFonts w:ascii="맑은 고딕" w:hAnsi="맑은 고딕" w:eastAsia="맑은 고딕"/>
                <w:b w:val="0"/>
                <w:sz w:val="20"/>
              </w:rPr>
              <w:t>2026 Q3</w:t>
            </w:r>
          </w:p>
        </w:tc>
      </w:tr>
      <w:tr>
        <w:tc>
          <w:tcPr>
            <w:tcW w:type="dxa" w:w="1728"/>
          </w:tcPr>
          <w:p>
            <w:r>
              <w:rPr>
                <w:rFonts w:ascii="맑은 고딕" w:hAnsi="맑은 고딕" w:eastAsia="맑은 고딕"/>
                <w:b w:val="0"/>
                <w:sz w:val="20"/>
              </w:rPr>
              <w:t>법무팀</w:t>
            </w:r>
          </w:p>
        </w:tc>
        <w:tc>
          <w:tcPr>
            <w:tcW w:type="dxa" w:w="1728"/>
          </w:tcPr>
          <w:p>
            <w:r>
              <w:rPr>
                <w:rFonts w:ascii="맑은 고딕" w:hAnsi="맑은 고딕" w:eastAsia="맑은 고딕"/>
                <w:b w:val="0"/>
                <w:sz w:val="20"/>
              </w:rPr>
              <w:t>1명</w:t>
            </w:r>
          </w:p>
        </w:tc>
        <w:tc>
          <w:tcPr>
            <w:tcW w:type="dxa" w:w="1728"/>
          </w:tcPr>
          <w:p>
            <w:r>
              <w:rPr>
                <w:rFonts w:ascii="맑은 고딕" w:hAnsi="맑은 고딕" w:eastAsia="맑은 고딕"/>
                <w:b w:val="0"/>
                <w:sz w:val="20"/>
              </w:rPr>
              <w:t>해외 계약 및 규제 대응</w:t>
            </w:r>
          </w:p>
        </w:tc>
        <w:tc>
          <w:tcPr>
            <w:tcW w:type="dxa" w:w="1728"/>
          </w:tcPr>
          <w:p>
            <w:r>
              <w:rPr>
                <w:rFonts w:ascii="맑은 고딕" w:hAnsi="맑은 고딕" w:eastAsia="맑은 고딕"/>
                <w:b w:val="0"/>
                <w:sz w:val="20"/>
              </w:rPr>
              <w:t>해외 SaaS 계약 또는 개인정보보호법 경력</w:t>
            </w:r>
          </w:p>
        </w:tc>
        <w:tc>
          <w:tcPr>
            <w:tcW w:type="dxa" w:w="1728"/>
          </w:tcPr>
          <w:p>
            <w:r>
              <w:rPr>
                <w:rFonts w:ascii="맑은 고딕" w:hAnsi="맑은 고딕" w:eastAsia="맑은 고딕"/>
                <w:b w:val="0"/>
                <w:sz w:val="20"/>
              </w:rPr>
              <w:t>2026 Q4</w:t>
            </w:r>
          </w:p>
        </w:tc>
      </w:tr>
      <w:tr>
        <w:tc>
          <w:tcPr>
            <w:tcW w:type="dxa" w:w="1728"/>
            <w:shd w:val="clear" w:color="auto" w:fill="F2F2F2"/>
          </w:tcPr>
          <w:p>
            <w:r>
              <w:rPr>
                <w:rFonts w:ascii="맑은 고딕" w:hAnsi="맑은 고딕" w:eastAsia="맑은 고딕"/>
                <w:b w:val="0"/>
                <w:sz w:val="20"/>
              </w:rPr>
              <w:t>인사팀</w:t>
            </w:r>
          </w:p>
        </w:tc>
        <w:tc>
          <w:tcPr>
            <w:tcW w:type="dxa" w:w="1728"/>
            <w:shd w:val="clear" w:color="auto" w:fill="F2F2F2"/>
          </w:tcPr>
          <w:p>
            <w:r>
              <w:rPr>
                <w:rFonts w:ascii="맑은 고딕" w:hAnsi="맑은 고딕" w:eastAsia="맑은 고딕"/>
                <w:b w:val="0"/>
                <w:sz w:val="20"/>
              </w:rPr>
              <w:t>1명(검토중)</w:t>
            </w:r>
          </w:p>
        </w:tc>
        <w:tc>
          <w:tcPr>
            <w:tcW w:type="dxa" w:w="1728"/>
            <w:shd w:val="clear" w:color="auto" w:fill="F2F2F2"/>
          </w:tcPr>
          <w:p>
            <w:r>
              <w:rPr>
                <w:rFonts w:ascii="맑은 고딕" w:hAnsi="맑은 고딕" w:eastAsia="맑은 고딕"/>
                <w:b w:val="0"/>
                <w:sz w:val="20"/>
              </w:rPr>
              <w:t>채용 전담</w:t>
            </w:r>
          </w:p>
        </w:tc>
        <w:tc>
          <w:tcPr>
            <w:tcW w:type="dxa" w:w="1728"/>
            <w:shd w:val="clear" w:color="auto" w:fill="F2F2F2"/>
          </w:tcPr>
          <w:p>
            <w:r>
              <w:rPr>
                <w:rFonts w:ascii="맑은 고딕" w:hAnsi="맑은 고딕" w:eastAsia="맑은 고딕"/>
                <w:b w:val="0"/>
                <w:sz w:val="20"/>
              </w:rPr>
              <w:t>IT/스타트업 채용 경력</w:t>
            </w:r>
          </w:p>
        </w:tc>
        <w:tc>
          <w:tcPr>
            <w:tcW w:type="dxa" w:w="1728"/>
            <w:shd w:val="clear" w:color="auto" w:fill="F2F2F2"/>
          </w:tcPr>
          <w:p>
            <w:r>
              <w:rPr>
                <w:rFonts w:ascii="맑은 고딕" w:hAnsi="맑은 고딕" w:eastAsia="맑은 고딕"/>
                <w:b w:val="0"/>
                <w:sz w:val="20"/>
              </w:rPr>
              <w:t>2027 Q1(잠정)</w:t>
            </w:r>
          </w:p>
        </w:tc>
      </w:tr>
    </w:tbl>
    <w:p/>
    <w:p>
      <w:r>
        <w:rPr>
          <w:rFonts w:ascii="맑은 고딕" w:hAnsi="맑은 고딕" w:eastAsia="맑은 고딕"/>
          <w:b/>
          <w:color w:val="1F3864"/>
          <w:sz w:val="26"/>
        </w:rPr>
        <w:t>11. 파트너십 전략(일본 외 잠재 파트너 검토)</w:t>
      </w:r>
    </w:p>
    <w:p>
      <w:pPr>
        <w:spacing w:line="312" w:lineRule="auto" w:after="160"/>
      </w:pPr>
      <w:r>
        <w:rPr>
          <w:rFonts w:ascii="맑은 고딕" w:hAnsi="맑은 고딕" w:eastAsia="맑은 고딕"/>
          <w:b w:val="0"/>
          <w:sz w:val="22"/>
        </w:rPr>
        <w:t>일본 진출을 위한 현지 파트너사 MOU(5장 1단계) 외에도, 경영기획실은 중장기 사업 확장을 위한 폭넓은 파트너십 전략을 별도로 검토하고 있다. 이는 일본 파트너사에 국한하지 않고, 국내외 잠재 파트너 후보군을 발굴하여 채널 확대, 기술 제휴, 공동 마케팅 등 다양한 형태의 협력을 모색하는 것을 목적으로 한다.</w:t>
      </w:r>
    </w:p>
    <w:p>
      <w:pPr>
        <w:spacing w:line="312" w:lineRule="auto" w:after="160"/>
      </w:pPr>
      <w:r>
        <w:rPr>
          <w:rFonts w:ascii="맑은 고딕" w:hAnsi="맑은 고딕" w:eastAsia="맑은 고딕"/>
          <w:b w:val="0"/>
          <w:sz w:val="22"/>
        </w:rPr>
        <w:t>첫째, 일본 현지 파트너십 후보로는 앞서 언급한 도쿄 소재 파트너사(9월 MOU 예정) 외에도, 일본 대형 SI업체 2곳(가칭 니혼시스템즈, 간토테크놀로지)과의 리셀러 협력 가능성을 4장에서 식별한 기회 요인에 따라 예비 검토 중이다. 다만 이들 SI업체와의 협력은 정식 출시 이후(3단계) 논의를 시작하는 것이 적절하다는 내부 판단에 따라, 현재는 비공식 접촉 단계에 머물러 있다.</w:t>
      </w:r>
    </w:p>
    <w:p>
      <w:pPr>
        <w:spacing w:line="312" w:lineRule="auto" w:after="160"/>
      </w:pPr>
      <w:r>
        <w:rPr>
          <w:rFonts w:ascii="맑은 고딕" w:hAnsi="맑은 고딕" w:eastAsia="맑은 고딕"/>
          <w:b w:val="0"/>
          <w:sz w:val="22"/>
        </w:rPr>
        <w:t>둘째, 동남아시아 진출을 염두에 둔 잠재 파트너로 싱가포르 및 베트남 소재 로컬 SaaS 유통사 2~3곳을 예비 리스트업하였다. 이는 앞서 언급한 TeamHub Asia와의 경쟁 구도(3장 참조)를 역으로 활용하는 접근으로, 향후 동남아 진출 시 협력 또는 벤치마킹 대상이 될 수 있다. 다만 이는 2027년 하반기 이후의 장기 검토 과제로, 본 보고서의 12개월 로드맵(5장)에는 포함되지 않는다.</w:t>
      </w:r>
    </w:p>
    <w:p>
      <w:pPr>
        <w:spacing w:line="312" w:lineRule="auto" w:after="160"/>
      </w:pPr>
      <w:r>
        <w:rPr>
          <w:rFonts w:ascii="맑은 고딕" w:hAnsi="맑은 고딕" w:eastAsia="맑은 고딕"/>
          <w:b w:val="0"/>
          <w:sz w:val="22"/>
        </w:rPr>
        <w:t>셋째, 국내에서는 8장에서 언급한 기존 SI·컨설팅 파트너사(브릿지컨설팅, 한울시스템) 외에 회계·세무 소프트웨어 업체(가칭 taxflow)와의 기능 연동(API 제휴)을 검토하고 있다. 이는 국내 중소기업 고객의 업무 워크플로우 내에서 네오보드의 활용도를 높여 락인(lock-in) 효과를 강화하기 위한 전략으로, 개발본부와의 기술 협의가 3분기 중 시작될 예정이다.</w:t>
      </w:r>
    </w:p>
    <w:p>
      <w:pPr>
        <w:spacing w:line="312" w:lineRule="auto" w:after="160"/>
      </w:pPr>
      <w:r>
        <w:rPr>
          <w:rFonts w:ascii="맑은 고딕" w:hAnsi="맑은 고딕" w:eastAsia="맑은 고딕"/>
          <w:b w:val="0"/>
          <w:sz w:val="22"/>
        </w:rPr>
        <w:t>넷째, 클라우드 인프라 파트너십 측면에서는 현재 사용 중인 국내 클라우드 사업자 외에 일본 리전 대응을 위한 글로벌 클라우드 사업자(AWS 또는 Azure 일본 리전)와의 협력을 IT보안팀 서준혁 팀장이 검토 중이며, 이는 4장에서 언급한 APPI 데이터 현지화 요건 대응과도 직결되는 사안이다. 리전 선정은 비용, 지연시간(latency), 그리고 ISMS 인증(PRJ-2026-02) 심사 기준과의 정합성을 종합 고려하여 4분기 중 최종 결정할 예정이다.</w:t>
      </w:r>
    </w:p>
    <w:p>
      <w:pPr>
        <w:spacing w:line="312" w:lineRule="auto" w:after="160"/>
      </w:pPr>
      <w:r>
        <w:rPr>
          <w:rFonts w:ascii="맑은 고딕" w:hAnsi="맑은 고딕" w:eastAsia="맑은 고딕"/>
          <w:b w:val="0"/>
          <w:sz w:val="22"/>
        </w:rPr>
        <w:t>파트너십 전략 전반의 우선순위는 (1) 일본 현지 서비스 파트너(9월 MOU, 최우선), (2) 국내 API 연동 파트너(3분기 협의 개시), (3) 클라우드 인프라 파트너(4분기 결정), (4) 일본 SI 리셀러 및 동남아 유통 파트너(2027년 이후 장기 검토) 순으로 설정되었다. 경영기획실은 각 파트너십 후보에 대해 분기별 진척 현황을 추적하여 별도 파트너십 현황표로 관리할 계획이다.</w:t>
      </w:r>
    </w:p>
    <w:p>
      <w:r>
        <w:rPr>
          <w:rFonts w:ascii="맑은 고딕" w:hAnsi="맑은 고딕" w:eastAsia="맑은 고딕"/>
          <w:b/>
          <w:color w:val="1F3864"/>
          <w:sz w:val="26"/>
        </w:rPr>
        <w:t>12. 재무 목표 3개년 요약</w:t>
      </w:r>
    </w:p>
    <w:p>
      <w:pPr>
        <w:spacing w:line="312" w:lineRule="auto" w:after="160"/>
      </w:pPr>
      <w:r>
        <w:rPr>
          <w:rFonts w:ascii="맑은 고딕" w:hAnsi="맑은 고딕" w:eastAsia="맑은 고딕"/>
          <w:b w:val="0"/>
          <w:sz w:val="22"/>
        </w:rPr>
        <w:t>본 장에서는 2026년부터 2028년까지 3개년간 당사의 재무 목표를 종합 요약한다. 해당 목표는 일본 진출(PRJ-2026-07), 국내 시장 심화 전략(8장), 그리고 신규 채용에 따른 비용 증가(10장)를 모두 반영한 통합 재무 계획으로, 재무회계팀 최영재 팀장과의 협의를 거쳐 산정되었다.</w:t>
      </w:r>
    </w:p>
    <w:p>
      <w:pPr>
        <w:spacing w:line="312" w:lineRule="auto" w:after="160"/>
      </w:pPr>
      <w:r>
        <w:rPr>
          <w:rFonts w:ascii="맑은 고딕" w:hAnsi="맑은 고딕" w:eastAsia="맑은 고딕"/>
          <w:b w:val="0"/>
          <w:sz w:val="22"/>
        </w:rPr>
        <w:t>전사 매출은 2026년 약 74억원(연환산 기준)에서 2027년 약 95억원, 2028년 약 125억원으로 성장하는 것을 목표로 하며, 이 중 일본 매출 비중은 2026년 1% 미만에서 2027년 약 8%, 2028년 약 18% 수준으로 확대될 것으로 전망된다. 국내 매출은 8장에서 제시한 CAGR 15% 목표에 따라 안정적으로 성장하되, 전사 매출에서 차지하는 비중은 상대적으로 축소되는 구조로 계획되었다.</w:t>
      </w:r>
    </w:p>
    <w:p>
      <w:pPr>
        <w:spacing w:line="312" w:lineRule="auto" w:after="160"/>
      </w:pPr>
      <w:r>
        <w:rPr>
          <w:rFonts w:ascii="맑은 고딕" w:hAnsi="맑은 고딕" w:eastAsia="맑은 고딕"/>
          <w:b w:val="0"/>
          <w:sz w:val="22"/>
        </w:rPr>
        <w:t>영업이익률은 일본 진출 초기 비용(현지화, 채용, 마케팅) 부담으로 인해 2026년 약 10%로 전년 대비 소폭 하락한 뒤, 2027년 약 11%, 2028년 약 14% 수준으로 점진적 회복 및 개선을 목표로 한다. 이는 일본 사업이 2027년까지는 투자 단계, 2028년부터 손익분기점 이후 이익 기여 단계로 전환된다는 가정에 기반한다.</w:t>
      </w:r>
    </w:p>
    <w:p>
      <w:pPr>
        <w:spacing w:line="312" w:lineRule="auto" w:after="160"/>
      </w:pPr>
      <w:r>
        <w:rPr>
          <w:rFonts w:ascii="맑은 고딕" w:hAnsi="맑은 고딕" w:eastAsia="맑은 고딕"/>
          <w:b w:val="0"/>
          <w:sz w:val="22"/>
        </w:rPr>
        <w:t>투자 유치와 관련하여, 6장에서 언급한 시리즈 투자가 2026년 4분기 중 완료될 경우 확보 자금의 상당 부분은 일본 진출 확장(2단계 이후) 및 개발본부 인력 충원(10장)에 우선 배정될 계획이다. 재무회계팀은 투자 유치 여부와 무관하게 3개년 재무 목표 자체는 유지하되, 목표 달성 시점 및 자체 자금 대비 외부 자금 활용 비중을 유동적으로 조정하는 방식으로 계획을 수립하였다.</w:t>
      </w:r>
    </w:p>
    <w:p>
      <w:pPr>
        <w:spacing w:line="312" w:lineRule="auto" w:after="160"/>
      </w:pPr>
      <w:r>
        <w:rPr>
          <w:rFonts w:ascii="맑은 고딕" w:hAnsi="맑은 고딕" w:eastAsia="맑은 고딕"/>
          <w:b w:val="0"/>
          <w:sz w:val="22"/>
        </w:rPr>
        <w:t>아래 표는 3개년 재무 목표를 매출, 영업이익률, 일본 매출 비중, 누적 일본 유료 고객 수, 전사 인력 규모 기준으로 요약한 것이다. 해당 수치는 확정치가 아닌 목표치이며, 분기별 실적 점검을 통해 매 반기 갱신될 예정이다.</w:t>
      </w:r>
    </w:p>
    <w:p>
      <w:pPr>
        <w:spacing w:line="312" w:lineRule="auto" w:after="160"/>
      </w:pPr>
      <w:r>
        <w:rPr>
          <w:rFonts w:ascii="맑은 고딕" w:hAnsi="맑은 고딕" w:eastAsia="맑은 고딕"/>
          <w:b w:val="0"/>
          <w:sz w:val="22"/>
        </w:rPr>
        <w:t>마지막으로, 본 3개년 재무 목표는 8월 하반기 경영전략회의 의결 이후 이사회 승인을 거쳐 공식 경영목표로 확정되며, 확정 이후에는 부서별 KPI 및 개인 성과평가 지표에도 단계적으로 반영될 예정이다. 재무회계팀은 향후 매 분기 실적을 본 목표 대비 추적 관리하여 경영기획실에 보고한다.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구분</w:t>
            </w:r>
          </w:p>
        </w:tc>
        <w:tc>
          <w:tcPr>
            <w:tcW w:type="dxa" w:w="2160"/>
            <w:shd w:val="clear" w:color="auto" w:fill="1F3864"/>
          </w:tcPr>
          <w:p>
            <w:pPr>
              <w:jc w:val="center"/>
            </w:pPr>
            <w:r>
              <w:rPr>
                <w:rFonts w:ascii="맑은 고딕" w:hAnsi="맑은 고딕" w:eastAsia="맑은 고딕"/>
                <w:b/>
                <w:color w:val="FFFFFF"/>
                <w:sz w:val="20"/>
              </w:rPr>
              <w:t>2026년(E)</w:t>
            </w:r>
          </w:p>
        </w:tc>
        <w:tc>
          <w:tcPr>
            <w:tcW w:type="dxa" w:w="2160"/>
            <w:shd w:val="clear" w:color="auto" w:fill="1F3864"/>
          </w:tcPr>
          <w:p>
            <w:pPr>
              <w:jc w:val="center"/>
            </w:pPr>
            <w:r>
              <w:rPr>
                <w:rFonts w:ascii="맑은 고딕" w:hAnsi="맑은 고딕" w:eastAsia="맑은 고딕"/>
                <w:b/>
                <w:color w:val="FFFFFF"/>
                <w:sz w:val="20"/>
              </w:rPr>
              <w:t>2027년(E)</w:t>
            </w:r>
          </w:p>
        </w:tc>
        <w:tc>
          <w:tcPr>
            <w:tcW w:type="dxa" w:w="2160"/>
            <w:shd w:val="clear" w:color="auto" w:fill="1F3864"/>
          </w:tcPr>
          <w:p>
            <w:pPr>
              <w:jc w:val="center"/>
            </w:pPr>
            <w:r>
              <w:rPr>
                <w:rFonts w:ascii="맑은 고딕" w:hAnsi="맑은 고딕" w:eastAsia="맑은 고딕"/>
                <w:b/>
                <w:color w:val="FFFFFF"/>
                <w:sz w:val="20"/>
              </w:rPr>
              <w:t>2028년(E)</w:t>
            </w:r>
          </w:p>
        </w:tc>
      </w:tr>
      <w:tr>
        <w:tc>
          <w:tcPr>
            <w:tcW w:type="dxa" w:w="2160"/>
          </w:tcPr>
          <w:p>
            <w:r>
              <w:rPr>
                <w:rFonts w:ascii="맑은 고딕" w:hAnsi="맑은 고딕" w:eastAsia="맑은 고딕"/>
                <w:b w:val="0"/>
                <w:sz w:val="20"/>
              </w:rPr>
              <w:t>전사 매출</w:t>
            </w:r>
          </w:p>
        </w:tc>
        <w:tc>
          <w:tcPr>
            <w:tcW w:type="dxa" w:w="2160"/>
          </w:tcPr>
          <w:p>
            <w:r>
              <w:rPr>
                <w:rFonts w:ascii="맑은 고딕" w:hAnsi="맑은 고딕" w:eastAsia="맑은 고딕"/>
                <w:b w:val="0"/>
                <w:sz w:val="20"/>
              </w:rPr>
              <w:t>약 74억원</w:t>
            </w:r>
          </w:p>
        </w:tc>
        <w:tc>
          <w:tcPr>
            <w:tcW w:type="dxa" w:w="2160"/>
          </w:tcPr>
          <w:p>
            <w:r>
              <w:rPr>
                <w:rFonts w:ascii="맑은 고딕" w:hAnsi="맑은 고딕" w:eastAsia="맑은 고딕"/>
                <w:b w:val="0"/>
                <w:sz w:val="20"/>
              </w:rPr>
              <w:t>약 95억원</w:t>
            </w:r>
          </w:p>
        </w:tc>
        <w:tc>
          <w:tcPr>
            <w:tcW w:type="dxa" w:w="2160"/>
          </w:tcPr>
          <w:p>
            <w:r>
              <w:rPr>
                <w:rFonts w:ascii="맑은 고딕" w:hAnsi="맑은 고딕" w:eastAsia="맑은 고딕"/>
                <w:b w:val="0"/>
                <w:sz w:val="20"/>
              </w:rPr>
              <w:t>약 125억원</w:t>
            </w:r>
          </w:p>
        </w:tc>
      </w:tr>
      <w:tr>
        <w:tc>
          <w:tcPr>
            <w:tcW w:type="dxa" w:w="2160"/>
            <w:shd w:val="clear" w:color="auto" w:fill="F2F2F2"/>
          </w:tcPr>
          <w:p>
            <w:r>
              <w:rPr>
                <w:rFonts w:ascii="맑은 고딕" w:hAnsi="맑은 고딕" w:eastAsia="맑은 고딕"/>
                <w:b w:val="0"/>
                <w:sz w:val="20"/>
              </w:rPr>
              <w:t>영업이익률</w:t>
            </w:r>
          </w:p>
        </w:tc>
        <w:tc>
          <w:tcPr>
            <w:tcW w:type="dxa" w:w="2160"/>
            <w:shd w:val="clear" w:color="auto" w:fill="F2F2F2"/>
          </w:tcPr>
          <w:p>
            <w:r>
              <w:rPr>
                <w:rFonts w:ascii="맑은 고딕" w:hAnsi="맑은 고딕" w:eastAsia="맑은 고딕"/>
                <w:b w:val="0"/>
                <w:sz w:val="20"/>
              </w:rPr>
              <w:t>약 10%</w:t>
            </w:r>
          </w:p>
        </w:tc>
        <w:tc>
          <w:tcPr>
            <w:tcW w:type="dxa" w:w="2160"/>
            <w:shd w:val="clear" w:color="auto" w:fill="F2F2F2"/>
          </w:tcPr>
          <w:p>
            <w:r>
              <w:rPr>
                <w:rFonts w:ascii="맑은 고딕" w:hAnsi="맑은 고딕" w:eastAsia="맑은 고딕"/>
                <w:b w:val="0"/>
                <w:sz w:val="20"/>
              </w:rPr>
              <w:t>약 11%</w:t>
            </w:r>
          </w:p>
        </w:tc>
        <w:tc>
          <w:tcPr>
            <w:tcW w:type="dxa" w:w="2160"/>
            <w:shd w:val="clear" w:color="auto" w:fill="F2F2F2"/>
          </w:tcPr>
          <w:p>
            <w:r>
              <w:rPr>
                <w:rFonts w:ascii="맑은 고딕" w:hAnsi="맑은 고딕" w:eastAsia="맑은 고딕"/>
                <w:b w:val="0"/>
                <w:sz w:val="20"/>
              </w:rPr>
              <w:t>약 14%</w:t>
            </w:r>
          </w:p>
        </w:tc>
      </w:tr>
      <w:tr>
        <w:tc>
          <w:tcPr>
            <w:tcW w:type="dxa" w:w="2160"/>
          </w:tcPr>
          <w:p>
            <w:r>
              <w:rPr>
                <w:rFonts w:ascii="맑은 고딕" w:hAnsi="맑은 고딕" w:eastAsia="맑은 고딕"/>
                <w:b w:val="0"/>
                <w:sz w:val="20"/>
              </w:rPr>
              <w:t>일본 매출 비중</w:t>
            </w:r>
          </w:p>
        </w:tc>
        <w:tc>
          <w:tcPr>
            <w:tcW w:type="dxa" w:w="2160"/>
          </w:tcPr>
          <w:p>
            <w:r>
              <w:rPr>
                <w:rFonts w:ascii="맑은 고딕" w:hAnsi="맑은 고딕" w:eastAsia="맑은 고딕"/>
                <w:b w:val="0"/>
                <w:sz w:val="20"/>
              </w:rPr>
              <w:t>1% 미만</w:t>
            </w:r>
          </w:p>
        </w:tc>
        <w:tc>
          <w:tcPr>
            <w:tcW w:type="dxa" w:w="2160"/>
          </w:tcPr>
          <w:p>
            <w:r>
              <w:rPr>
                <w:rFonts w:ascii="맑은 고딕" w:hAnsi="맑은 고딕" w:eastAsia="맑은 고딕"/>
                <w:b w:val="0"/>
                <w:sz w:val="20"/>
              </w:rPr>
              <w:t>약 8%</w:t>
            </w:r>
          </w:p>
        </w:tc>
        <w:tc>
          <w:tcPr>
            <w:tcW w:type="dxa" w:w="2160"/>
          </w:tcPr>
          <w:p>
            <w:r>
              <w:rPr>
                <w:rFonts w:ascii="맑은 고딕" w:hAnsi="맑은 고딕" w:eastAsia="맑은 고딕"/>
                <w:b w:val="0"/>
                <w:sz w:val="20"/>
              </w:rPr>
              <w:t>약 18%</w:t>
            </w:r>
          </w:p>
        </w:tc>
      </w:tr>
      <w:tr>
        <w:tc>
          <w:tcPr>
            <w:tcW w:type="dxa" w:w="2160"/>
            <w:shd w:val="clear" w:color="auto" w:fill="F2F2F2"/>
          </w:tcPr>
          <w:p>
            <w:r>
              <w:rPr>
                <w:rFonts w:ascii="맑은 고딕" w:hAnsi="맑은 고딕" w:eastAsia="맑은 고딕"/>
                <w:b w:val="0"/>
                <w:sz w:val="20"/>
              </w:rPr>
              <w:t>누적 일본 유료 고객 수</w:t>
            </w:r>
          </w:p>
        </w:tc>
        <w:tc>
          <w:tcPr>
            <w:tcW w:type="dxa" w:w="2160"/>
            <w:shd w:val="clear" w:color="auto" w:fill="F2F2F2"/>
          </w:tcPr>
          <w:p>
            <w:r>
              <w:rPr>
                <w:rFonts w:ascii="맑은 고딕" w:hAnsi="맑은 고딕" w:eastAsia="맑은 고딕"/>
                <w:b w:val="0"/>
                <w:sz w:val="20"/>
              </w:rPr>
              <w:t>20개사(파일럿)</w:t>
            </w:r>
          </w:p>
        </w:tc>
        <w:tc>
          <w:tcPr>
            <w:tcW w:type="dxa" w:w="2160"/>
            <w:shd w:val="clear" w:color="auto" w:fill="F2F2F2"/>
          </w:tcPr>
          <w:p>
            <w:r>
              <w:rPr>
                <w:rFonts w:ascii="맑은 고딕" w:hAnsi="맑은 고딕" w:eastAsia="맑은 고딕"/>
                <w:b w:val="0"/>
                <w:sz w:val="20"/>
              </w:rPr>
              <w:t>80개사</w:t>
            </w:r>
          </w:p>
        </w:tc>
        <w:tc>
          <w:tcPr>
            <w:tcW w:type="dxa" w:w="2160"/>
            <w:shd w:val="clear" w:color="auto" w:fill="F2F2F2"/>
          </w:tcPr>
          <w:p>
            <w:r>
              <w:rPr>
                <w:rFonts w:ascii="맑은 고딕" w:hAnsi="맑은 고딕" w:eastAsia="맑은 고딕"/>
                <w:b w:val="0"/>
                <w:sz w:val="20"/>
              </w:rPr>
              <w:t>약 200개사</w:t>
            </w:r>
          </w:p>
        </w:tc>
      </w:tr>
      <w:tr>
        <w:tc>
          <w:tcPr>
            <w:tcW w:type="dxa" w:w="2160"/>
          </w:tcPr>
          <w:p>
            <w:r>
              <w:rPr>
                <w:rFonts w:ascii="맑은 고딕" w:hAnsi="맑은 고딕" w:eastAsia="맑은 고딕"/>
                <w:b w:val="0"/>
                <w:sz w:val="20"/>
              </w:rPr>
              <w:t>전사 인력 규모</w:t>
            </w:r>
          </w:p>
        </w:tc>
        <w:tc>
          <w:tcPr>
            <w:tcW w:type="dxa" w:w="2160"/>
          </w:tcPr>
          <w:p>
            <w:r>
              <w:rPr>
                <w:rFonts w:ascii="맑은 고딕" w:hAnsi="맑은 고딕" w:eastAsia="맑은 고딕"/>
                <w:b w:val="0"/>
                <w:sz w:val="20"/>
              </w:rPr>
              <w:t>약 68명</w:t>
            </w:r>
          </w:p>
        </w:tc>
        <w:tc>
          <w:tcPr>
            <w:tcW w:type="dxa" w:w="2160"/>
          </w:tcPr>
          <w:p>
            <w:r>
              <w:rPr>
                <w:rFonts w:ascii="맑은 고딕" w:hAnsi="맑은 고딕" w:eastAsia="맑은 고딕"/>
                <w:b w:val="0"/>
                <w:sz w:val="20"/>
              </w:rPr>
              <w:t>약 80명</w:t>
            </w:r>
          </w:p>
        </w:tc>
        <w:tc>
          <w:tcPr>
            <w:tcW w:type="dxa" w:w="2160"/>
          </w:tcPr>
          <w:p>
            <w:r>
              <w:rPr>
                <w:rFonts w:ascii="맑은 고딕" w:hAnsi="맑은 고딕" w:eastAsia="맑은 고딕"/>
                <w:b w:val="0"/>
                <w:sz w:val="20"/>
              </w:rPr>
              <w:t>약 95명</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경영기획실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