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기안</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최영재</w:t>
            </w:r>
          </w:p>
        </w:tc>
        <w:tc>
          <w:tcPr>
            <w:tcW w:type="dxa" w:w="1200"/>
          </w:tcPr>
          <w:p>
            <w:pPr>
              <w:jc w:val="center"/>
            </w:pPr>
            <w:r>
              <w:rPr>
                <w:rFonts w:ascii="맑은 고딕" w:hAnsi="맑은 고딕" w:eastAsia="맑은 고딕"/>
                <w:b w:val="0"/>
                <w:sz w:val="18"/>
              </w:rPr>
              <w:t>이수민</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2026년 3분기 실적 보고서</w:t>
      </w:r>
    </w:p>
    <w:p>
      <w:r>
        <w:rPr>
          <w:rFonts w:ascii="맑은 고딕" w:hAnsi="맑은 고딕" w:eastAsia="맑은 고딕"/>
          <w:b w:val="0"/>
          <w:color w:val="595959"/>
          <w:sz w:val="18"/>
        </w:rPr>
        <w:t>문서번호: NW-FIN-2026-011    작성일: 2026-10-08    작성자: 재무회계팀장 최영재    배포범위: 경영기획실·재무회계팀 한정</w:t>
      </w:r>
    </w:p>
    <w:p/>
    <w:p>
      <w:r>
        <w:rPr>
          <w:rFonts w:ascii="맑은 고딕" w:hAnsi="맑은 고딕" w:eastAsia="맑은 고딕"/>
          <w:b/>
          <w:color w:val="1F3864"/>
          <w:sz w:val="26"/>
        </w:rPr>
        <w:t>1. 요약(Executive Summary)</w:t>
      </w:r>
    </w:p>
    <w:p>
      <w:pPr>
        <w:spacing w:line="312" w:lineRule="auto" w:after="160"/>
      </w:pPr>
      <w:r>
        <w:rPr>
          <w:rFonts w:ascii="맑은 고딕" w:hAnsi="맑은 고딕" w:eastAsia="맑은 고딕"/>
          <w:b w:val="0"/>
          <w:sz w:val="22"/>
        </w:rPr>
        <w:t>본 보고서는 2026년 3분기(7월~9월) ㈜네오웍스의 매출, 영업이익, 제품·고객군별 매출 구성, 8개 부서 비용 집행 현황, 현금흐름 및 주요 경영 KPI 추이를 종합 정리한 것으로, 재무회계팀에서 작성하여 경영기획실 및 각 부서장에게 배포한다. 보고서에 포함된 수치는 별도 표기가 없는 한 백만 원 단위이며, 2026년 9월 말 결산 잠정치를 기준으로 한다. 기존 분기 보고서 대비 본 보고서는 부서별 인건비·운영비 세부 내역, 제품 라인별 매출, 지역별 매출, 현금흐름, KPI 트렌드, 4분기 예산 대비 전망을 신규로 포함하여 분량과 상세도를 대폭 확대하였다.</w:t>
      </w:r>
    </w:p>
    <w:p>
      <w:pPr>
        <w:spacing w:line="312" w:lineRule="auto" w:after="160"/>
      </w:pPr>
      <w:r>
        <w:rPr>
          <w:rFonts w:ascii="맑은 고딕" w:hAnsi="맑은 고딕" w:eastAsia="맑은 고딕"/>
          <w:b w:val="0"/>
          <w:sz w:val="22"/>
        </w:rPr>
        <w:t>2026년 3분기 매출액은 18억 원(1,800백만 원)으로 집계되었으며, 이는 전분기(2026년 2분기) 매출 16억 3천만 원 대비 10.4% 증가한 수치이자 전년동기(2025년 3분기) 매출 13억 2천만 원 대비 36.4% 증가한 수치이다. 매출 성장은 네오보드 3.0 리뉴얼(PRJ-2026-03) 관련 신규 계약 확대, AI 요약 기능(PRJ-2026-05) 애드온 매출 본격화, 일본 진출(PRJ-2026-07) 초기 파일럿 계약 체결이 복합적으로 작용한 결과이다.</w:t>
      </w:r>
    </w:p>
    <w:p>
      <w:pPr>
        <w:spacing w:line="312" w:lineRule="auto" w:after="160"/>
      </w:pPr>
      <w:r>
        <w:rPr>
          <w:rFonts w:ascii="맑은 고딕" w:hAnsi="맑은 고딕" w:eastAsia="맑은 고딕"/>
          <w:b w:val="0"/>
          <w:sz w:val="22"/>
        </w:rPr>
        <w:t>3분기 영업이익은 2억 1,600만 원(216백만 원)으로 영업이익률 12.0%를 기록하였다. 전분기 영업이익 1억 8,000만 원(영업이익률 11.0%) 대비 20.0% 증가하였으며, 전년동기 영업이익 1억 2,500만 원(영업이익률 9.5%) 대비로는 72.8% 증가한 수치이다. 총 비용 증가율(전분기 대비 9.2%, 전년동기 대비 32.6%)을 상회하는 매출 성장으로 수익성이 뚜렷하게 개선되고 있다.</w:t>
      </w:r>
    </w:p>
    <w:p>
      <w:pPr>
        <w:spacing w:line="312" w:lineRule="auto" w:after="160"/>
      </w:pPr>
      <w:r>
        <w:rPr>
          <w:rFonts w:ascii="맑은 고딕" w:hAnsi="맑은 고딕" w:eastAsia="맑은 고딕"/>
          <w:b w:val="0"/>
          <w:sz w:val="22"/>
        </w:rPr>
        <w:t>제품 라인 측면에서는 엔터프라이즈 플랜 매출이 전분기 대비 가장 높은 증가율을 기록하며 고객 단가 상승을 견인하였고, 지역별로는 일본 파일럿 계약 확대에 힘입어 해외 매출 비중이 3%에서 10%로 세 배 이상 확대되었다. 영업활동현금흐름 역시 240백만 원으로 전분기 165백만 원 대비 45.5% 개선되어 이익 성장이 실제 현금 창출로 이어지고 있음을 확인하였다.</w:t>
      </w:r>
    </w:p>
    <w:p>
      <w:pPr>
        <w:spacing w:line="312" w:lineRule="auto" w:after="160"/>
      </w:pPr>
      <w:r>
        <w:rPr>
          <w:rFonts w:ascii="맑은 고딕" w:hAnsi="맑은 고딕" w:eastAsia="맑은 고딕"/>
          <w:b w:val="0"/>
          <w:sz w:val="22"/>
        </w:rPr>
        <w:t>요약하면, 3분기는 매출 성장률과 영업이익률, 현금창출력이 동시에 개선된 분기였다. 다만 IT보안팀 및 영업팀 비용 증가율이 상대적으로 높게 나타나 4분기 이후 비용 관리 방안에 대한 지속적인 모니터링이 필요하며, 세부 내용은 아래 각 항목에서 다룬다.</w:t>
      </w:r>
    </w:p>
    <w:p>
      <w:r>
        <w:rPr>
          <w:rFonts w:ascii="맑은 고딕" w:hAnsi="맑은 고딕" w:eastAsia="맑은 고딕"/>
          <w:b/>
          <w:color w:val="1F3864"/>
          <w:sz w:val="26"/>
        </w:rPr>
        <w:t>2. 매출 실적 및 제품·고객군별 매출 구성</w:t>
      </w:r>
    </w:p>
    <w:p>
      <w:pPr>
        <w:spacing w:line="312" w:lineRule="auto" w:after="160"/>
      </w:pPr>
      <w:r>
        <w:rPr>
          <w:rFonts w:ascii="맑은 고딕" w:hAnsi="맑은 고딕" w:eastAsia="맑은 고딕"/>
          <w:b w:val="0"/>
          <w:sz w:val="22"/>
        </w:rPr>
        <w:t>3분기 매출 1,800백만 원은 크게 다섯 개 항목으로 구성된다. 핵심 매출원인 네오보드 구독료(라이선스) 매출이 1,150백만 원(전체의 63.9%)으로 가장 큰 비중을 차지하였으며, 도입 컨설팅·구축 매출 320백만 원(17.8%), 유지보수 및 기술지원 매출 220백만 원(12.2%), AI 요약 애드온(PRJ-2026-05) 매출 90백만 원(5.0%), 교육·파트너십 등 기타 매출 20백만 원(1.1%) 순으로 나타났다.</w:t>
      </w:r>
    </w:p>
    <w:p>
      <w:pPr>
        <w:spacing w:line="312" w:lineRule="auto" w:after="160"/>
      </w:pPr>
      <w:r>
        <w:rPr>
          <w:rFonts w:ascii="맑은 고딕" w:hAnsi="맑은 고딕" w:eastAsia="맑은 고딕"/>
          <w:b w:val="0"/>
          <w:sz w:val="22"/>
        </w:rPr>
        <w:t>전분기 대비 증가율이 가장 두드러진 항목은 AI 요약 애드온 매출로, 55백만 원에서 90백만 원으로 63.6% 증가하였다. 이는 2분기 중 출시된 AI 요약 기능이 3분기 들어 기존 구독 고객의 유료 애드온 전환이 본격화된 결과로, 향후 매출 다각화의 핵심 축으로 성장할 것으로 기대된다. 구독료 매출(+9.5%)과 도입 컨설팅 매출(+10.3%) 역시 견조한 증가세를 유지하였고, 기타 매출은 일회성 교육 프로그램 종료 영향으로 20.0% 감소하였다.</w:t>
      </w:r>
    </w:p>
    <w:p>
      <w:pPr>
        <w:spacing w:line="312" w:lineRule="auto" w:after="160"/>
      </w:pPr>
      <w:r>
        <w:rPr>
          <w:rFonts w:ascii="맑은 고딕" w:hAnsi="맑은 고딕" w:eastAsia="맑은 고딕"/>
          <w:b w:val="0"/>
          <w:sz w:val="22"/>
        </w:rPr>
        <w:t>고객군별로는 중견·중소기업(SMB) 고객이 전체 매출의 약 45%를 차지하여 가장 큰 비중을 유지하였고, 대기업(엔터프라이즈) 고객이 30%, 공공기관 고객이 15%, 일본 파일럿 등 해외 고객이 10%를 기록하였다. 특히 해외 고객 비중은 2분기 3% 수준에서 3분기 10%로 확대되었는데, 이는 일본 진출(PRJ-2026-07) 프로젝트의 초기 계약 체결 효과가 반영된 것으로, 4분기 이후 현지 채널 확대에 따라 비중이 추가로 상승할 것으로 전망된다.</w:t>
      </w:r>
    </w:p>
    <w:p>
      <w:pPr>
        <w:spacing w:line="312" w:lineRule="auto" w:after="160"/>
      </w:pPr>
      <w:r>
        <w:rPr>
          <w:rFonts w:ascii="맑은 고딕" w:hAnsi="맑은 고딕" w:eastAsia="맑은 고딕"/>
          <w:b w:val="0"/>
          <w:sz w:val="22"/>
        </w:rPr>
        <w:t>유지보수 및 기술지원 매출은 구독 고객 저변 확대에 따른 자연 증가분이 반영되어 전분기 대비 4.8% 증가한 220백만 원을 기록하였으며, 향후 유료 고객사 수 증가에 비례하여 완만한 성장세를 지속할 것으로 예상된다. 도입 컨설팅 매출은 엔터프라이즈 플랜 신규 고객사의 초기 구축 프로젝트가 3분기 중 다수 완료되면서 290백만 원에서 320백만 원으로 증가하였다.</w:t>
      </w:r>
    </w:p>
    <w:p>
      <w:pPr>
        <w:spacing w:line="312" w:lineRule="auto" w:after="160"/>
      </w:pPr>
      <w:r>
        <w:rPr>
          <w:rFonts w:ascii="맑은 고딕" w:hAnsi="맑은 고딕" w:eastAsia="맑은 고딕"/>
          <w:b w:val="0"/>
          <w:sz w:val="22"/>
        </w:rPr>
        <w:t>아래 표는 제품·서비스별 매출 구성을 전분기 대비로 정리한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제품/서비스</w:t>
            </w:r>
          </w:p>
        </w:tc>
        <w:tc>
          <w:tcPr>
            <w:tcW w:type="dxa" w:w="2160"/>
            <w:shd w:val="clear" w:color="auto" w:fill="1F3864"/>
          </w:tcPr>
          <w:p>
            <w:pPr>
              <w:jc w:val="center"/>
            </w:pPr>
            <w:r>
              <w:rPr>
                <w:rFonts w:ascii="맑은 고딕" w:hAnsi="맑은 고딕" w:eastAsia="맑은 고딕"/>
                <w:b/>
                <w:color w:val="FFFFFF"/>
                <w:sz w:val="20"/>
              </w:rPr>
              <w:t>전분기 매출(백만 원)</w:t>
            </w:r>
          </w:p>
        </w:tc>
        <w:tc>
          <w:tcPr>
            <w:tcW w:type="dxa" w:w="2160"/>
            <w:shd w:val="clear" w:color="auto" w:fill="1F3864"/>
          </w:tcPr>
          <w:p>
            <w:pPr>
              <w:jc w:val="center"/>
            </w:pPr>
            <w:r>
              <w:rPr>
                <w:rFonts w:ascii="맑은 고딕" w:hAnsi="맑은 고딕" w:eastAsia="맑은 고딕"/>
                <w:b/>
                <w:color w:val="FFFFFF"/>
                <w:sz w:val="20"/>
              </w:rPr>
              <w:t>이번분기 매출(백만 원)</w:t>
            </w:r>
          </w:p>
        </w:tc>
        <w:tc>
          <w:tcPr>
            <w:tcW w:type="dxa" w:w="2160"/>
            <w:shd w:val="clear" w:color="auto" w:fill="1F3864"/>
          </w:tcPr>
          <w:p>
            <w:pPr>
              <w:jc w:val="center"/>
            </w:pPr>
            <w:r>
              <w:rPr>
                <w:rFonts w:ascii="맑은 고딕" w:hAnsi="맑은 고딕" w:eastAsia="맑은 고딕"/>
                <w:b/>
                <w:color w:val="FFFFFF"/>
                <w:sz w:val="20"/>
              </w:rPr>
              <w:t>증감률</w:t>
            </w:r>
          </w:p>
        </w:tc>
      </w:tr>
      <w:tr>
        <w:tc>
          <w:tcPr>
            <w:tcW w:type="dxa" w:w="2160"/>
          </w:tcPr>
          <w:p>
            <w:r>
              <w:rPr>
                <w:rFonts w:ascii="맑은 고딕" w:hAnsi="맑은 고딕" w:eastAsia="맑은 고딕"/>
                <w:b w:val="0"/>
                <w:sz w:val="20"/>
              </w:rPr>
              <w:t>네오보드 구독료(라이선스)</w:t>
            </w:r>
          </w:p>
        </w:tc>
        <w:tc>
          <w:tcPr>
            <w:tcW w:type="dxa" w:w="2160"/>
          </w:tcPr>
          <w:p>
            <w:r>
              <w:rPr>
                <w:rFonts w:ascii="맑은 고딕" w:hAnsi="맑은 고딕" w:eastAsia="맑은 고딕"/>
                <w:b w:val="0"/>
                <w:sz w:val="20"/>
              </w:rPr>
              <w:t>1,050</w:t>
            </w:r>
          </w:p>
        </w:tc>
        <w:tc>
          <w:tcPr>
            <w:tcW w:type="dxa" w:w="2160"/>
          </w:tcPr>
          <w:p>
            <w:r>
              <w:rPr>
                <w:rFonts w:ascii="맑은 고딕" w:hAnsi="맑은 고딕" w:eastAsia="맑은 고딕"/>
                <w:b w:val="0"/>
                <w:sz w:val="20"/>
              </w:rPr>
              <w:t>1,150</w:t>
            </w:r>
          </w:p>
        </w:tc>
        <w:tc>
          <w:tcPr>
            <w:tcW w:type="dxa" w:w="2160"/>
          </w:tcPr>
          <w:p>
            <w:r>
              <w:rPr>
                <w:rFonts w:ascii="맑은 고딕" w:hAnsi="맑은 고딕" w:eastAsia="맑은 고딕"/>
                <w:b w:val="0"/>
                <w:sz w:val="20"/>
              </w:rPr>
              <w:t>+9.5%</w:t>
            </w:r>
          </w:p>
        </w:tc>
      </w:tr>
      <w:tr>
        <w:tc>
          <w:tcPr>
            <w:tcW w:type="dxa" w:w="2160"/>
            <w:shd w:val="clear" w:color="auto" w:fill="F2F2F2"/>
          </w:tcPr>
          <w:p>
            <w:r>
              <w:rPr>
                <w:rFonts w:ascii="맑은 고딕" w:hAnsi="맑은 고딕" w:eastAsia="맑은 고딕"/>
                <w:b w:val="0"/>
                <w:sz w:val="20"/>
              </w:rPr>
              <w:t>도입 컨설팅/구축</w:t>
            </w:r>
          </w:p>
        </w:tc>
        <w:tc>
          <w:tcPr>
            <w:tcW w:type="dxa" w:w="2160"/>
            <w:shd w:val="clear" w:color="auto" w:fill="F2F2F2"/>
          </w:tcPr>
          <w:p>
            <w:r>
              <w:rPr>
                <w:rFonts w:ascii="맑은 고딕" w:hAnsi="맑은 고딕" w:eastAsia="맑은 고딕"/>
                <w:b w:val="0"/>
                <w:sz w:val="20"/>
              </w:rPr>
              <w:t>290</w:t>
            </w:r>
          </w:p>
        </w:tc>
        <w:tc>
          <w:tcPr>
            <w:tcW w:type="dxa" w:w="2160"/>
            <w:shd w:val="clear" w:color="auto" w:fill="F2F2F2"/>
          </w:tcPr>
          <w:p>
            <w:r>
              <w:rPr>
                <w:rFonts w:ascii="맑은 고딕" w:hAnsi="맑은 고딕" w:eastAsia="맑은 고딕"/>
                <w:b w:val="0"/>
                <w:sz w:val="20"/>
              </w:rPr>
              <w:t>320</w:t>
            </w:r>
          </w:p>
        </w:tc>
        <w:tc>
          <w:tcPr>
            <w:tcW w:type="dxa" w:w="2160"/>
            <w:shd w:val="clear" w:color="auto" w:fill="F2F2F2"/>
          </w:tcPr>
          <w:p>
            <w:r>
              <w:rPr>
                <w:rFonts w:ascii="맑은 고딕" w:hAnsi="맑은 고딕" w:eastAsia="맑은 고딕"/>
                <w:b w:val="0"/>
                <w:sz w:val="20"/>
              </w:rPr>
              <w:t>+10.3%</w:t>
            </w:r>
          </w:p>
        </w:tc>
      </w:tr>
      <w:tr>
        <w:tc>
          <w:tcPr>
            <w:tcW w:type="dxa" w:w="2160"/>
          </w:tcPr>
          <w:p>
            <w:r>
              <w:rPr>
                <w:rFonts w:ascii="맑은 고딕" w:hAnsi="맑은 고딕" w:eastAsia="맑은 고딕"/>
                <w:b w:val="0"/>
                <w:sz w:val="20"/>
              </w:rPr>
              <w:t>유지보수 및 기술지원</w:t>
            </w:r>
          </w:p>
        </w:tc>
        <w:tc>
          <w:tcPr>
            <w:tcW w:type="dxa" w:w="2160"/>
          </w:tcPr>
          <w:p>
            <w:r>
              <w:rPr>
                <w:rFonts w:ascii="맑은 고딕" w:hAnsi="맑은 고딕" w:eastAsia="맑은 고딕"/>
                <w:b w:val="0"/>
                <w:sz w:val="20"/>
              </w:rPr>
              <w:t>210</w:t>
            </w:r>
          </w:p>
        </w:tc>
        <w:tc>
          <w:tcPr>
            <w:tcW w:type="dxa" w:w="2160"/>
          </w:tcPr>
          <w:p>
            <w:r>
              <w:rPr>
                <w:rFonts w:ascii="맑은 고딕" w:hAnsi="맑은 고딕" w:eastAsia="맑은 고딕"/>
                <w:b w:val="0"/>
                <w:sz w:val="20"/>
              </w:rPr>
              <w:t>220</w:t>
            </w:r>
          </w:p>
        </w:tc>
        <w:tc>
          <w:tcPr>
            <w:tcW w:type="dxa" w:w="2160"/>
          </w:tcPr>
          <w:p>
            <w:r>
              <w:rPr>
                <w:rFonts w:ascii="맑은 고딕" w:hAnsi="맑은 고딕" w:eastAsia="맑은 고딕"/>
                <w:b w:val="0"/>
                <w:sz w:val="20"/>
              </w:rPr>
              <w:t>+4.8%</w:t>
            </w:r>
          </w:p>
        </w:tc>
      </w:tr>
      <w:tr>
        <w:tc>
          <w:tcPr>
            <w:tcW w:type="dxa" w:w="2160"/>
            <w:shd w:val="clear" w:color="auto" w:fill="F2F2F2"/>
          </w:tcPr>
          <w:p>
            <w:r>
              <w:rPr>
                <w:rFonts w:ascii="맑은 고딕" w:hAnsi="맑은 고딕" w:eastAsia="맑은 고딕"/>
                <w:b w:val="0"/>
                <w:sz w:val="20"/>
              </w:rPr>
              <w:t>AI 요약 애드온</w:t>
            </w:r>
          </w:p>
        </w:tc>
        <w:tc>
          <w:tcPr>
            <w:tcW w:type="dxa" w:w="2160"/>
            <w:shd w:val="clear" w:color="auto" w:fill="F2F2F2"/>
          </w:tcPr>
          <w:p>
            <w:r>
              <w:rPr>
                <w:rFonts w:ascii="맑은 고딕" w:hAnsi="맑은 고딕" w:eastAsia="맑은 고딕"/>
                <w:b w:val="0"/>
                <w:sz w:val="20"/>
              </w:rPr>
              <w:t>55</w:t>
            </w:r>
          </w:p>
        </w:tc>
        <w:tc>
          <w:tcPr>
            <w:tcW w:type="dxa" w:w="2160"/>
            <w:shd w:val="clear" w:color="auto" w:fill="F2F2F2"/>
          </w:tcPr>
          <w:p>
            <w:r>
              <w:rPr>
                <w:rFonts w:ascii="맑은 고딕" w:hAnsi="맑은 고딕" w:eastAsia="맑은 고딕"/>
                <w:b w:val="0"/>
                <w:sz w:val="20"/>
              </w:rPr>
              <w:t>90</w:t>
            </w:r>
          </w:p>
        </w:tc>
        <w:tc>
          <w:tcPr>
            <w:tcW w:type="dxa" w:w="2160"/>
            <w:shd w:val="clear" w:color="auto" w:fill="F2F2F2"/>
          </w:tcPr>
          <w:p>
            <w:r>
              <w:rPr>
                <w:rFonts w:ascii="맑은 고딕" w:hAnsi="맑은 고딕" w:eastAsia="맑은 고딕"/>
                <w:b w:val="0"/>
                <w:sz w:val="20"/>
              </w:rPr>
              <w:t>+63.6%</w:t>
            </w:r>
          </w:p>
        </w:tc>
      </w:tr>
      <w:tr>
        <w:tc>
          <w:tcPr>
            <w:tcW w:type="dxa" w:w="2160"/>
          </w:tcPr>
          <w:p>
            <w:r>
              <w:rPr>
                <w:rFonts w:ascii="맑은 고딕" w:hAnsi="맑은 고딕" w:eastAsia="맑은 고딕"/>
                <w:b w:val="0"/>
                <w:sz w:val="20"/>
              </w:rPr>
              <w:t>기타(교육/파트너십)</w:t>
            </w:r>
          </w:p>
        </w:tc>
        <w:tc>
          <w:tcPr>
            <w:tcW w:type="dxa" w:w="2160"/>
          </w:tcPr>
          <w:p>
            <w:r>
              <w:rPr>
                <w:rFonts w:ascii="맑은 고딕" w:hAnsi="맑은 고딕" w:eastAsia="맑은 고딕"/>
                <w:b w:val="0"/>
                <w:sz w:val="20"/>
              </w:rPr>
              <w:t>25</w:t>
            </w:r>
          </w:p>
        </w:tc>
        <w:tc>
          <w:tcPr>
            <w:tcW w:type="dxa" w:w="2160"/>
          </w:tcPr>
          <w:p>
            <w:r>
              <w:rPr>
                <w:rFonts w:ascii="맑은 고딕" w:hAnsi="맑은 고딕" w:eastAsia="맑은 고딕"/>
                <w:b w:val="0"/>
                <w:sz w:val="20"/>
              </w:rPr>
              <w:t>20</w:t>
            </w:r>
          </w:p>
        </w:tc>
        <w:tc>
          <w:tcPr>
            <w:tcW w:type="dxa" w:w="2160"/>
          </w:tcPr>
          <w:p>
            <w:r>
              <w:rPr>
                <w:rFonts w:ascii="맑은 고딕" w:hAnsi="맑은 고딕" w:eastAsia="맑은 고딕"/>
                <w:b w:val="0"/>
                <w:sz w:val="20"/>
              </w:rPr>
              <w:t>-20.0%</w:t>
            </w:r>
          </w:p>
        </w:tc>
      </w:tr>
      <w:tr>
        <w:tc>
          <w:tcPr>
            <w:tcW w:type="dxa" w:w="2160"/>
            <w:shd w:val="clear" w:color="auto" w:fill="F2F2F2"/>
          </w:tcPr>
          <w:p>
            <w:r>
              <w:rPr>
                <w:rFonts w:ascii="맑은 고딕" w:hAnsi="맑은 고딕" w:eastAsia="맑은 고딕"/>
                <w:b w:val="0"/>
                <w:sz w:val="20"/>
              </w:rPr>
              <w:t>합계</w:t>
            </w:r>
          </w:p>
        </w:tc>
        <w:tc>
          <w:tcPr>
            <w:tcW w:type="dxa" w:w="2160"/>
            <w:shd w:val="clear" w:color="auto" w:fill="F2F2F2"/>
          </w:tcPr>
          <w:p>
            <w:r>
              <w:rPr>
                <w:rFonts w:ascii="맑은 고딕" w:hAnsi="맑은 고딕" w:eastAsia="맑은 고딕"/>
                <w:b w:val="0"/>
                <w:sz w:val="20"/>
              </w:rPr>
              <w:t>1,630</w:t>
            </w:r>
          </w:p>
        </w:tc>
        <w:tc>
          <w:tcPr>
            <w:tcW w:type="dxa" w:w="2160"/>
            <w:shd w:val="clear" w:color="auto" w:fill="F2F2F2"/>
          </w:tcPr>
          <w:p>
            <w:r>
              <w:rPr>
                <w:rFonts w:ascii="맑은 고딕" w:hAnsi="맑은 고딕" w:eastAsia="맑은 고딕"/>
                <w:b w:val="0"/>
                <w:sz w:val="20"/>
              </w:rPr>
              <w:t>1,800</w:t>
            </w:r>
          </w:p>
        </w:tc>
        <w:tc>
          <w:tcPr>
            <w:tcW w:type="dxa" w:w="2160"/>
            <w:shd w:val="clear" w:color="auto" w:fill="F2F2F2"/>
          </w:tcPr>
          <w:p>
            <w:r>
              <w:rPr>
                <w:rFonts w:ascii="맑은 고딕" w:hAnsi="맑은 고딕" w:eastAsia="맑은 고딕"/>
                <w:b w:val="0"/>
                <w:sz w:val="20"/>
              </w:rPr>
              <w:t>+10.4%</w:t>
            </w:r>
          </w:p>
        </w:tc>
      </w:tr>
    </w:tbl>
    <w:p/>
    <w:p>
      <w:r>
        <w:rPr>
          <w:rFonts w:ascii="맑은 고딕" w:hAnsi="맑은 고딕" w:eastAsia="맑은 고딕"/>
          <w:b/>
          <w:color w:val="1F3864"/>
          <w:sz w:val="26"/>
        </w:rPr>
        <w:t>3. 제품 라인별 매출 상세(기본/프로/엔터프라이즈)</w:t>
      </w:r>
    </w:p>
    <w:p>
      <w:pPr>
        <w:spacing w:line="312" w:lineRule="auto" w:after="160"/>
      </w:pPr>
      <w:r>
        <w:rPr>
          <w:rFonts w:ascii="맑은 고딕" w:hAnsi="맑은 고딕" w:eastAsia="맑은 고딕"/>
          <w:b w:val="0"/>
          <w:sz w:val="22"/>
        </w:rPr>
        <w:t>네오보드 구독료 매출 1,150백만 원을 요금제(플랜)별로 세분화하면 기본(Basic) 플랜, 프로(Pro) 플랜, 엔터프라이즈(Enterprise) 플랜의 세 가지 라인으로 구성된다. 3분기 기준 프로 플랜이 530백만 원(구독료 매출의 46.1%)으로 가장 큰 비중을 차지하였고, 엔터프라이즈 플랜 230백만 원(20.0%), 기본 플랜 390백만 원(33.9%) 순으로 나타났다.</w:t>
      </w:r>
    </w:p>
    <w:p>
      <w:pPr>
        <w:spacing w:line="312" w:lineRule="auto" w:after="160"/>
      </w:pPr>
      <w:r>
        <w:rPr>
          <w:rFonts w:ascii="맑은 고딕" w:hAnsi="맑은 고딕" w:eastAsia="맑은 고딕"/>
          <w:b w:val="0"/>
          <w:sz w:val="22"/>
        </w:rPr>
        <w:t>전분기 대비 증가율은 엔터프라이즈 플랜이 +15.0%로 가장 높았으며, 프로 플랜 +12.8%, 기본 플랜 +2.6% 순으로 나타났다. 엔터프라이즈 플랜의 높은 성장률은 네오보드 3.0 리뉴얼(PRJ-2026-03)로 추가된 조직 관리·권한 세분화 기능이 대기업·공공기관 고객의 상위 플랜 전환을 유도한 결과로 분석되며, 이는 고객군별 매출에서 대기업 비중이 30%까지 확대된 배경과도 일치한다.</w:t>
      </w:r>
    </w:p>
    <w:p>
      <w:pPr>
        <w:spacing w:line="312" w:lineRule="auto" w:after="160"/>
      </w:pPr>
      <w:r>
        <w:rPr>
          <w:rFonts w:ascii="맑은 고딕" w:hAnsi="맑은 고딕" w:eastAsia="맑은 고딕"/>
          <w:b w:val="0"/>
          <w:sz w:val="22"/>
        </w:rPr>
        <w:t>기본 플랜은 신규 SMB 고객 유입의 관문 역할을 하고 있으나, 증가율은 상대적으로 완만하다. 이는 신규 고객 상당수가 초기 계약 시점부터 AI 요약 애드온과 함께 프로 플랜을 선택하는 경향이 강해지고 있기 때문으로, 영업팀은 4분기부터 기본 플랜에서 프로 플랜으로의 업셀(up-sell) 유도 캠페인을 추진할 계획이다.</w:t>
      </w:r>
    </w:p>
    <w:p>
      <w:pPr>
        <w:spacing w:line="312" w:lineRule="auto" w:after="160"/>
      </w:pPr>
      <w:r>
        <w:rPr>
          <w:rFonts w:ascii="맑은 고딕" w:hAnsi="맑은 고딕" w:eastAsia="맑은 고딕"/>
          <w:b w:val="0"/>
          <w:sz w:val="22"/>
        </w:rPr>
        <w:t>플랜별 평균 고객단가(ARPU) 역시 기본 플랜 대비 프로·엔터프라이즈 플랜이 유의미하게 높게 형성되어 있어, 플랜 믹스 개선이 전사 ARPU 상승의 핵심 동력으로 작용하고 있다. 아래 표는 플랜별 매출 및 전분기 대비 증감을 정리한 것이다.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제품 라인</w:t>
            </w:r>
          </w:p>
        </w:tc>
        <w:tc>
          <w:tcPr>
            <w:tcW w:type="dxa" w:w="1728"/>
            <w:shd w:val="clear" w:color="auto" w:fill="1F3864"/>
          </w:tcPr>
          <w:p>
            <w:pPr>
              <w:jc w:val="center"/>
            </w:pPr>
            <w:r>
              <w:rPr>
                <w:rFonts w:ascii="맑은 고딕" w:hAnsi="맑은 고딕" w:eastAsia="맑은 고딕"/>
                <w:b/>
                <w:color w:val="FFFFFF"/>
                <w:sz w:val="20"/>
              </w:rPr>
              <w:t>전분기 매출(백만 원)</w:t>
            </w:r>
          </w:p>
        </w:tc>
        <w:tc>
          <w:tcPr>
            <w:tcW w:type="dxa" w:w="1728"/>
            <w:shd w:val="clear" w:color="auto" w:fill="1F3864"/>
          </w:tcPr>
          <w:p>
            <w:pPr>
              <w:jc w:val="center"/>
            </w:pPr>
            <w:r>
              <w:rPr>
                <w:rFonts w:ascii="맑은 고딕" w:hAnsi="맑은 고딕" w:eastAsia="맑은 고딕"/>
                <w:b/>
                <w:color w:val="FFFFFF"/>
                <w:sz w:val="20"/>
              </w:rPr>
              <w:t>이번분기 매출(백만 원)</w:t>
            </w:r>
          </w:p>
        </w:tc>
        <w:tc>
          <w:tcPr>
            <w:tcW w:type="dxa" w:w="1728"/>
            <w:shd w:val="clear" w:color="auto" w:fill="1F3864"/>
          </w:tcPr>
          <w:p>
            <w:pPr>
              <w:jc w:val="center"/>
            </w:pPr>
            <w:r>
              <w:rPr>
                <w:rFonts w:ascii="맑은 고딕" w:hAnsi="맑은 고딕" w:eastAsia="맑은 고딕"/>
                <w:b/>
                <w:color w:val="FFFFFF"/>
                <w:sz w:val="20"/>
              </w:rPr>
              <w:t>구독료 내 비중</w:t>
            </w:r>
          </w:p>
        </w:tc>
        <w:tc>
          <w:tcPr>
            <w:tcW w:type="dxa" w:w="1728"/>
            <w:shd w:val="clear" w:color="auto" w:fill="1F3864"/>
          </w:tcPr>
          <w:p>
            <w:pPr>
              <w:jc w:val="center"/>
            </w:pPr>
            <w:r>
              <w:rPr>
                <w:rFonts w:ascii="맑은 고딕" w:hAnsi="맑은 고딕" w:eastAsia="맑은 고딕"/>
                <w:b/>
                <w:color w:val="FFFFFF"/>
                <w:sz w:val="20"/>
              </w:rPr>
              <w:t>증감률</w:t>
            </w:r>
          </w:p>
        </w:tc>
      </w:tr>
      <w:tr>
        <w:tc>
          <w:tcPr>
            <w:tcW w:type="dxa" w:w="1728"/>
          </w:tcPr>
          <w:p>
            <w:r>
              <w:rPr>
                <w:rFonts w:ascii="맑은 고딕" w:hAnsi="맑은 고딕" w:eastAsia="맑은 고딕"/>
                <w:b w:val="0"/>
                <w:sz w:val="20"/>
              </w:rPr>
              <w:t>네오보드 기본(Basic)</w:t>
            </w:r>
          </w:p>
        </w:tc>
        <w:tc>
          <w:tcPr>
            <w:tcW w:type="dxa" w:w="1728"/>
          </w:tcPr>
          <w:p>
            <w:r>
              <w:rPr>
                <w:rFonts w:ascii="맑은 고딕" w:hAnsi="맑은 고딕" w:eastAsia="맑은 고딕"/>
                <w:b w:val="0"/>
                <w:sz w:val="20"/>
              </w:rPr>
              <w:t>380</w:t>
            </w:r>
          </w:p>
        </w:tc>
        <w:tc>
          <w:tcPr>
            <w:tcW w:type="dxa" w:w="1728"/>
          </w:tcPr>
          <w:p>
            <w:r>
              <w:rPr>
                <w:rFonts w:ascii="맑은 고딕" w:hAnsi="맑은 고딕" w:eastAsia="맑은 고딕"/>
                <w:b w:val="0"/>
                <w:sz w:val="20"/>
              </w:rPr>
              <w:t>390</w:t>
            </w:r>
          </w:p>
        </w:tc>
        <w:tc>
          <w:tcPr>
            <w:tcW w:type="dxa" w:w="1728"/>
          </w:tcPr>
          <w:p>
            <w:r>
              <w:rPr>
                <w:rFonts w:ascii="맑은 고딕" w:hAnsi="맑은 고딕" w:eastAsia="맑은 고딕"/>
                <w:b w:val="0"/>
                <w:sz w:val="20"/>
              </w:rPr>
              <w:t>33.9%</w:t>
            </w:r>
          </w:p>
        </w:tc>
        <w:tc>
          <w:tcPr>
            <w:tcW w:type="dxa" w:w="1728"/>
          </w:tcPr>
          <w:p>
            <w:r>
              <w:rPr>
                <w:rFonts w:ascii="맑은 고딕" w:hAnsi="맑은 고딕" w:eastAsia="맑은 고딕"/>
                <w:b w:val="0"/>
                <w:sz w:val="20"/>
              </w:rPr>
              <w:t>+2.6%</w:t>
            </w:r>
          </w:p>
        </w:tc>
      </w:tr>
      <w:tr>
        <w:tc>
          <w:tcPr>
            <w:tcW w:type="dxa" w:w="1728"/>
            <w:shd w:val="clear" w:color="auto" w:fill="F2F2F2"/>
          </w:tcPr>
          <w:p>
            <w:r>
              <w:rPr>
                <w:rFonts w:ascii="맑은 고딕" w:hAnsi="맑은 고딕" w:eastAsia="맑은 고딕"/>
                <w:b w:val="0"/>
                <w:sz w:val="20"/>
              </w:rPr>
              <w:t>네오보드 프로(Pro)</w:t>
            </w:r>
          </w:p>
        </w:tc>
        <w:tc>
          <w:tcPr>
            <w:tcW w:type="dxa" w:w="1728"/>
            <w:shd w:val="clear" w:color="auto" w:fill="F2F2F2"/>
          </w:tcPr>
          <w:p>
            <w:r>
              <w:rPr>
                <w:rFonts w:ascii="맑은 고딕" w:hAnsi="맑은 고딕" w:eastAsia="맑은 고딕"/>
                <w:b w:val="0"/>
                <w:sz w:val="20"/>
              </w:rPr>
              <w:t>470</w:t>
            </w:r>
          </w:p>
        </w:tc>
        <w:tc>
          <w:tcPr>
            <w:tcW w:type="dxa" w:w="1728"/>
            <w:shd w:val="clear" w:color="auto" w:fill="F2F2F2"/>
          </w:tcPr>
          <w:p>
            <w:r>
              <w:rPr>
                <w:rFonts w:ascii="맑은 고딕" w:hAnsi="맑은 고딕" w:eastAsia="맑은 고딕"/>
                <w:b w:val="0"/>
                <w:sz w:val="20"/>
              </w:rPr>
              <w:t>530</w:t>
            </w:r>
          </w:p>
        </w:tc>
        <w:tc>
          <w:tcPr>
            <w:tcW w:type="dxa" w:w="1728"/>
            <w:shd w:val="clear" w:color="auto" w:fill="F2F2F2"/>
          </w:tcPr>
          <w:p>
            <w:r>
              <w:rPr>
                <w:rFonts w:ascii="맑은 고딕" w:hAnsi="맑은 고딕" w:eastAsia="맑은 고딕"/>
                <w:b w:val="0"/>
                <w:sz w:val="20"/>
              </w:rPr>
              <w:t>46.1%</w:t>
            </w:r>
          </w:p>
        </w:tc>
        <w:tc>
          <w:tcPr>
            <w:tcW w:type="dxa" w:w="1728"/>
            <w:shd w:val="clear" w:color="auto" w:fill="F2F2F2"/>
          </w:tcPr>
          <w:p>
            <w:r>
              <w:rPr>
                <w:rFonts w:ascii="맑은 고딕" w:hAnsi="맑은 고딕" w:eastAsia="맑은 고딕"/>
                <w:b w:val="0"/>
                <w:sz w:val="20"/>
              </w:rPr>
              <w:t>+12.8%</w:t>
            </w:r>
          </w:p>
        </w:tc>
      </w:tr>
      <w:tr>
        <w:tc>
          <w:tcPr>
            <w:tcW w:type="dxa" w:w="1728"/>
          </w:tcPr>
          <w:p>
            <w:r>
              <w:rPr>
                <w:rFonts w:ascii="맑은 고딕" w:hAnsi="맑은 고딕" w:eastAsia="맑은 고딕"/>
                <w:b w:val="0"/>
                <w:sz w:val="20"/>
              </w:rPr>
              <w:t>네오보드 엔터프라이즈(Enterprise)</w:t>
            </w:r>
          </w:p>
        </w:tc>
        <w:tc>
          <w:tcPr>
            <w:tcW w:type="dxa" w:w="1728"/>
          </w:tcPr>
          <w:p>
            <w:r>
              <w:rPr>
                <w:rFonts w:ascii="맑은 고딕" w:hAnsi="맑은 고딕" w:eastAsia="맑은 고딕"/>
                <w:b w:val="0"/>
                <w:sz w:val="20"/>
              </w:rPr>
              <w:t>200</w:t>
            </w:r>
          </w:p>
        </w:tc>
        <w:tc>
          <w:tcPr>
            <w:tcW w:type="dxa" w:w="1728"/>
          </w:tcPr>
          <w:p>
            <w:r>
              <w:rPr>
                <w:rFonts w:ascii="맑은 고딕" w:hAnsi="맑은 고딕" w:eastAsia="맑은 고딕"/>
                <w:b w:val="0"/>
                <w:sz w:val="20"/>
              </w:rPr>
              <w:t>230</w:t>
            </w:r>
          </w:p>
        </w:tc>
        <w:tc>
          <w:tcPr>
            <w:tcW w:type="dxa" w:w="1728"/>
          </w:tcPr>
          <w:p>
            <w:r>
              <w:rPr>
                <w:rFonts w:ascii="맑은 고딕" w:hAnsi="맑은 고딕" w:eastAsia="맑은 고딕"/>
                <w:b w:val="0"/>
                <w:sz w:val="20"/>
              </w:rPr>
              <w:t>20.0%</w:t>
            </w:r>
          </w:p>
        </w:tc>
        <w:tc>
          <w:tcPr>
            <w:tcW w:type="dxa" w:w="1728"/>
          </w:tcPr>
          <w:p>
            <w:r>
              <w:rPr>
                <w:rFonts w:ascii="맑은 고딕" w:hAnsi="맑은 고딕" w:eastAsia="맑은 고딕"/>
                <w:b w:val="0"/>
                <w:sz w:val="20"/>
              </w:rPr>
              <w:t>+15.0%</w:t>
            </w:r>
          </w:p>
        </w:tc>
      </w:tr>
      <w:tr>
        <w:tc>
          <w:tcPr>
            <w:tcW w:type="dxa" w:w="1728"/>
            <w:shd w:val="clear" w:color="auto" w:fill="F2F2F2"/>
          </w:tcPr>
          <w:p>
            <w:r>
              <w:rPr>
                <w:rFonts w:ascii="맑은 고딕" w:hAnsi="맑은 고딕" w:eastAsia="맑은 고딕"/>
                <w:b w:val="0"/>
                <w:sz w:val="20"/>
              </w:rPr>
              <w:t>구독료 합계</w:t>
            </w:r>
          </w:p>
        </w:tc>
        <w:tc>
          <w:tcPr>
            <w:tcW w:type="dxa" w:w="1728"/>
            <w:shd w:val="clear" w:color="auto" w:fill="F2F2F2"/>
          </w:tcPr>
          <w:p>
            <w:r>
              <w:rPr>
                <w:rFonts w:ascii="맑은 고딕" w:hAnsi="맑은 고딕" w:eastAsia="맑은 고딕"/>
                <w:b w:val="0"/>
                <w:sz w:val="20"/>
              </w:rPr>
              <w:t>1,050</w:t>
            </w:r>
          </w:p>
        </w:tc>
        <w:tc>
          <w:tcPr>
            <w:tcW w:type="dxa" w:w="1728"/>
            <w:shd w:val="clear" w:color="auto" w:fill="F2F2F2"/>
          </w:tcPr>
          <w:p>
            <w:r>
              <w:rPr>
                <w:rFonts w:ascii="맑은 고딕" w:hAnsi="맑은 고딕" w:eastAsia="맑은 고딕"/>
                <w:b w:val="0"/>
                <w:sz w:val="20"/>
              </w:rPr>
              <w:t>1,150</w:t>
            </w:r>
          </w:p>
        </w:tc>
        <w:tc>
          <w:tcPr>
            <w:tcW w:type="dxa" w:w="1728"/>
            <w:shd w:val="clear" w:color="auto" w:fill="F2F2F2"/>
          </w:tcPr>
          <w:p>
            <w:r>
              <w:rPr>
                <w:rFonts w:ascii="맑은 고딕" w:hAnsi="맑은 고딕" w:eastAsia="맑은 고딕"/>
                <w:b w:val="0"/>
                <w:sz w:val="20"/>
              </w:rPr>
              <w:t>100.0%</w:t>
            </w:r>
          </w:p>
        </w:tc>
        <w:tc>
          <w:tcPr>
            <w:tcW w:type="dxa" w:w="1728"/>
            <w:shd w:val="clear" w:color="auto" w:fill="F2F2F2"/>
          </w:tcPr>
          <w:p>
            <w:r>
              <w:rPr>
                <w:rFonts w:ascii="맑은 고딕" w:hAnsi="맑은 고딕" w:eastAsia="맑은 고딕"/>
                <w:b w:val="0"/>
                <w:sz w:val="20"/>
              </w:rPr>
              <w:t>+9.5%</w:t>
            </w:r>
          </w:p>
        </w:tc>
      </w:tr>
    </w:tbl>
    <w:p/>
    <w:p>
      <w:r>
        <w:rPr>
          <w:rFonts w:ascii="맑은 고딕" w:hAnsi="맑은 고딕" w:eastAsia="맑은 고딕"/>
          <w:b/>
          <w:color w:val="1F3864"/>
          <w:sz w:val="26"/>
        </w:rPr>
        <w:t>4. 지역별 매출 현황(국내/일본 준비단계)</w:t>
      </w:r>
    </w:p>
    <w:p>
      <w:pPr>
        <w:spacing w:line="312" w:lineRule="auto" w:after="160"/>
      </w:pPr>
      <w:r>
        <w:rPr>
          <w:rFonts w:ascii="맑은 고딕" w:hAnsi="맑은 고딕" w:eastAsia="맑은 고딕"/>
          <w:b w:val="0"/>
          <w:sz w:val="22"/>
        </w:rPr>
        <w:t>지역별 매출은 국내 매출과 일본 매출(파일럿 단계)로 구분하여 관리하고 있다. 3분기 국내 매출은 1,620백만 원(전체의 90.0%)으로 전분기 1,581백만 원 대비 2.5% 증가하는 데 그친 반면, 일본 매출은 49백만 원에서 180백만 원으로 267.3% 급증하며 전체 매출의 10.0%를 차지하였다.</w:t>
      </w:r>
    </w:p>
    <w:p>
      <w:pPr>
        <w:spacing w:line="312" w:lineRule="auto" w:after="160"/>
      </w:pPr>
      <w:r>
        <w:rPr>
          <w:rFonts w:ascii="맑은 고딕" w:hAnsi="맑은 고딕" w:eastAsia="맑은 고딕"/>
          <w:b w:val="0"/>
          <w:sz w:val="22"/>
        </w:rPr>
        <w:t>일본 매출 급증은 일본 진출(PRJ-2026-07) 프로젝트의 초기 파일럿 계약 3건이 3분기 중 체결되면서 발생한 것으로, 현지 파트너사를 통한 리셀러 계약 1건과 직접 계약 2건이 포함된다. 계약 규모는 아직 국내 대비 작지만, 계약당 단가는 엔터프라이즈 플랜 수준으로 형성되어 있어 향후 확장 시 수익성이 양호할 것으로 기대된다.</w:t>
      </w:r>
    </w:p>
    <w:p>
      <w:pPr>
        <w:spacing w:line="312" w:lineRule="auto" w:after="160"/>
      </w:pPr>
      <w:r>
        <w:rPr>
          <w:rFonts w:ascii="맑은 고딕" w:hAnsi="맑은 고딕" w:eastAsia="맑은 고딕"/>
          <w:b w:val="0"/>
          <w:sz w:val="22"/>
        </w:rPr>
        <w:t>국내 매출 증가율(2.5%)이 전사 평균(10.4%)을 하회한 것은 일본향 매출 비중 확대에 따른 상대적 착시 효과이며, 절대 금액 기준으로는 국내 매출도 전분기 대비 39백만 원 증가하여 안정적인 성장세를 이어가고 있다.</w:t>
      </w:r>
    </w:p>
    <w:p>
      <w:pPr>
        <w:spacing w:line="312" w:lineRule="auto" w:after="160"/>
      </w:pPr>
      <w:r>
        <w:rPr>
          <w:rFonts w:ascii="맑은 고딕" w:hAnsi="맑은 고딕" w:eastAsia="맑은 고딕"/>
          <w:b w:val="0"/>
          <w:sz w:val="22"/>
        </w:rPr>
        <w:t>4분기에는 일본 현지 법인 설립 검토가 본격화됨에 따라 추가 파일럿 계약 및 현지 마케팅 활동이 예정되어 있어, 일본 매출 비중이 15% 내외까지 확대될 것으로 전망된다. 다만 초기 진출 단계 특성상 환율 변동 및 현지 규제 대응 비용이 수반될 수 있어 영업팀·경영기획실 공동으로 리스크를 관리하고 있다.</w:t>
      </w:r>
    </w:p>
    <w:p>
      <w:pPr>
        <w:spacing w:line="312" w:lineRule="auto" w:after="160"/>
      </w:pPr>
      <w:r>
        <w:rPr>
          <w:rFonts w:ascii="맑은 고딕" w:hAnsi="맑은 고딕" w:eastAsia="맑은 고딕"/>
          <w:b w:val="0"/>
          <w:sz w:val="22"/>
        </w:rPr>
        <w:t>아래 표는 지역별 매출 구성을 전분기 대비로 정리한 것이다.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지역</w:t>
            </w:r>
          </w:p>
        </w:tc>
        <w:tc>
          <w:tcPr>
            <w:tcW w:type="dxa" w:w="1728"/>
            <w:shd w:val="clear" w:color="auto" w:fill="1F3864"/>
          </w:tcPr>
          <w:p>
            <w:pPr>
              <w:jc w:val="center"/>
            </w:pPr>
            <w:r>
              <w:rPr>
                <w:rFonts w:ascii="맑은 고딕" w:hAnsi="맑은 고딕" w:eastAsia="맑은 고딕"/>
                <w:b/>
                <w:color w:val="FFFFFF"/>
                <w:sz w:val="20"/>
              </w:rPr>
              <w:t>전분기 매출(백만 원)</w:t>
            </w:r>
          </w:p>
        </w:tc>
        <w:tc>
          <w:tcPr>
            <w:tcW w:type="dxa" w:w="1728"/>
            <w:shd w:val="clear" w:color="auto" w:fill="1F3864"/>
          </w:tcPr>
          <w:p>
            <w:pPr>
              <w:jc w:val="center"/>
            </w:pPr>
            <w:r>
              <w:rPr>
                <w:rFonts w:ascii="맑은 고딕" w:hAnsi="맑은 고딕" w:eastAsia="맑은 고딕"/>
                <w:b/>
                <w:color w:val="FFFFFF"/>
                <w:sz w:val="20"/>
              </w:rPr>
              <w:t>이번분기 매출(백만 원)</w:t>
            </w:r>
          </w:p>
        </w:tc>
        <w:tc>
          <w:tcPr>
            <w:tcW w:type="dxa" w:w="1728"/>
            <w:shd w:val="clear" w:color="auto" w:fill="1F3864"/>
          </w:tcPr>
          <w:p>
            <w:pPr>
              <w:jc w:val="center"/>
            </w:pPr>
            <w:r>
              <w:rPr>
                <w:rFonts w:ascii="맑은 고딕" w:hAnsi="맑은 고딕" w:eastAsia="맑은 고딕"/>
                <w:b/>
                <w:color w:val="FFFFFF"/>
                <w:sz w:val="20"/>
              </w:rPr>
              <w:t>매출 비중</w:t>
            </w:r>
          </w:p>
        </w:tc>
        <w:tc>
          <w:tcPr>
            <w:tcW w:type="dxa" w:w="1728"/>
            <w:shd w:val="clear" w:color="auto" w:fill="1F3864"/>
          </w:tcPr>
          <w:p>
            <w:pPr>
              <w:jc w:val="center"/>
            </w:pPr>
            <w:r>
              <w:rPr>
                <w:rFonts w:ascii="맑은 고딕" w:hAnsi="맑은 고딕" w:eastAsia="맑은 고딕"/>
                <w:b/>
                <w:color w:val="FFFFFF"/>
                <w:sz w:val="20"/>
              </w:rPr>
              <w:t>증감률</w:t>
            </w:r>
          </w:p>
        </w:tc>
      </w:tr>
      <w:tr>
        <w:tc>
          <w:tcPr>
            <w:tcW w:type="dxa" w:w="1728"/>
          </w:tcPr>
          <w:p>
            <w:r>
              <w:rPr>
                <w:rFonts w:ascii="맑은 고딕" w:hAnsi="맑은 고딕" w:eastAsia="맑은 고딕"/>
                <w:b w:val="0"/>
                <w:sz w:val="20"/>
              </w:rPr>
              <w:t>국내</w:t>
            </w:r>
          </w:p>
        </w:tc>
        <w:tc>
          <w:tcPr>
            <w:tcW w:type="dxa" w:w="1728"/>
          </w:tcPr>
          <w:p>
            <w:r>
              <w:rPr>
                <w:rFonts w:ascii="맑은 고딕" w:hAnsi="맑은 고딕" w:eastAsia="맑은 고딕"/>
                <w:b w:val="0"/>
                <w:sz w:val="20"/>
              </w:rPr>
              <w:t>1,581</w:t>
            </w:r>
          </w:p>
        </w:tc>
        <w:tc>
          <w:tcPr>
            <w:tcW w:type="dxa" w:w="1728"/>
          </w:tcPr>
          <w:p>
            <w:r>
              <w:rPr>
                <w:rFonts w:ascii="맑은 고딕" w:hAnsi="맑은 고딕" w:eastAsia="맑은 고딕"/>
                <w:b w:val="0"/>
                <w:sz w:val="20"/>
              </w:rPr>
              <w:t>1,620</w:t>
            </w:r>
          </w:p>
        </w:tc>
        <w:tc>
          <w:tcPr>
            <w:tcW w:type="dxa" w:w="1728"/>
          </w:tcPr>
          <w:p>
            <w:r>
              <w:rPr>
                <w:rFonts w:ascii="맑은 고딕" w:hAnsi="맑은 고딕" w:eastAsia="맑은 고딕"/>
                <w:b w:val="0"/>
                <w:sz w:val="20"/>
              </w:rPr>
              <w:t>90.0%</w:t>
            </w:r>
          </w:p>
        </w:tc>
        <w:tc>
          <w:tcPr>
            <w:tcW w:type="dxa" w:w="1728"/>
          </w:tcPr>
          <w:p>
            <w:r>
              <w:rPr>
                <w:rFonts w:ascii="맑은 고딕" w:hAnsi="맑은 고딕" w:eastAsia="맑은 고딕"/>
                <w:b w:val="0"/>
                <w:sz w:val="20"/>
              </w:rPr>
              <w:t>+2.5%</w:t>
            </w:r>
          </w:p>
        </w:tc>
      </w:tr>
      <w:tr>
        <w:tc>
          <w:tcPr>
            <w:tcW w:type="dxa" w:w="1728"/>
            <w:shd w:val="clear" w:color="auto" w:fill="F2F2F2"/>
          </w:tcPr>
          <w:p>
            <w:r>
              <w:rPr>
                <w:rFonts w:ascii="맑은 고딕" w:hAnsi="맑은 고딕" w:eastAsia="맑은 고딕"/>
                <w:b w:val="0"/>
                <w:sz w:val="20"/>
              </w:rPr>
              <w:t>일본(파일럿)</w:t>
            </w:r>
          </w:p>
        </w:tc>
        <w:tc>
          <w:tcPr>
            <w:tcW w:type="dxa" w:w="1728"/>
            <w:shd w:val="clear" w:color="auto" w:fill="F2F2F2"/>
          </w:tcPr>
          <w:p>
            <w:r>
              <w:rPr>
                <w:rFonts w:ascii="맑은 고딕" w:hAnsi="맑은 고딕" w:eastAsia="맑은 고딕"/>
                <w:b w:val="0"/>
                <w:sz w:val="20"/>
              </w:rPr>
              <w:t>49</w:t>
            </w:r>
          </w:p>
        </w:tc>
        <w:tc>
          <w:tcPr>
            <w:tcW w:type="dxa" w:w="1728"/>
            <w:shd w:val="clear" w:color="auto" w:fill="F2F2F2"/>
          </w:tcPr>
          <w:p>
            <w:r>
              <w:rPr>
                <w:rFonts w:ascii="맑은 고딕" w:hAnsi="맑은 고딕" w:eastAsia="맑은 고딕"/>
                <w:b w:val="0"/>
                <w:sz w:val="20"/>
              </w:rPr>
              <w:t>180</w:t>
            </w:r>
          </w:p>
        </w:tc>
        <w:tc>
          <w:tcPr>
            <w:tcW w:type="dxa" w:w="1728"/>
            <w:shd w:val="clear" w:color="auto" w:fill="F2F2F2"/>
          </w:tcPr>
          <w:p>
            <w:r>
              <w:rPr>
                <w:rFonts w:ascii="맑은 고딕" w:hAnsi="맑은 고딕" w:eastAsia="맑은 고딕"/>
                <w:b w:val="0"/>
                <w:sz w:val="20"/>
              </w:rPr>
              <w:t>10.0%</w:t>
            </w:r>
          </w:p>
        </w:tc>
        <w:tc>
          <w:tcPr>
            <w:tcW w:type="dxa" w:w="1728"/>
            <w:shd w:val="clear" w:color="auto" w:fill="F2F2F2"/>
          </w:tcPr>
          <w:p>
            <w:r>
              <w:rPr>
                <w:rFonts w:ascii="맑은 고딕" w:hAnsi="맑은 고딕" w:eastAsia="맑은 고딕"/>
                <w:b w:val="0"/>
                <w:sz w:val="20"/>
              </w:rPr>
              <w:t>+267.3%</w:t>
            </w:r>
          </w:p>
        </w:tc>
      </w:tr>
      <w:tr>
        <w:tc>
          <w:tcPr>
            <w:tcW w:type="dxa" w:w="1728"/>
          </w:tcPr>
          <w:p>
            <w:r>
              <w:rPr>
                <w:rFonts w:ascii="맑은 고딕" w:hAnsi="맑은 고딕" w:eastAsia="맑은 고딕"/>
                <w:b w:val="0"/>
                <w:sz w:val="20"/>
              </w:rPr>
              <w:t>합계</w:t>
            </w:r>
          </w:p>
        </w:tc>
        <w:tc>
          <w:tcPr>
            <w:tcW w:type="dxa" w:w="1728"/>
          </w:tcPr>
          <w:p>
            <w:r>
              <w:rPr>
                <w:rFonts w:ascii="맑은 고딕" w:hAnsi="맑은 고딕" w:eastAsia="맑은 고딕"/>
                <w:b w:val="0"/>
                <w:sz w:val="20"/>
              </w:rPr>
              <w:t>1,630</w:t>
            </w:r>
          </w:p>
        </w:tc>
        <w:tc>
          <w:tcPr>
            <w:tcW w:type="dxa" w:w="1728"/>
          </w:tcPr>
          <w:p>
            <w:r>
              <w:rPr>
                <w:rFonts w:ascii="맑은 고딕" w:hAnsi="맑은 고딕" w:eastAsia="맑은 고딕"/>
                <w:b w:val="0"/>
                <w:sz w:val="20"/>
              </w:rPr>
              <w:t>1,800</w:t>
            </w:r>
          </w:p>
        </w:tc>
        <w:tc>
          <w:tcPr>
            <w:tcW w:type="dxa" w:w="1728"/>
          </w:tcPr>
          <w:p>
            <w:r>
              <w:rPr>
                <w:rFonts w:ascii="맑은 고딕" w:hAnsi="맑은 고딕" w:eastAsia="맑은 고딕"/>
                <w:b w:val="0"/>
                <w:sz w:val="20"/>
              </w:rPr>
              <w:t>100.0%</w:t>
            </w:r>
          </w:p>
        </w:tc>
        <w:tc>
          <w:tcPr>
            <w:tcW w:type="dxa" w:w="1728"/>
          </w:tcPr>
          <w:p>
            <w:r>
              <w:rPr>
                <w:rFonts w:ascii="맑은 고딕" w:hAnsi="맑은 고딕" w:eastAsia="맑은 고딕"/>
                <w:b w:val="0"/>
                <w:sz w:val="20"/>
              </w:rPr>
              <w:t>+10.4%</w:t>
            </w:r>
          </w:p>
        </w:tc>
      </w:tr>
    </w:tbl>
    <w:p/>
    <w:p>
      <w:r>
        <w:rPr>
          <w:rFonts w:ascii="맑은 고딕" w:hAnsi="맑은 고딕" w:eastAsia="맑은 고딕"/>
          <w:b/>
          <w:color w:val="1F3864"/>
          <w:sz w:val="26"/>
        </w:rPr>
        <w:t>5. 부서별 비용 내역(총괄)</w:t>
      </w:r>
    </w:p>
    <w:p>
      <w:pPr>
        <w:spacing w:line="312" w:lineRule="auto" w:after="160"/>
      </w:pPr>
      <w:r>
        <w:rPr>
          <w:rFonts w:ascii="맑은 고딕" w:hAnsi="맑은 고딕" w:eastAsia="맑은 고딕"/>
          <w:b w:val="0"/>
          <w:sz w:val="22"/>
        </w:rPr>
        <w:t>아래 표는 8개 부서의 2026년 2분기(전분기) 및 3분기(이번분기) 비용 집행 내역과 증감률을 정리한 것이다. 단위는 백만 원이며, 인건비, 사업 운영비, 외주·컨설팅비 등을 포함한 부서 배정 비용 총액 기준이다.</w:t>
      </w:r>
    </w:p>
    <w:p>
      <w:pPr>
        <w:spacing w:line="312" w:lineRule="auto" w:after="160"/>
      </w:pPr>
      <w:r>
        <w:rPr>
          <w:rFonts w:ascii="맑은 고딕" w:hAnsi="맑은 고딕" w:eastAsia="맑은 고딕"/>
          <w:b w:val="0"/>
          <w:sz w:val="22"/>
        </w:rPr>
        <w:t>3분기 전사 총 비용은 1,584백만 원으로 전분기 1,450백만 원 대비 9.2% 증가하였다. 부서별로는 IT보안팀(+23.1%)과 영업팀(+19.2%)의 증가 폭이 가장 컸으며, 인사팀(+1.7%), CS팀(+1.9%)은 상대적으로 안정적인 비용 수준을 유지하였다.</w:t>
      </w:r>
    </w:p>
    <w:p>
      <w:pPr>
        <w:spacing w:line="312" w:lineRule="auto" w:after="160"/>
      </w:pPr>
      <w:r>
        <w:rPr>
          <w:rFonts w:ascii="맑은 고딕" w:hAnsi="맑은 고딕" w:eastAsia="맑은 고딕"/>
          <w:b w:val="0"/>
          <w:sz w:val="22"/>
        </w:rPr>
        <w:t>개발본부/R&amp;D는 인원 규모(20명, 전사 인원의 40%)에 따라 전사 비용의 39.1%를 차지하는 최대 비용 부서로, 부서 내에서도 플랫폼팀·백엔드팀·프론트팀·AI팀 간 비용 배분은 네오보드 3.0 리뉴얼 및 AI 요약 기능 개발 진척도에 따라 조정되고 있다.</w:t>
      </w:r>
    </w:p>
    <w:p>
      <w:pPr>
        <w:spacing w:line="312" w:lineRule="auto" w:after="160"/>
      </w:pPr>
      <w:r>
        <w:rPr>
          <w:rFonts w:ascii="맑은 고딕" w:hAnsi="맑은 고딕" w:eastAsia="맑은 고딕"/>
          <w:b w:val="0"/>
          <w:sz w:val="22"/>
        </w:rPr>
        <w:t>부서별 비용 구성의 세부 항목(인건비/운영비/외주비 breakdown)은 다음 절에서 별도로 다룬다.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부서</w:t>
            </w:r>
          </w:p>
        </w:tc>
        <w:tc>
          <w:tcPr>
            <w:tcW w:type="dxa" w:w="2160"/>
            <w:shd w:val="clear" w:color="auto" w:fill="1F3864"/>
          </w:tcPr>
          <w:p>
            <w:pPr>
              <w:jc w:val="center"/>
            </w:pPr>
            <w:r>
              <w:rPr>
                <w:rFonts w:ascii="맑은 고딕" w:hAnsi="맑은 고딕" w:eastAsia="맑은 고딕"/>
                <w:b/>
                <w:color w:val="FFFFFF"/>
                <w:sz w:val="20"/>
              </w:rPr>
              <w:t>전분기 비용(백만 원)</w:t>
            </w:r>
          </w:p>
        </w:tc>
        <w:tc>
          <w:tcPr>
            <w:tcW w:type="dxa" w:w="2160"/>
            <w:shd w:val="clear" w:color="auto" w:fill="1F3864"/>
          </w:tcPr>
          <w:p>
            <w:pPr>
              <w:jc w:val="center"/>
            </w:pPr>
            <w:r>
              <w:rPr>
                <w:rFonts w:ascii="맑은 고딕" w:hAnsi="맑은 고딕" w:eastAsia="맑은 고딕"/>
                <w:b/>
                <w:color w:val="FFFFFF"/>
                <w:sz w:val="20"/>
              </w:rPr>
              <w:t>이번분기 비용(백만 원)</w:t>
            </w:r>
          </w:p>
        </w:tc>
        <w:tc>
          <w:tcPr>
            <w:tcW w:type="dxa" w:w="2160"/>
            <w:shd w:val="clear" w:color="auto" w:fill="1F3864"/>
          </w:tcPr>
          <w:p>
            <w:pPr>
              <w:jc w:val="center"/>
            </w:pPr>
            <w:r>
              <w:rPr>
                <w:rFonts w:ascii="맑은 고딕" w:hAnsi="맑은 고딕" w:eastAsia="맑은 고딕"/>
                <w:b/>
                <w:color w:val="FFFFFF"/>
                <w:sz w:val="20"/>
              </w:rPr>
              <w:t>증감률</w:t>
            </w:r>
          </w:p>
        </w:tc>
      </w:tr>
      <w:tr>
        <w:tc>
          <w:tcPr>
            <w:tcW w:type="dxa" w:w="2160"/>
          </w:tcPr>
          <w:p>
            <w:r>
              <w:rPr>
                <w:rFonts w:ascii="맑은 고딕" w:hAnsi="맑은 고딕" w:eastAsia="맑은 고딕"/>
                <w:b w:val="0"/>
                <w:sz w:val="20"/>
              </w:rPr>
              <w:t>개발본부/R&amp;D</w:t>
            </w:r>
          </w:p>
        </w:tc>
        <w:tc>
          <w:tcPr>
            <w:tcW w:type="dxa" w:w="2160"/>
          </w:tcPr>
          <w:p>
            <w:r>
              <w:rPr>
                <w:rFonts w:ascii="맑은 고딕" w:hAnsi="맑은 고딕" w:eastAsia="맑은 고딕"/>
                <w:b w:val="0"/>
                <w:sz w:val="20"/>
              </w:rPr>
              <w:t>580</w:t>
            </w:r>
          </w:p>
        </w:tc>
        <w:tc>
          <w:tcPr>
            <w:tcW w:type="dxa" w:w="2160"/>
          </w:tcPr>
          <w:p>
            <w:r>
              <w:rPr>
                <w:rFonts w:ascii="맑은 고딕" w:hAnsi="맑은 고딕" w:eastAsia="맑은 고딕"/>
                <w:b w:val="0"/>
                <w:sz w:val="20"/>
              </w:rPr>
              <w:t>620</w:t>
            </w:r>
          </w:p>
        </w:tc>
        <w:tc>
          <w:tcPr>
            <w:tcW w:type="dxa" w:w="2160"/>
          </w:tcPr>
          <w:p>
            <w:r>
              <w:rPr>
                <w:rFonts w:ascii="맑은 고딕" w:hAnsi="맑은 고딕" w:eastAsia="맑은 고딕"/>
                <w:b w:val="0"/>
                <w:sz w:val="20"/>
              </w:rPr>
              <w:t>+6.9%</w:t>
            </w:r>
          </w:p>
        </w:tc>
      </w:tr>
      <w:tr>
        <w:tc>
          <w:tcPr>
            <w:tcW w:type="dxa" w:w="2160"/>
            <w:shd w:val="clear" w:color="auto" w:fill="F2F2F2"/>
          </w:tcPr>
          <w:p>
            <w:r>
              <w:rPr>
                <w:rFonts w:ascii="맑은 고딕" w:hAnsi="맑은 고딕" w:eastAsia="맑은 고딕"/>
                <w:b w:val="0"/>
                <w:sz w:val="20"/>
              </w:rPr>
              <w:t>영업팀</w:t>
            </w:r>
          </w:p>
        </w:tc>
        <w:tc>
          <w:tcPr>
            <w:tcW w:type="dxa" w:w="2160"/>
            <w:shd w:val="clear" w:color="auto" w:fill="F2F2F2"/>
          </w:tcPr>
          <w:p>
            <w:r>
              <w:rPr>
                <w:rFonts w:ascii="맑은 고딕" w:hAnsi="맑은 고딕" w:eastAsia="맑은 고딕"/>
                <w:b w:val="0"/>
                <w:sz w:val="20"/>
              </w:rPr>
              <w:t>260</w:t>
            </w:r>
          </w:p>
        </w:tc>
        <w:tc>
          <w:tcPr>
            <w:tcW w:type="dxa" w:w="2160"/>
            <w:shd w:val="clear" w:color="auto" w:fill="F2F2F2"/>
          </w:tcPr>
          <w:p>
            <w:r>
              <w:rPr>
                <w:rFonts w:ascii="맑은 고딕" w:hAnsi="맑은 고딕" w:eastAsia="맑은 고딕"/>
                <w:b w:val="0"/>
                <w:sz w:val="20"/>
              </w:rPr>
              <w:t>310</w:t>
            </w:r>
          </w:p>
        </w:tc>
        <w:tc>
          <w:tcPr>
            <w:tcW w:type="dxa" w:w="2160"/>
            <w:shd w:val="clear" w:color="auto" w:fill="F2F2F2"/>
          </w:tcPr>
          <w:p>
            <w:r>
              <w:rPr>
                <w:rFonts w:ascii="맑은 고딕" w:hAnsi="맑은 고딕" w:eastAsia="맑은 고딕"/>
                <w:b w:val="0"/>
                <w:sz w:val="20"/>
              </w:rPr>
              <w:t>+19.2%</w:t>
            </w:r>
          </w:p>
        </w:tc>
      </w:tr>
      <w:tr>
        <w:tc>
          <w:tcPr>
            <w:tcW w:type="dxa" w:w="2160"/>
          </w:tcPr>
          <w:p>
            <w:r>
              <w:rPr>
                <w:rFonts w:ascii="맑은 고딕" w:hAnsi="맑은 고딕" w:eastAsia="맑은 고딕"/>
                <w:b w:val="0"/>
                <w:sz w:val="20"/>
              </w:rPr>
              <w:t>재무회계팀</w:t>
            </w:r>
          </w:p>
        </w:tc>
        <w:tc>
          <w:tcPr>
            <w:tcW w:type="dxa" w:w="2160"/>
          </w:tcPr>
          <w:p>
            <w:r>
              <w:rPr>
                <w:rFonts w:ascii="맑은 고딕" w:hAnsi="맑은 고딕" w:eastAsia="맑은 고딕"/>
                <w:b w:val="0"/>
                <w:sz w:val="20"/>
              </w:rPr>
              <w:t>140</w:t>
            </w:r>
          </w:p>
        </w:tc>
        <w:tc>
          <w:tcPr>
            <w:tcW w:type="dxa" w:w="2160"/>
          </w:tcPr>
          <w:p>
            <w:r>
              <w:rPr>
                <w:rFonts w:ascii="맑은 고딕" w:hAnsi="맑은 고딕" w:eastAsia="맑은 고딕"/>
                <w:b w:val="0"/>
                <w:sz w:val="20"/>
              </w:rPr>
              <w:t>145</w:t>
            </w:r>
          </w:p>
        </w:tc>
        <w:tc>
          <w:tcPr>
            <w:tcW w:type="dxa" w:w="2160"/>
          </w:tcPr>
          <w:p>
            <w:r>
              <w:rPr>
                <w:rFonts w:ascii="맑은 고딕" w:hAnsi="맑은 고딕" w:eastAsia="맑은 고딕"/>
                <w:b w:val="0"/>
                <w:sz w:val="20"/>
              </w:rPr>
              <w:t>+3.6%</w:t>
            </w:r>
          </w:p>
        </w:tc>
      </w:tr>
      <w:tr>
        <w:tc>
          <w:tcPr>
            <w:tcW w:type="dxa" w:w="2160"/>
            <w:shd w:val="clear" w:color="auto" w:fill="F2F2F2"/>
          </w:tcPr>
          <w:p>
            <w:r>
              <w:rPr>
                <w:rFonts w:ascii="맑은 고딕" w:hAnsi="맑은 고딕" w:eastAsia="맑은 고딕"/>
                <w:b w:val="0"/>
                <w:sz w:val="20"/>
              </w:rPr>
              <w:t>인사팀</w:t>
            </w:r>
          </w:p>
        </w:tc>
        <w:tc>
          <w:tcPr>
            <w:tcW w:type="dxa" w:w="2160"/>
            <w:shd w:val="clear" w:color="auto" w:fill="F2F2F2"/>
          </w:tcPr>
          <w:p>
            <w:r>
              <w:rPr>
                <w:rFonts w:ascii="맑은 고딕" w:hAnsi="맑은 고딕" w:eastAsia="맑은 고딕"/>
                <w:b w:val="0"/>
                <w:sz w:val="20"/>
              </w:rPr>
              <w:t>118</w:t>
            </w:r>
          </w:p>
        </w:tc>
        <w:tc>
          <w:tcPr>
            <w:tcW w:type="dxa" w:w="2160"/>
            <w:shd w:val="clear" w:color="auto" w:fill="F2F2F2"/>
          </w:tcPr>
          <w:p>
            <w:r>
              <w:rPr>
                <w:rFonts w:ascii="맑은 고딕" w:hAnsi="맑은 고딕" w:eastAsia="맑은 고딕"/>
                <w:b w:val="0"/>
                <w:sz w:val="20"/>
              </w:rPr>
              <w:t>120</w:t>
            </w:r>
          </w:p>
        </w:tc>
        <w:tc>
          <w:tcPr>
            <w:tcW w:type="dxa" w:w="2160"/>
            <w:shd w:val="clear" w:color="auto" w:fill="F2F2F2"/>
          </w:tcPr>
          <w:p>
            <w:r>
              <w:rPr>
                <w:rFonts w:ascii="맑은 고딕" w:hAnsi="맑은 고딕" w:eastAsia="맑은 고딕"/>
                <w:b w:val="0"/>
                <w:sz w:val="20"/>
              </w:rPr>
              <w:t>+1.7%</w:t>
            </w:r>
          </w:p>
        </w:tc>
      </w:tr>
      <w:tr>
        <w:tc>
          <w:tcPr>
            <w:tcW w:type="dxa" w:w="2160"/>
          </w:tcPr>
          <w:p>
            <w:r>
              <w:rPr>
                <w:rFonts w:ascii="맑은 고딕" w:hAnsi="맑은 고딕" w:eastAsia="맑은 고딕"/>
                <w:b w:val="0"/>
                <w:sz w:val="20"/>
              </w:rPr>
              <w:t>IT보안팀</w:t>
            </w:r>
          </w:p>
        </w:tc>
        <w:tc>
          <w:tcPr>
            <w:tcW w:type="dxa" w:w="2160"/>
          </w:tcPr>
          <w:p>
            <w:r>
              <w:rPr>
                <w:rFonts w:ascii="맑은 고딕" w:hAnsi="맑은 고딕" w:eastAsia="맑은 고딕"/>
                <w:b w:val="0"/>
                <w:sz w:val="20"/>
              </w:rPr>
              <w:t>130</w:t>
            </w:r>
          </w:p>
        </w:tc>
        <w:tc>
          <w:tcPr>
            <w:tcW w:type="dxa" w:w="2160"/>
          </w:tcPr>
          <w:p>
            <w:r>
              <w:rPr>
                <w:rFonts w:ascii="맑은 고딕" w:hAnsi="맑은 고딕" w:eastAsia="맑은 고딕"/>
                <w:b w:val="0"/>
                <w:sz w:val="20"/>
              </w:rPr>
              <w:t>160</w:t>
            </w:r>
          </w:p>
        </w:tc>
        <w:tc>
          <w:tcPr>
            <w:tcW w:type="dxa" w:w="2160"/>
          </w:tcPr>
          <w:p>
            <w:r>
              <w:rPr>
                <w:rFonts w:ascii="맑은 고딕" w:hAnsi="맑은 고딕" w:eastAsia="맑은 고딕"/>
                <w:b w:val="0"/>
                <w:sz w:val="20"/>
              </w:rPr>
              <w:t>+23.1%</w:t>
            </w:r>
          </w:p>
        </w:tc>
      </w:tr>
      <w:tr>
        <w:tc>
          <w:tcPr>
            <w:tcW w:type="dxa" w:w="2160"/>
            <w:shd w:val="clear" w:color="auto" w:fill="F2F2F2"/>
          </w:tcPr>
          <w:p>
            <w:r>
              <w:rPr>
                <w:rFonts w:ascii="맑은 고딕" w:hAnsi="맑은 고딕" w:eastAsia="맑은 고딕"/>
                <w:b w:val="0"/>
                <w:sz w:val="20"/>
              </w:rPr>
              <w:t>CS팀</w:t>
            </w:r>
          </w:p>
        </w:tc>
        <w:tc>
          <w:tcPr>
            <w:tcW w:type="dxa" w:w="2160"/>
            <w:shd w:val="clear" w:color="auto" w:fill="F2F2F2"/>
          </w:tcPr>
          <w:p>
            <w:r>
              <w:rPr>
                <w:rFonts w:ascii="맑은 고딕" w:hAnsi="맑은 고딕" w:eastAsia="맑은 고딕"/>
                <w:b w:val="0"/>
                <w:sz w:val="20"/>
              </w:rPr>
              <w:t>108</w:t>
            </w:r>
          </w:p>
        </w:tc>
        <w:tc>
          <w:tcPr>
            <w:tcW w:type="dxa" w:w="2160"/>
            <w:shd w:val="clear" w:color="auto" w:fill="F2F2F2"/>
          </w:tcPr>
          <w:p>
            <w:r>
              <w:rPr>
                <w:rFonts w:ascii="맑은 고딕" w:hAnsi="맑은 고딕" w:eastAsia="맑은 고딕"/>
                <w:b w:val="0"/>
                <w:sz w:val="20"/>
              </w:rPr>
              <w:t>110</w:t>
            </w:r>
          </w:p>
        </w:tc>
        <w:tc>
          <w:tcPr>
            <w:tcW w:type="dxa" w:w="2160"/>
            <w:shd w:val="clear" w:color="auto" w:fill="F2F2F2"/>
          </w:tcPr>
          <w:p>
            <w:r>
              <w:rPr>
                <w:rFonts w:ascii="맑은 고딕" w:hAnsi="맑은 고딕" w:eastAsia="맑은 고딕"/>
                <w:b w:val="0"/>
                <w:sz w:val="20"/>
              </w:rPr>
              <w:t>+1.9%</w:t>
            </w:r>
          </w:p>
        </w:tc>
      </w:tr>
      <w:tr>
        <w:tc>
          <w:tcPr>
            <w:tcW w:type="dxa" w:w="2160"/>
          </w:tcPr>
          <w:p>
            <w:r>
              <w:rPr>
                <w:rFonts w:ascii="맑은 고딕" w:hAnsi="맑은 고딕" w:eastAsia="맑은 고딕"/>
                <w:b w:val="0"/>
                <w:sz w:val="20"/>
              </w:rPr>
              <w:t>법무팀</w:t>
            </w:r>
          </w:p>
        </w:tc>
        <w:tc>
          <w:tcPr>
            <w:tcW w:type="dxa" w:w="2160"/>
          </w:tcPr>
          <w:p>
            <w:r>
              <w:rPr>
                <w:rFonts w:ascii="맑은 고딕" w:hAnsi="맑은 고딕" w:eastAsia="맑은 고딕"/>
                <w:b w:val="0"/>
                <w:sz w:val="20"/>
              </w:rPr>
              <w:t>62</w:t>
            </w:r>
          </w:p>
        </w:tc>
        <w:tc>
          <w:tcPr>
            <w:tcW w:type="dxa" w:w="2160"/>
          </w:tcPr>
          <w:p>
            <w:r>
              <w:rPr>
                <w:rFonts w:ascii="맑은 고딕" w:hAnsi="맑은 고딕" w:eastAsia="맑은 고딕"/>
                <w:b w:val="0"/>
                <w:sz w:val="20"/>
              </w:rPr>
              <w:t>65</w:t>
            </w:r>
          </w:p>
        </w:tc>
        <w:tc>
          <w:tcPr>
            <w:tcW w:type="dxa" w:w="2160"/>
          </w:tcPr>
          <w:p>
            <w:r>
              <w:rPr>
                <w:rFonts w:ascii="맑은 고딕" w:hAnsi="맑은 고딕" w:eastAsia="맑은 고딕"/>
                <w:b w:val="0"/>
                <w:sz w:val="20"/>
              </w:rPr>
              <w:t>+4.8%</w:t>
            </w:r>
          </w:p>
        </w:tc>
      </w:tr>
      <w:tr>
        <w:tc>
          <w:tcPr>
            <w:tcW w:type="dxa" w:w="2160"/>
            <w:shd w:val="clear" w:color="auto" w:fill="F2F2F2"/>
          </w:tcPr>
          <w:p>
            <w:r>
              <w:rPr>
                <w:rFonts w:ascii="맑은 고딕" w:hAnsi="맑은 고딕" w:eastAsia="맑은 고딕"/>
                <w:b w:val="0"/>
                <w:sz w:val="20"/>
              </w:rPr>
              <w:t>경영기획실</w:t>
            </w:r>
          </w:p>
        </w:tc>
        <w:tc>
          <w:tcPr>
            <w:tcW w:type="dxa" w:w="2160"/>
            <w:shd w:val="clear" w:color="auto" w:fill="F2F2F2"/>
          </w:tcPr>
          <w:p>
            <w:r>
              <w:rPr>
                <w:rFonts w:ascii="맑은 고딕" w:hAnsi="맑은 고딕" w:eastAsia="맑은 고딕"/>
                <w:b w:val="0"/>
                <w:sz w:val="20"/>
              </w:rPr>
              <w:t>52</w:t>
            </w:r>
          </w:p>
        </w:tc>
        <w:tc>
          <w:tcPr>
            <w:tcW w:type="dxa" w:w="2160"/>
            <w:shd w:val="clear" w:color="auto" w:fill="F2F2F2"/>
          </w:tcPr>
          <w:p>
            <w:r>
              <w:rPr>
                <w:rFonts w:ascii="맑은 고딕" w:hAnsi="맑은 고딕" w:eastAsia="맑은 고딕"/>
                <w:b w:val="0"/>
                <w:sz w:val="20"/>
              </w:rPr>
              <w:t>54</w:t>
            </w:r>
          </w:p>
        </w:tc>
        <w:tc>
          <w:tcPr>
            <w:tcW w:type="dxa" w:w="2160"/>
            <w:shd w:val="clear" w:color="auto" w:fill="F2F2F2"/>
          </w:tcPr>
          <w:p>
            <w:r>
              <w:rPr>
                <w:rFonts w:ascii="맑은 고딕" w:hAnsi="맑은 고딕" w:eastAsia="맑은 고딕"/>
                <w:b w:val="0"/>
                <w:sz w:val="20"/>
              </w:rPr>
              <w:t>+3.8%</w:t>
            </w:r>
          </w:p>
        </w:tc>
      </w:tr>
      <w:tr>
        <w:tc>
          <w:tcPr>
            <w:tcW w:type="dxa" w:w="2160"/>
          </w:tcPr>
          <w:p>
            <w:r>
              <w:rPr>
                <w:rFonts w:ascii="맑은 고딕" w:hAnsi="맑은 고딕" w:eastAsia="맑은 고딕"/>
                <w:b w:val="0"/>
                <w:sz w:val="20"/>
              </w:rPr>
              <w:t>합계</w:t>
            </w:r>
          </w:p>
        </w:tc>
        <w:tc>
          <w:tcPr>
            <w:tcW w:type="dxa" w:w="2160"/>
          </w:tcPr>
          <w:p>
            <w:r>
              <w:rPr>
                <w:rFonts w:ascii="맑은 고딕" w:hAnsi="맑은 고딕" w:eastAsia="맑은 고딕"/>
                <w:b w:val="0"/>
                <w:sz w:val="20"/>
              </w:rPr>
              <w:t>1,450</w:t>
            </w:r>
          </w:p>
        </w:tc>
        <w:tc>
          <w:tcPr>
            <w:tcW w:type="dxa" w:w="2160"/>
          </w:tcPr>
          <w:p>
            <w:r>
              <w:rPr>
                <w:rFonts w:ascii="맑은 고딕" w:hAnsi="맑은 고딕" w:eastAsia="맑은 고딕"/>
                <w:b w:val="0"/>
                <w:sz w:val="20"/>
              </w:rPr>
              <w:t>1,584</w:t>
            </w:r>
          </w:p>
        </w:tc>
        <w:tc>
          <w:tcPr>
            <w:tcW w:type="dxa" w:w="2160"/>
          </w:tcPr>
          <w:p>
            <w:r>
              <w:rPr>
                <w:rFonts w:ascii="맑은 고딕" w:hAnsi="맑은 고딕" w:eastAsia="맑은 고딕"/>
                <w:b w:val="0"/>
                <w:sz w:val="20"/>
              </w:rPr>
              <w:t>+9.2%</w:t>
            </w:r>
          </w:p>
        </w:tc>
      </w:tr>
    </w:tbl>
    <w:p/>
    <w:p>
      <w:r>
        <w:rPr>
          <w:rFonts w:ascii="맑은 고딕" w:hAnsi="맑은 고딕" w:eastAsia="맑은 고딕"/>
          <w:b/>
          <w:color w:val="1F3864"/>
          <w:sz w:val="26"/>
        </w:rPr>
        <w:t>6. 부서별 인건비·운영비 세부 내역(3분기)</w:t>
      </w:r>
    </w:p>
    <w:p>
      <w:pPr>
        <w:spacing w:line="312" w:lineRule="auto" w:after="160"/>
      </w:pPr>
      <w:r>
        <w:rPr>
          <w:rFonts w:ascii="맑은 고딕" w:hAnsi="맑은 고딕" w:eastAsia="맑은 고딕"/>
          <w:b w:val="0"/>
          <w:sz w:val="22"/>
        </w:rPr>
        <w:t>부서별 비용 총액 1,584백만 원을 인건비, 운영비, 외주/컨설팅비 세 항목으로 세분화하면, 전사 인건비는 1,125백만 원(71.0%), 운영비 272백만 원(17.2%), 외주/컨설팅비 187백만 원(11.8%)으로 구성된다. 인건비 비중이 압도적으로 높은 것은 SaaS 기업 특성상 인력이 핵심 자산이기 때문이며, 8개 부서 전체 임직원 수는 50명(전분기 대비 변동 없음)이다.</w:t>
      </w:r>
    </w:p>
    <w:p>
      <w:pPr>
        <w:spacing w:line="312" w:lineRule="auto" w:after="160"/>
      </w:pPr>
      <w:r>
        <w:rPr>
          <w:rFonts w:ascii="맑은 고딕" w:hAnsi="맑은 고딕" w:eastAsia="맑은 고딕"/>
          <w:b w:val="0"/>
          <w:sz w:val="22"/>
        </w:rPr>
        <w:t>개발본부/R&amp;D는 인건비 480백만 원, 운영비(클라우드 인프라·서버 사용료) 100백만 원, 외주(디자인·QA 외주) 40백만 원으로 구성되며, 임직원 20명 기준 1인당 월평균 인건비는 약 800만 원 수준이다. 운영비 100백만 원 중 상당 부분은 AI 요약 기능(PRJ-2026-05) 관련 GPU 클라우드 사용량 증가에 기인한다.</w:t>
      </w:r>
    </w:p>
    <w:p>
      <w:pPr>
        <w:spacing w:line="312" w:lineRule="auto" w:after="160"/>
      </w:pPr>
      <w:r>
        <w:rPr>
          <w:rFonts w:ascii="맑은 고딕" w:hAnsi="맑은 고딕" w:eastAsia="맑은 고딕"/>
          <w:b w:val="0"/>
          <w:sz w:val="22"/>
        </w:rPr>
        <w:t>영업팀은 인건비 180백만 원, 운영비(출장비·마케팅비) 80백만 원, 외주(통번역·현지 컨설팅) 50백만 원으로 구성되며, 임직원 8명 대비 운영비·외주비 비중이 37.6%(310백만 원 중 130백만 원)로 8개 부서 중 가장 높다. 이는 일본 진출(PRJ-2026-07) 관련 현지 출장 및 통번역 외주가 3분기부터 본격 반영되었기 때문이다.</w:t>
      </w:r>
    </w:p>
    <w:p>
      <w:pPr>
        <w:spacing w:line="312" w:lineRule="auto" w:after="160"/>
      </w:pPr>
      <w:r>
        <w:rPr>
          <w:rFonts w:ascii="맑은 고딕" w:hAnsi="맑은 고딕" w:eastAsia="맑은 고딕"/>
          <w:b w:val="0"/>
          <w:sz w:val="22"/>
        </w:rPr>
        <w:t>IT보안팀은 인건비 70백만 원, 운영비 20백만 원, 외주(ISMS 인증 컨설팅) 70백만 원으로, 외주비 비중이 43.8%에 달해 전 부서 중 가장 높은 외주 의존도를 보인다. ISMS 인증 취득(PRJ-2026-02) 심사가 4분기 초까지 이어질 예정이어서 외주비 비중은 당분간 높은 수준을 유지할 전망이다.</w:t>
      </w:r>
    </w:p>
    <w:p>
      <w:pPr>
        <w:spacing w:line="312" w:lineRule="auto" w:after="160"/>
      </w:pPr>
      <w:r>
        <w:rPr>
          <w:rFonts w:ascii="맑은 고딕" w:hAnsi="맑은 고딕" w:eastAsia="맑은 고딕"/>
          <w:b w:val="0"/>
          <w:sz w:val="22"/>
        </w:rPr>
        <w:t>재무회계팀, 인사팀, CS팀, 법무팀, 경영기획실은 인건비 비중이 80% 내외로 안정적인 구조를 유지하고 있으며, 별도의 대규모 외주 프로젝트가 없어 운영비·외주비 변동 폭이 크지 않다. 아래 표는 8개 부서의 3분기 인건비·운영비·외주비 세부 내역을 정리한 것이다.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pPr>
              <w:jc w:val="center"/>
            </w:pPr>
            <w:r>
              <w:rPr>
                <w:rFonts w:ascii="맑은 고딕" w:hAnsi="맑은 고딕" w:eastAsia="맑은 고딕"/>
                <w:b/>
                <w:color w:val="FFFFFF"/>
                <w:sz w:val="20"/>
              </w:rPr>
              <w:t>부서</w:t>
            </w:r>
          </w:p>
        </w:tc>
        <w:tc>
          <w:tcPr>
            <w:tcW w:type="dxa" w:w="1440"/>
            <w:shd w:val="clear" w:color="auto" w:fill="1F3864"/>
          </w:tcPr>
          <w:p>
            <w:pPr>
              <w:jc w:val="center"/>
            </w:pPr>
            <w:r>
              <w:rPr>
                <w:rFonts w:ascii="맑은 고딕" w:hAnsi="맑은 고딕" w:eastAsia="맑은 고딕"/>
                <w:b/>
                <w:color w:val="FFFFFF"/>
                <w:sz w:val="20"/>
              </w:rPr>
              <w:t>임직원 수(명)</w:t>
            </w:r>
          </w:p>
        </w:tc>
        <w:tc>
          <w:tcPr>
            <w:tcW w:type="dxa" w:w="1440"/>
            <w:shd w:val="clear" w:color="auto" w:fill="1F3864"/>
          </w:tcPr>
          <w:p>
            <w:pPr>
              <w:jc w:val="center"/>
            </w:pPr>
            <w:r>
              <w:rPr>
                <w:rFonts w:ascii="맑은 고딕" w:hAnsi="맑은 고딕" w:eastAsia="맑은 고딕"/>
                <w:b/>
                <w:color w:val="FFFFFF"/>
                <w:sz w:val="20"/>
              </w:rPr>
              <w:t>인건비(백만 원)</w:t>
            </w:r>
          </w:p>
        </w:tc>
        <w:tc>
          <w:tcPr>
            <w:tcW w:type="dxa" w:w="1440"/>
            <w:shd w:val="clear" w:color="auto" w:fill="1F3864"/>
          </w:tcPr>
          <w:p>
            <w:pPr>
              <w:jc w:val="center"/>
            </w:pPr>
            <w:r>
              <w:rPr>
                <w:rFonts w:ascii="맑은 고딕" w:hAnsi="맑은 고딕" w:eastAsia="맑은 고딕"/>
                <w:b/>
                <w:color w:val="FFFFFF"/>
                <w:sz w:val="20"/>
              </w:rPr>
              <w:t>운영비(백만 원)</w:t>
            </w:r>
          </w:p>
        </w:tc>
        <w:tc>
          <w:tcPr>
            <w:tcW w:type="dxa" w:w="1440"/>
            <w:shd w:val="clear" w:color="auto" w:fill="1F3864"/>
          </w:tcPr>
          <w:p>
            <w:pPr>
              <w:jc w:val="center"/>
            </w:pPr>
            <w:r>
              <w:rPr>
                <w:rFonts w:ascii="맑은 고딕" w:hAnsi="맑은 고딕" w:eastAsia="맑은 고딕"/>
                <w:b/>
                <w:color w:val="FFFFFF"/>
                <w:sz w:val="20"/>
              </w:rPr>
              <w:t>외주/컨설팅비(백만 원)</w:t>
            </w:r>
          </w:p>
        </w:tc>
        <w:tc>
          <w:tcPr>
            <w:tcW w:type="dxa" w:w="1440"/>
            <w:shd w:val="clear" w:color="auto" w:fill="1F3864"/>
          </w:tcPr>
          <w:p>
            <w:pPr>
              <w:jc w:val="center"/>
            </w:pPr>
            <w:r>
              <w:rPr>
                <w:rFonts w:ascii="맑은 고딕" w:hAnsi="맑은 고딕" w:eastAsia="맑은 고딕"/>
                <w:b/>
                <w:color w:val="FFFFFF"/>
                <w:sz w:val="20"/>
              </w:rPr>
              <w:t>합계(백만 원)</w:t>
            </w:r>
          </w:p>
        </w:tc>
      </w:tr>
      <w:tr>
        <w:tc>
          <w:tcPr>
            <w:tcW w:type="dxa" w:w="1440"/>
          </w:tcPr>
          <w:p>
            <w:r>
              <w:rPr>
                <w:rFonts w:ascii="맑은 고딕" w:hAnsi="맑은 고딕" w:eastAsia="맑은 고딕"/>
                <w:b w:val="0"/>
                <w:sz w:val="20"/>
              </w:rPr>
              <w:t>개발본부/R&amp;D</w:t>
            </w:r>
          </w:p>
        </w:tc>
        <w:tc>
          <w:tcPr>
            <w:tcW w:type="dxa" w:w="1440"/>
          </w:tcPr>
          <w:p>
            <w:r>
              <w:rPr>
                <w:rFonts w:ascii="맑은 고딕" w:hAnsi="맑은 고딕" w:eastAsia="맑은 고딕"/>
                <w:b w:val="0"/>
                <w:sz w:val="20"/>
              </w:rPr>
              <w:t>20</w:t>
            </w:r>
          </w:p>
        </w:tc>
        <w:tc>
          <w:tcPr>
            <w:tcW w:type="dxa" w:w="1440"/>
          </w:tcPr>
          <w:p>
            <w:r>
              <w:rPr>
                <w:rFonts w:ascii="맑은 고딕" w:hAnsi="맑은 고딕" w:eastAsia="맑은 고딕"/>
                <w:b w:val="0"/>
                <w:sz w:val="20"/>
              </w:rPr>
              <w:t>480</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40</w:t>
            </w:r>
          </w:p>
        </w:tc>
        <w:tc>
          <w:tcPr>
            <w:tcW w:type="dxa" w:w="1440"/>
          </w:tcPr>
          <w:p>
            <w:r>
              <w:rPr>
                <w:rFonts w:ascii="맑은 고딕" w:hAnsi="맑은 고딕" w:eastAsia="맑은 고딕"/>
                <w:b w:val="0"/>
                <w:sz w:val="20"/>
              </w:rPr>
              <w:t>620</w:t>
            </w:r>
          </w:p>
        </w:tc>
      </w:tr>
      <w:tr>
        <w:tc>
          <w:tcPr>
            <w:tcW w:type="dxa" w:w="1440"/>
            <w:shd w:val="clear" w:color="auto" w:fill="F2F2F2"/>
          </w:tcPr>
          <w:p>
            <w:r>
              <w:rPr>
                <w:rFonts w:ascii="맑은 고딕" w:hAnsi="맑은 고딕" w:eastAsia="맑은 고딕"/>
                <w:b w:val="0"/>
                <w:sz w:val="20"/>
              </w:rPr>
              <w:t>영업팀</w:t>
            </w:r>
          </w:p>
        </w:tc>
        <w:tc>
          <w:tcPr>
            <w:tcW w:type="dxa" w:w="1440"/>
            <w:shd w:val="clear" w:color="auto" w:fill="F2F2F2"/>
          </w:tcPr>
          <w:p>
            <w:r>
              <w:rPr>
                <w:rFonts w:ascii="맑은 고딕" w:hAnsi="맑은 고딕" w:eastAsia="맑은 고딕"/>
                <w:b w:val="0"/>
                <w:sz w:val="20"/>
              </w:rPr>
              <w:t>8</w:t>
            </w:r>
          </w:p>
        </w:tc>
        <w:tc>
          <w:tcPr>
            <w:tcW w:type="dxa" w:w="1440"/>
            <w:shd w:val="clear" w:color="auto" w:fill="F2F2F2"/>
          </w:tcPr>
          <w:p>
            <w:r>
              <w:rPr>
                <w:rFonts w:ascii="맑은 고딕" w:hAnsi="맑은 고딕" w:eastAsia="맑은 고딕"/>
                <w:b w:val="0"/>
                <w:sz w:val="20"/>
              </w:rPr>
              <w:t>180</w:t>
            </w:r>
          </w:p>
        </w:tc>
        <w:tc>
          <w:tcPr>
            <w:tcW w:type="dxa" w:w="1440"/>
            <w:shd w:val="clear" w:color="auto" w:fill="F2F2F2"/>
          </w:tcPr>
          <w:p>
            <w:r>
              <w:rPr>
                <w:rFonts w:ascii="맑은 고딕" w:hAnsi="맑은 고딕" w:eastAsia="맑은 고딕"/>
                <w:b w:val="0"/>
                <w:sz w:val="20"/>
              </w:rPr>
              <w:t>80</w:t>
            </w:r>
          </w:p>
        </w:tc>
        <w:tc>
          <w:tcPr>
            <w:tcW w:type="dxa" w:w="1440"/>
            <w:shd w:val="clear" w:color="auto" w:fill="F2F2F2"/>
          </w:tcPr>
          <w:p>
            <w:r>
              <w:rPr>
                <w:rFonts w:ascii="맑은 고딕" w:hAnsi="맑은 고딕" w:eastAsia="맑은 고딕"/>
                <w:b w:val="0"/>
                <w:sz w:val="20"/>
              </w:rPr>
              <w:t>50</w:t>
            </w:r>
          </w:p>
        </w:tc>
        <w:tc>
          <w:tcPr>
            <w:tcW w:type="dxa" w:w="1440"/>
            <w:shd w:val="clear" w:color="auto" w:fill="F2F2F2"/>
          </w:tcPr>
          <w:p>
            <w:r>
              <w:rPr>
                <w:rFonts w:ascii="맑은 고딕" w:hAnsi="맑은 고딕" w:eastAsia="맑은 고딕"/>
                <w:b w:val="0"/>
                <w:sz w:val="20"/>
              </w:rPr>
              <w:t>310</w:t>
            </w:r>
          </w:p>
        </w:tc>
      </w:tr>
      <w:tr>
        <w:tc>
          <w:tcPr>
            <w:tcW w:type="dxa" w:w="1440"/>
          </w:tcPr>
          <w:p>
            <w:r>
              <w:rPr>
                <w:rFonts w:ascii="맑은 고딕" w:hAnsi="맑은 고딕" w:eastAsia="맑은 고딕"/>
                <w:b w:val="0"/>
                <w:sz w:val="20"/>
              </w:rPr>
              <w:t>재무회계팀</w:t>
            </w:r>
          </w:p>
        </w:tc>
        <w:tc>
          <w:tcPr>
            <w:tcW w:type="dxa" w:w="1440"/>
          </w:tcPr>
          <w:p>
            <w:r>
              <w:rPr>
                <w:rFonts w:ascii="맑은 고딕" w:hAnsi="맑은 고딕" w:eastAsia="맑은 고딕"/>
                <w:b w:val="0"/>
                <w:sz w:val="20"/>
              </w:rPr>
              <w:t>4</w:t>
            </w:r>
          </w:p>
        </w:tc>
        <w:tc>
          <w:tcPr>
            <w:tcW w:type="dxa" w:w="1440"/>
          </w:tcPr>
          <w:p>
            <w:r>
              <w:rPr>
                <w:rFonts w:ascii="맑은 고딕" w:hAnsi="맑은 고딕" w:eastAsia="맑은 고딕"/>
                <w:b w:val="0"/>
                <w:sz w:val="20"/>
              </w:rPr>
              <w:t>120</w:t>
            </w:r>
          </w:p>
        </w:tc>
        <w:tc>
          <w:tcPr>
            <w:tcW w:type="dxa" w:w="1440"/>
          </w:tcPr>
          <w:p>
            <w:r>
              <w:rPr>
                <w:rFonts w:ascii="맑은 고딕" w:hAnsi="맑은 고딕" w:eastAsia="맑은 고딕"/>
                <w:b w:val="0"/>
                <w:sz w:val="20"/>
              </w:rPr>
              <w:t>20</w:t>
            </w:r>
          </w:p>
        </w:tc>
        <w:tc>
          <w:tcPr>
            <w:tcW w:type="dxa" w:w="1440"/>
          </w:tcPr>
          <w:p>
            <w:r>
              <w:rPr>
                <w:rFonts w:ascii="맑은 고딕" w:hAnsi="맑은 고딕" w:eastAsia="맑은 고딕"/>
                <w:b w:val="0"/>
                <w:sz w:val="20"/>
              </w:rPr>
              <w:t>5</w:t>
            </w:r>
          </w:p>
        </w:tc>
        <w:tc>
          <w:tcPr>
            <w:tcW w:type="dxa" w:w="1440"/>
          </w:tcPr>
          <w:p>
            <w:r>
              <w:rPr>
                <w:rFonts w:ascii="맑은 고딕" w:hAnsi="맑은 고딕" w:eastAsia="맑은 고딕"/>
                <w:b w:val="0"/>
                <w:sz w:val="20"/>
              </w:rPr>
              <w:t>145</w:t>
            </w:r>
          </w:p>
        </w:tc>
      </w:tr>
      <w:tr>
        <w:tc>
          <w:tcPr>
            <w:tcW w:type="dxa" w:w="1440"/>
            <w:shd w:val="clear" w:color="auto" w:fill="F2F2F2"/>
          </w:tcPr>
          <w:p>
            <w:r>
              <w:rPr>
                <w:rFonts w:ascii="맑은 고딕" w:hAnsi="맑은 고딕" w:eastAsia="맑은 고딕"/>
                <w:b w:val="0"/>
                <w:sz w:val="20"/>
              </w:rPr>
              <w:t>인사팀</w:t>
            </w:r>
          </w:p>
        </w:tc>
        <w:tc>
          <w:tcPr>
            <w:tcW w:type="dxa" w:w="1440"/>
            <w:shd w:val="clear" w:color="auto" w:fill="F2F2F2"/>
          </w:tcPr>
          <w:p>
            <w:r>
              <w:rPr>
                <w:rFonts w:ascii="맑은 고딕" w:hAnsi="맑은 고딕" w:eastAsia="맑은 고딕"/>
                <w:b w:val="0"/>
                <w:sz w:val="20"/>
              </w:rPr>
              <w:t>3</w:t>
            </w:r>
          </w:p>
        </w:tc>
        <w:tc>
          <w:tcPr>
            <w:tcW w:type="dxa" w:w="1440"/>
            <w:shd w:val="clear" w:color="auto" w:fill="F2F2F2"/>
          </w:tcPr>
          <w:p>
            <w:r>
              <w:rPr>
                <w:rFonts w:ascii="맑은 고딕" w:hAnsi="맑은 고딕" w:eastAsia="맑은 고딕"/>
                <w:b w:val="0"/>
                <w:sz w:val="20"/>
              </w:rPr>
              <w:t>95</w:t>
            </w:r>
          </w:p>
        </w:tc>
        <w:tc>
          <w:tcPr>
            <w:tcW w:type="dxa" w:w="1440"/>
            <w:shd w:val="clear" w:color="auto" w:fill="F2F2F2"/>
          </w:tcPr>
          <w:p>
            <w:r>
              <w:rPr>
                <w:rFonts w:ascii="맑은 고딕" w:hAnsi="맑은 고딕" w:eastAsia="맑은 고딕"/>
                <w:b w:val="0"/>
                <w:sz w:val="20"/>
              </w:rPr>
              <w:t>20</w:t>
            </w:r>
          </w:p>
        </w:tc>
        <w:tc>
          <w:tcPr>
            <w:tcW w:type="dxa" w:w="1440"/>
            <w:shd w:val="clear" w:color="auto" w:fill="F2F2F2"/>
          </w:tcPr>
          <w:p>
            <w:r>
              <w:rPr>
                <w:rFonts w:ascii="맑은 고딕" w:hAnsi="맑은 고딕" w:eastAsia="맑은 고딕"/>
                <w:b w:val="0"/>
                <w:sz w:val="20"/>
              </w:rPr>
              <w:t>5</w:t>
            </w:r>
          </w:p>
        </w:tc>
        <w:tc>
          <w:tcPr>
            <w:tcW w:type="dxa" w:w="1440"/>
            <w:shd w:val="clear" w:color="auto" w:fill="F2F2F2"/>
          </w:tcPr>
          <w:p>
            <w:r>
              <w:rPr>
                <w:rFonts w:ascii="맑은 고딕" w:hAnsi="맑은 고딕" w:eastAsia="맑은 고딕"/>
                <w:b w:val="0"/>
                <w:sz w:val="20"/>
              </w:rPr>
              <w:t>120</w:t>
            </w:r>
          </w:p>
        </w:tc>
      </w:tr>
      <w:tr>
        <w:tc>
          <w:tcPr>
            <w:tcW w:type="dxa" w:w="1440"/>
          </w:tcPr>
          <w:p>
            <w:r>
              <w:rPr>
                <w:rFonts w:ascii="맑은 고딕" w:hAnsi="맑은 고딕" w:eastAsia="맑은 고딕"/>
                <w:b w:val="0"/>
                <w:sz w:val="20"/>
              </w:rPr>
              <w:t>IT보안팀</w:t>
            </w:r>
          </w:p>
        </w:tc>
        <w:tc>
          <w:tcPr>
            <w:tcW w:type="dxa" w:w="1440"/>
          </w:tcPr>
          <w:p>
            <w:r>
              <w:rPr>
                <w:rFonts w:ascii="맑은 고딕" w:hAnsi="맑은 고딕" w:eastAsia="맑은 고딕"/>
                <w:b w:val="0"/>
                <w:sz w:val="20"/>
              </w:rPr>
              <w:t>4</w:t>
            </w:r>
          </w:p>
        </w:tc>
        <w:tc>
          <w:tcPr>
            <w:tcW w:type="dxa" w:w="1440"/>
          </w:tcPr>
          <w:p>
            <w:r>
              <w:rPr>
                <w:rFonts w:ascii="맑은 고딕" w:hAnsi="맑은 고딕" w:eastAsia="맑은 고딕"/>
                <w:b w:val="0"/>
                <w:sz w:val="20"/>
              </w:rPr>
              <w:t>70</w:t>
            </w:r>
          </w:p>
        </w:tc>
        <w:tc>
          <w:tcPr>
            <w:tcW w:type="dxa" w:w="1440"/>
          </w:tcPr>
          <w:p>
            <w:r>
              <w:rPr>
                <w:rFonts w:ascii="맑은 고딕" w:hAnsi="맑은 고딕" w:eastAsia="맑은 고딕"/>
                <w:b w:val="0"/>
                <w:sz w:val="20"/>
              </w:rPr>
              <w:t>20</w:t>
            </w:r>
          </w:p>
        </w:tc>
        <w:tc>
          <w:tcPr>
            <w:tcW w:type="dxa" w:w="1440"/>
          </w:tcPr>
          <w:p>
            <w:r>
              <w:rPr>
                <w:rFonts w:ascii="맑은 고딕" w:hAnsi="맑은 고딕" w:eastAsia="맑은 고딕"/>
                <w:b w:val="0"/>
                <w:sz w:val="20"/>
              </w:rPr>
              <w:t>70</w:t>
            </w:r>
          </w:p>
        </w:tc>
        <w:tc>
          <w:tcPr>
            <w:tcW w:type="dxa" w:w="1440"/>
          </w:tcPr>
          <w:p>
            <w:r>
              <w:rPr>
                <w:rFonts w:ascii="맑은 고딕" w:hAnsi="맑은 고딕" w:eastAsia="맑은 고딕"/>
                <w:b w:val="0"/>
                <w:sz w:val="20"/>
              </w:rPr>
              <w:t>160</w:t>
            </w:r>
          </w:p>
        </w:tc>
      </w:tr>
      <w:tr>
        <w:tc>
          <w:tcPr>
            <w:tcW w:type="dxa" w:w="1440"/>
            <w:shd w:val="clear" w:color="auto" w:fill="F2F2F2"/>
          </w:tcPr>
          <w:p>
            <w:r>
              <w:rPr>
                <w:rFonts w:ascii="맑은 고딕" w:hAnsi="맑은 고딕" w:eastAsia="맑은 고딕"/>
                <w:b w:val="0"/>
                <w:sz w:val="20"/>
              </w:rPr>
              <w:t>CS팀</w:t>
            </w:r>
          </w:p>
        </w:tc>
        <w:tc>
          <w:tcPr>
            <w:tcW w:type="dxa" w:w="1440"/>
            <w:shd w:val="clear" w:color="auto" w:fill="F2F2F2"/>
          </w:tcPr>
          <w:p>
            <w:r>
              <w:rPr>
                <w:rFonts w:ascii="맑은 고딕" w:hAnsi="맑은 고딕" w:eastAsia="맑은 고딕"/>
                <w:b w:val="0"/>
                <w:sz w:val="20"/>
              </w:rPr>
              <w:t>6</w:t>
            </w:r>
          </w:p>
        </w:tc>
        <w:tc>
          <w:tcPr>
            <w:tcW w:type="dxa" w:w="1440"/>
            <w:shd w:val="clear" w:color="auto" w:fill="F2F2F2"/>
          </w:tcPr>
          <w:p>
            <w:r>
              <w:rPr>
                <w:rFonts w:ascii="맑은 고딕" w:hAnsi="맑은 고딕" w:eastAsia="맑은 고딕"/>
                <w:b w:val="0"/>
                <w:sz w:val="20"/>
              </w:rPr>
              <w:t>95</w:t>
            </w:r>
          </w:p>
        </w:tc>
        <w:tc>
          <w:tcPr>
            <w:tcW w:type="dxa" w:w="1440"/>
            <w:shd w:val="clear" w:color="auto" w:fill="F2F2F2"/>
          </w:tcPr>
          <w:p>
            <w:r>
              <w:rPr>
                <w:rFonts w:ascii="맑은 고딕" w:hAnsi="맑은 고딕" w:eastAsia="맑은 고딕"/>
                <w:b w:val="0"/>
                <w:sz w:val="20"/>
              </w:rPr>
              <w:t>12</w:t>
            </w:r>
          </w:p>
        </w:tc>
        <w:tc>
          <w:tcPr>
            <w:tcW w:type="dxa" w:w="1440"/>
            <w:shd w:val="clear" w:color="auto" w:fill="F2F2F2"/>
          </w:tcPr>
          <w:p>
            <w:r>
              <w:rPr>
                <w:rFonts w:ascii="맑은 고딕" w:hAnsi="맑은 고딕" w:eastAsia="맑은 고딕"/>
                <w:b w:val="0"/>
                <w:sz w:val="20"/>
              </w:rPr>
              <w:t>3</w:t>
            </w:r>
          </w:p>
        </w:tc>
        <w:tc>
          <w:tcPr>
            <w:tcW w:type="dxa" w:w="1440"/>
            <w:shd w:val="clear" w:color="auto" w:fill="F2F2F2"/>
          </w:tcPr>
          <w:p>
            <w:r>
              <w:rPr>
                <w:rFonts w:ascii="맑은 고딕" w:hAnsi="맑은 고딕" w:eastAsia="맑은 고딕"/>
                <w:b w:val="0"/>
                <w:sz w:val="20"/>
              </w:rPr>
              <w:t>110</w:t>
            </w:r>
          </w:p>
        </w:tc>
      </w:tr>
      <w:tr>
        <w:tc>
          <w:tcPr>
            <w:tcW w:type="dxa" w:w="1440"/>
          </w:tcPr>
          <w:p>
            <w:r>
              <w:rPr>
                <w:rFonts w:ascii="맑은 고딕" w:hAnsi="맑은 고딕" w:eastAsia="맑은 고딕"/>
                <w:b w:val="0"/>
                <w:sz w:val="20"/>
              </w:rPr>
              <w:t>법무팀</w:t>
            </w:r>
          </w:p>
        </w:tc>
        <w:tc>
          <w:tcPr>
            <w:tcW w:type="dxa" w:w="1440"/>
          </w:tcPr>
          <w:p>
            <w:r>
              <w:rPr>
                <w:rFonts w:ascii="맑은 고딕" w:hAnsi="맑은 고딕" w:eastAsia="맑은 고딕"/>
                <w:b w:val="0"/>
                <w:sz w:val="20"/>
              </w:rPr>
              <w:t>2</w:t>
            </w:r>
          </w:p>
        </w:tc>
        <w:tc>
          <w:tcPr>
            <w:tcW w:type="dxa" w:w="1440"/>
          </w:tcPr>
          <w:p>
            <w:r>
              <w:rPr>
                <w:rFonts w:ascii="맑은 고딕" w:hAnsi="맑은 고딕" w:eastAsia="맑은 고딕"/>
                <w:b w:val="0"/>
                <w:sz w:val="20"/>
              </w:rPr>
              <w:t>45</w:t>
            </w:r>
          </w:p>
        </w:tc>
        <w:tc>
          <w:tcPr>
            <w:tcW w:type="dxa" w:w="1440"/>
          </w:tcPr>
          <w:p>
            <w:r>
              <w:rPr>
                <w:rFonts w:ascii="맑은 고딕" w:hAnsi="맑은 고딕" w:eastAsia="맑은 고딕"/>
                <w:b w:val="0"/>
                <w:sz w:val="20"/>
              </w:rPr>
              <w:t>10</w:t>
            </w:r>
          </w:p>
        </w:tc>
        <w:tc>
          <w:tcPr>
            <w:tcW w:type="dxa" w:w="1440"/>
          </w:tcPr>
          <w:p>
            <w:r>
              <w:rPr>
                <w:rFonts w:ascii="맑은 고딕" w:hAnsi="맑은 고딕" w:eastAsia="맑은 고딕"/>
                <w:b w:val="0"/>
                <w:sz w:val="20"/>
              </w:rPr>
              <w:t>10</w:t>
            </w:r>
          </w:p>
        </w:tc>
        <w:tc>
          <w:tcPr>
            <w:tcW w:type="dxa" w:w="1440"/>
          </w:tcPr>
          <w:p>
            <w:r>
              <w:rPr>
                <w:rFonts w:ascii="맑은 고딕" w:hAnsi="맑은 고딕" w:eastAsia="맑은 고딕"/>
                <w:b w:val="0"/>
                <w:sz w:val="20"/>
              </w:rPr>
              <w:t>65</w:t>
            </w:r>
          </w:p>
        </w:tc>
      </w:tr>
      <w:tr>
        <w:tc>
          <w:tcPr>
            <w:tcW w:type="dxa" w:w="1440"/>
            <w:shd w:val="clear" w:color="auto" w:fill="F2F2F2"/>
          </w:tcPr>
          <w:p>
            <w:r>
              <w:rPr>
                <w:rFonts w:ascii="맑은 고딕" w:hAnsi="맑은 고딕" w:eastAsia="맑은 고딕"/>
                <w:b w:val="0"/>
                <w:sz w:val="20"/>
              </w:rPr>
              <w:t>경영기획실</w:t>
            </w:r>
          </w:p>
        </w:tc>
        <w:tc>
          <w:tcPr>
            <w:tcW w:type="dxa" w:w="1440"/>
            <w:shd w:val="clear" w:color="auto" w:fill="F2F2F2"/>
          </w:tcPr>
          <w:p>
            <w:r>
              <w:rPr>
                <w:rFonts w:ascii="맑은 고딕" w:hAnsi="맑은 고딕" w:eastAsia="맑은 고딕"/>
                <w:b w:val="0"/>
                <w:sz w:val="20"/>
              </w:rPr>
              <w:t>3</w:t>
            </w:r>
          </w:p>
        </w:tc>
        <w:tc>
          <w:tcPr>
            <w:tcW w:type="dxa" w:w="1440"/>
            <w:shd w:val="clear" w:color="auto" w:fill="F2F2F2"/>
          </w:tcPr>
          <w:p>
            <w:r>
              <w:rPr>
                <w:rFonts w:ascii="맑은 고딕" w:hAnsi="맑은 고딕" w:eastAsia="맑은 고딕"/>
                <w:b w:val="0"/>
                <w:sz w:val="20"/>
              </w:rPr>
              <w:t>40</w:t>
            </w:r>
          </w:p>
        </w:tc>
        <w:tc>
          <w:tcPr>
            <w:tcW w:type="dxa" w:w="1440"/>
            <w:shd w:val="clear" w:color="auto" w:fill="F2F2F2"/>
          </w:tcPr>
          <w:p>
            <w:r>
              <w:rPr>
                <w:rFonts w:ascii="맑은 고딕" w:hAnsi="맑은 고딕" w:eastAsia="맑은 고딕"/>
                <w:b w:val="0"/>
                <w:sz w:val="20"/>
              </w:rPr>
              <w:t>10</w:t>
            </w:r>
          </w:p>
        </w:tc>
        <w:tc>
          <w:tcPr>
            <w:tcW w:type="dxa" w:w="1440"/>
            <w:shd w:val="clear" w:color="auto" w:fill="F2F2F2"/>
          </w:tcPr>
          <w:p>
            <w:r>
              <w:rPr>
                <w:rFonts w:ascii="맑은 고딕" w:hAnsi="맑은 고딕" w:eastAsia="맑은 고딕"/>
                <w:b w:val="0"/>
                <w:sz w:val="20"/>
              </w:rPr>
              <w:t>4</w:t>
            </w:r>
          </w:p>
        </w:tc>
        <w:tc>
          <w:tcPr>
            <w:tcW w:type="dxa" w:w="1440"/>
            <w:shd w:val="clear" w:color="auto" w:fill="F2F2F2"/>
          </w:tcPr>
          <w:p>
            <w:r>
              <w:rPr>
                <w:rFonts w:ascii="맑은 고딕" w:hAnsi="맑은 고딕" w:eastAsia="맑은 고딕"/>
                <w:b w:val="0"/>
                <w:sz w:val="20"/>
              </w:rPr>
              <w:t>54</w:t>
            </w:r>
          </w:p>
        </w:tc>
      </w:tr>
      <w:tr>
        <w:tc>
          <w:tcPr>
            <w:tcW w:type="dxa" w:w="1440"/>
          </w:tcPr>
          <w:p>
            <w:r>
              <w:rPr>
                <w:rFonts w:ascii="맑은 고딕" w:hAnsi="맑은 고딕" w:eastAsia="맑은 고딕"/>
                <w:b w:val="0"/>
                <w:sz w:val="20"/>
              </w:rPr>
              <w:t>합계</w:t>
            </w:r>
          </w:p>
        </w:tc>
        <w:tc>
          <w:tcPr>
            <w:tcW w:type="dxa" w:w="1440"/>
          </w:tcPr>
          <w:p>
            <w:r>
              <w:rPr>
                <w:rFonts w:ascii="맑은 고딕" w:hAnsi="맑은 고딕" w:eastAsia="맑은 고딕"/>
                <w:b w:val="0"/>
                <w:sz w:val="20"/>
              </w:rPr>
              <w:t>50</w:t>
            </w:r>
          </w:p>
        </w:tc>
        <w:tc>
          <w:tcPr>
            <w:tcW w:type="dxa" w:w="1440"/>
          </w:tcPr>
          <w:p>
            <w:r>
              <w:rPr>
                <w:rFonts w:ascii="맑은 고딕" w:hAnsi="맑은 고딕" w:eastAsia="맑은 고딕"/>
                <w:b w:val="0"/>
                <w:sz w:val="20"/>
              </w:rPr>
              <w:t>1,125</w:t>
            </w:r>
          </w:p>
        </w:tc>
        <w:tc>
          <w:tcPr>
            <w:tcW w:type="dxa" w:w="1440"/>
          </w:tcPr>
          <w:p>
            <w:r>
              <w:rPr>
                <w:rFonts w:ascii="맑은 고딕" w:hAnsi="맑은 고딕" w:eastAsia="맑은 고딕"/>
                <w:b w:val="0"/>
                <w:sz w:val="20"/>
              </w:rPr>
              <w:t>272</w:t>
            </w:r>
          </w:p>
        </w:tc>
        <w:tc>
          <w:tcPr>
            <w:tcW w:type="dxa" w:w="1440"/>
          </w:tcPr>
          <w:p>
            <w:r>
              <w:rPr>
                <w:rFonts w:ascii="맑은 고딕" w:hAnsi="맑은 고딕" w:eastAsia="맑은 고딕"/>
                <w:b w:val="0"/>
                <w:sz w:val="20"/>
              </w:rPr>
              <w:t>187</w:t>
            </w:r>
          </w:p>
        </w:tc>
        <w:tc>
          <w:tcPr>
            <w:tcW w:type="dxa" w:w="1440"/>
          </w:tcPr>
          <w:p>
            <w:r>
              <w:rPr>
                <w:rFonts w:ascii="맑은 고딕" w:hAnsi="맑은 고딕" w:eastAsia="맑은 고딕"/>
                <w:b w:val="0"/>
                <w:sz w:val="20"/>
              </w:rPr>
              <w:t>1,584</w:t>
            </w:r>
          </w:p>
        </w:tc>
      </w:tr>
    </w:tbl>
    <w:p/>
    <w:p>
      <w:r>
        <w:rPr>
          <w:rFonts w:ascii="맑은 고딕" w:hAnsi="맑은 고딕" w:eastAsia="맑은 고딕"/>
          <w:b/>
          <w:color w:val="1F3864"/>
          <w:sz w:val="26"/>
        </w:rPr>
        <w:t>7. 전분기 대비 증감 분석</w:t>
      </w:r>
    </w:p>
    <w:p>
      <w:pPr>
        <w:spacing w:line="312" w:lineRule="auto" w:after="160"/>
      </w:pPr>
      <w:r>
        <w:rPr>
          <w:rFonts w:ascii="맑은 고딕" w:hAnsi="맑은 고딕" w:eastAsia="맑은 고딕"/>
          <w:b w:val="0"/>
          <w:sz w:val="22"/>
        </w:rPr>
        <w:t>개발본부/R&amp;D 비용은 네오보드 3.0 리뉴얼 및 AI 요약 기능(PRJ-2026-05) 개발 인력 충원과 클라우드 인프라 사용량 증가로 전분기 대비 6.9% 늘어난 620백만 원을 집행하였다. AI 요약 애드온 매출(+63.6%)이 동일 부서 비용 증가율을 크게 상회하고 있어, 투자 대비 수익성은 양호한 것으로 평가된다.</w:t>
      </w:r>
    </w:p>
    <w:p>
      <w:pPr>
        <w:spacing w:line="312" w:lineRule="auto" w:after="160"/>
      </w:pPr>
      <w:r>
        <w:rPr>
          <w:rFonts w:ascii="맑은 고딕" w:hAnsi="맑은 고딕" w:eastAsia="맑은 고딕"/>
          <w:b w:val="0"/>
          <w:sz w:val="22"/>
        </w:rPr>
        <w:t>영업팀 비용은 260백만 원에서 310백만 원으로 19.2% 증가하였다. 이는 일본 진출(PRJ-2026-07) 관련 현지 출장비, 통번역 외주비, 초기 마케팅 비용이 3분기부터 본격 반영된 데 기인하며, 경영기획실 비용 증가(+3.8%) 또한 동일 프로젝트의 기획·조사 비용과 연동된 것으로 파악된다. 해외 매출 비중 확대(3%→10%) 추세를 감안할 때 관련 비용은 4분기에도 유지될 전망이다.</w:t>
      </w:r>
    </w:p>
    <w:p>
      <w:pPr>
        <w:spacing w:line="312" w:lineRule="auto" w:after="160"/>
      </w:pPr>
      <w:r>
        <w:rPr>
          <w:rFonts w:ascii="맑은 고딕" w:hAnsi="맑은 고딕" w:eastAsia="맑은 고딕"/>
          <w:b w:val="0"/>
          <w:sz w:val="22"/>
        </w:rPr>
        <w:t>IT보안팀 비용은 130백만 원에서 160백만 원으로 23.1% 증가하여 전 부서 중 가장 높은 증가율을 기록하였다. ISMS 인증 취득(PRJ-2026-02) 추진에 따른 외부 컨설팅 계약 및 인증 심사 비용이 3분기 중 집중 집행된 결과이며, 심사 일정상 4분기 초까지 유사 수준의 비용이 이어질 것으로 예상된다.</w:t>
      </w:r>
    </w:p>
    <w:p>
      <w:pPr>
        <w:spacing w:line="312" w:lineRule="auto" w:after="160"/>
      </w:pPr>
      <w:r>
        <w:rPr>
          <w:rFonts w:ascii="맑은 고딕" w:hAnsi="맑은 고딕" w:eastAsia="맑은 고딕"/>
          <w:b w:val="0"/>
          <w:sz w:val="22"/>
        </w:rPr>
        <w:t>재무회계팀(+3.6%), 인사팀(+1.7%), CS팀(+1.9%), 법무팀(+4.8%)은 인건비 자연 증가분 외 특이 사항 없이 전분기와 유사한 비용 수준을 유지하였다. 전사 매출 증가율(10.4%)이 전사 비용 증가율(9.2%)을 상회하면서 영업이익률이 11.0%에서 12.0%로 1.0%p 개선되었다.</w:t>
      </w:r>
    </w:p>
    <w:p>
      <w:pPr>
        <w:spacing w:line="312" w:lineRule="auto" w:after="160"/>
      </w:pPr>
      <w:r>
        <w:rPr>
          <w:rFonts w:ascii="맑은 고딕" w:hAnsi="맑은 고딕" w:eastAsia="맑은 고딕"/>
          <w:b w:val="0"/>
          <w:sz w:val="22"/>
        </w:rPr>
        <w:t>부서별 인건비·운영비 breakdown 관점에서 보면, IT보안팀과 영업팀의 비용 증가는 인건비가 아닌 외주비·운영비 항목에서 집중적으로 발생한 것으로 확인되어, 해당 증가분은 인력 증원에 따른 고정비 성격이 아니라 프로젝트 종료 시점에 맞춰 축소될 수 있는 변동비 성격이 강하다는 점에서 4분기 이후 비용 정상화 여지가 있는 것으로 평가된다.</w:t>
      </w:r>
    </w:p>
    <w:p>
      <w:r>
        <w:rPr>
          <w:rFonts w:ascii="맑은 고딕" w:hAnsi="맑은 고딕" w:eastAsia="맑은 고딕"/>
          <w:b/>
          <w:color w:val="1F3864"/>
          <w:sz w:val="26"/>
        </w:rPr>
        <w:t>8. 전년동기(YoY) 대비 실적 분석</w:t>
      </w:r>
    </w:p>
    <w:p>
      <w:pPr>
        <w:spacing w:line="312" w:lineRule="auto" w:after="160"/>
      </w:pPr>
      <w:r>
        <w:rPr>
          <w:rFonts w:ascii="맑은 고딕" w:hAnsi="맑은 고딕" w:eastAsia="맑은 고딕"/>
          <w:b w:val="0"/>
          <w:sz w:val="22"/>
        </w:rPr>
        <w:t>2025년 3분기와 비교하면 매출은 13억 2천만 원에서 18억 원으로 36.4% 증가하였고, 영업이익은 1억 2,500만 원에서 2억 1,600만 원으로 72.8% 증가하였다. 영업이익률은 9.5%에서 12.0%로 2.5%p 개선되어, 외형 성장과 수익성 개선이 동시에 이루어진 한 해였음을 보여준다.</w:t>
      </w:r>
    </w:p>
    <w:p>
      <w:pPr>
        <w:spacing w:line="312" w:lineRule="auto" w:after="160"/>
      </w:pPr>
      <w:r>
        <w:rPr>
          <w:rFonts w:ascii="맑은 고딕" w:hAnsi="맑은 고딕" w:eastAsia="맑은 고딕"/>
          <w:b w:val="0"/>
          <w:sz w:val="22"/>
        </w:rPr>
        <w:t>전년동기 대비 비용 증가율은 32.6%(1,195백만 원 → 1,584백만 원)로, 같은 기간 임직원 수가 약 40명에서 50명으로 확대된 점을 감안하면 인건비 증가가 비용 증가의 상당 부분을 설명한다. 특히 개발본부/R&amp;D의 AI팀 신설·증원과 IT보안팀 인력 확충(ISMS 인증 대응)이 전년 대비 비용 구조 변화의 주된 요인으로 분석된다.</w:t>
      </w:r>
    </w:p>
    <w:p>
      <w:pPr>
        <w:spacing w:line="312" w:lineRule="auto" w:after="160"/>
      </w:pPr>
      <w:r>
        <w:rPr>
          <w:rFonts w:ascii="맑은 고딕" w:hAnsi="맑은 고딕" w:eastAsia="맑은 고딕"/>
          <w:b w:val="0"/>
          <w:sz w:val="22"/>
        </w:rPr>
        <w:t>매출 성장률(36.4%)이 비용 증가율(32.6%)을 상회함에 따라 영업레버리지 효과가 나타났으며, 이는 네오보드 3.0 리뉴얼에 따른 기존 고객 단가 상승과 AI 요약 애드온 신규 매출 창출이 인력 증가분 대비 더 큰 폭으로 매출에 기여했음을 시사한다.</w:t>
      </w:r>
    </w:p>
    <w:p>
      <w:pPr>
        <w:spacing w:line="312" w:lineRule="auto" w:after="160"/>
      </w:pPr>
      <w:r>
        <w:rPr>
          <w:rFonts w:ascii="맑은 고딕" w:hAnsi="맑은 고딕" w:eastAsia="맑은 고딕"/>
          <w:b w:val="0"/>
          <w:sz w:val="22"/>
        </w:rPr>
        <w:t>제품 라인 관점에서도 전년동기에는 존재하지 않았던 엔터프라이즈 플랜 및 AI 요약 애드온이 3분기 매출의 상당 부분을 차지하고 있어, 지난 1년간 제품 포트폴리오 고도화가 매출 성장의 질적 개선에 크게 기여한 것으로 평가된다. 지역별로도 전년동기 해외 매출은 사실상 전무했던 반면, 3분기에는 일본 매출이 전체의 10%까지 성장하여 신규 성장축이 형성되었다.</w:t>
      </w:r>
    </w:p>
    <w:p>
      <w:pPr>
        <w:spacing w:line="312" w:lineRule="auto" w:after="160"/>
      </w:pPr>
      <w:r>
        <w:rPr>
          <w:rFonts w:ascii="맑은 고딕" w:hAnsi="맑은 고딕" w:eastAsia="맑은 고딕"/>
          <w:b w:val="0"/>
          <w:sz w:val="22"/>
        </w:rPr>
        <w:t>다만 일본 진출 및 ISMS 인증 관련 일회성·초기 투자 비용이 3분기에 집중된 측면이 있어, 4분기 이후에도 현재의 영업이익률 개선 추세가 그대로 유지될지는 프로젝트 진행 상황을 지속적으로 모니터링할 필요가 있다.</w:t>
      </w:r>
    </w:p>
    <w:p>
      <w:r>
        <w:rPr>
          <w:rFonts w:ascii="맑은 고딕" w:hAnsi="맑은 고딕" w:eastAsia="맑은 고딕"/>
          <w:b/>
          <w:color w:val="1F3864"/>
          <w:sz w:val="26"/>
        </w:rPr>
        <w:t>9. 현금흐름 요약</w:t>
      </w:r>
    </w:p>
    <w:p>
      <w:pPr>
        <w:spacing w:line="312" w:lineRule="auto" w:after="160"/>
      </w:pPr>
      <w:r>
        <w:rPr>
          <w:rFonts w:ascii="맑은 고딕" w:hAnsi="맑은 고딕" w:eastAsia="맑은 고딕"/>
          <w:b w:val="0"/>
          <w:sz w:val="22"/>
        </w:rPr>
        <w:t>3분기 영업활동현금흐름은 240백만 원으로 전분기 165백만 원 대비 45.5% 증가하였다. 이는 영업이익 증가(+20.0%)뿐 아니라 매출채권 회수 기간 단축 및 구독료 선결제 고객 비중 확대에 따른 운전자본 개선 효과가 함께 반영된 결과이다.</w:t>
      </w:r>
    </w:p>
    <w:p>
      <w:pPr>
        <w:spacing w:line="312" w:lineRule="auto" w:after="160"/>
      </w:pPr>
      <w:r>
        <w:rPr>
          <w:rFonts w:ascii="맑은 고딕" w:hAnsi="맑은 고딕" w:eastAsia="맑은 고딕"/>
          <w:b w:val="0"/>
          <w:sz w:val="22"/>
        </w:rPr>
        <w:t>투자활동현금흐름은 -95백만 원으로 전분기 -80백만 원 대비 유출 규모가 확대되었다. 이는 개발본부/R&amp;D의 클라우드 인프라 증설 및 IT보안팀의 ISMS 인증 관련 보안 솔루션 도입 비용이 반영된 데 기인하며, 두 항목 모두 4분기 중 상당 부분 마무리될 예정이다.</w:t>
      </w:r>
    </w:p>
    <w:p>
      <w:pPr>
        <w:spacing w:line="312" w:lineRule="auto" w:after="160"/>
      </w:pPr>
      <w:r>
        <w:rPr>
          <w:rFonts w:ascii="맑은 고딕" w:hAnsi="맑은 고딕" w:eastAsia="맑은 고딕"/>
          <w:b w:val="0"/>
          <w:sz w:val="22"/>
        </w:rPr>
        <w:t>재무활동현금흐름은 -15백만 원으로 임차보증금 조정 및 소액 리스료 상환분이 반영되었으며, 전분기(-10백만 원) 대비 큰 변동은 없었다.</w:t>
      </w:r>
    </w:p>
    <w:p>
      <w:pPr>
        <w:spacing w:line="312" w:lineRule="auto" w:after="160"/>
      </w:pPr>
      <w:r>
        <w:rPr>
          <w:rFonts w:ascii="맑은 고딕" w:hAnsi="맑은 고딕" w:eastAsia="맑은 고딕"/>
          <w:b w:val="0"/>
          <w:sz w:val="22"/>
        </w:rPr>
        <w:t>위 세 항목을 종합한 3분기 순현금증감은 +130백만 원으로, 기초 현금성자산 695백만 원에서 기말 현금성자산 825백만 원으로 증가하였다. 영업이익 성장이 실제 현금 창출로 견조하게 이어지고 있어, 4분기 일본 법인 설립 검토 등 투자 소요에도 안정적으로 대응 가능한 재무 여력을 확보한 것으로 평가된다.</w:t>
      </w:r>
    </w:p>
    <w:p>
      <w:pPr>
        <w:spacing w:line="312" w:lineRule="auto" w:after="160"/>
      </w:pPr>
      <w:r>
        <w:rPr>
          <w:rFonts w:ascii="맑은 고딕" w:hAnsi="맑은 고딕" w:eastAsia="맑은 고딕"/>
          <w:b w:val="0"/>
          <w:sz w:val="22"/>
        </w:rPr>
        <w:t>아래 표는 2분기 및 3분기 현금흐름 항목을 요약한 것이다.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구분</w:t>
            </w:r>
          </w:p>
        </w:tc>
        <w:tc>
          <w:tcPr>
            <w:tcW w:type="dxa" w:w="2880"/>
            <w:shd w:val="clear" w:color="auto" w:fill="1F3864"/>
          </w:tcPr>
          <w:p>
            <w:pPr>
              <w:jc w:val="center"/>
            </w:pPr>
            <w:r>
              <w:rPr>
                <w:rFonts w:ascii="맑은 고딕" w:hAnsi="맑은 고딕" w:eastAsia="맑은 고딕"/>
                <w:b/>
                <w:color w:val="FFFFFF"/>
                <w:sz w:val="20"/>
              </w:rPr>
              <w:t>전분기(2분기, 백만 원)</w:t>
            </w:r>
          </w:p>
        </w:tc>
        <w:tc>
          <w:tcPr>
            <w:tcW w:type="dxa" w:w="2880"/>
            <w:shd w:val="clear" w:color="auto" w:fill="1F3864"/>
          </w:tcPr>
          <w:p>
            <w:pPr>
              <w:jc w:val="center"/>
            </w:pPr>
            <w:r>
              <w:rPr>
                <w:rFonts w:ascii="맑은 고딕" w:hAnsi="맑은 고딕" w:eastAsia="맑은 고딕"/>
                <w:b/>
                <w:color w:val="FFFFFF"/>
                <w:sz w:val="20"/>
              </w:rPr>
              <w:t>이번분기(3분기, 백만 원)</w:t>
            </w:r>
          </w:p>
        </w:tc>
      </w:tr>
      <w:tr>
        <w:tc>
          <w:tcPr>
            <w:tcW w:type="dxa" w:w="2880"/>
          </w:tcPr>
          <w:p>
            <w:r>
              <w:rPr>
                <w:rFonts w:ascii="맑은 고딕" w:hAnsi="맑은 고딕" w:eastAsia="맑은 고딕"/>
                <w:b w:val="0"/>
                <w:sz w:val="20"/>
              </w:rPr>
              <w:t>영업활동현금흐름</w:t>
            </w:r>
          </w:p>
        </w:tc>
        <w:tc>
          <w:tcPr>
            <w:tcW w:type="dxa" w:w="2880"/>
          </w:tcPr>
          <w:p>
            <w:r>
              <w:rPr>
                <w:rFonts w:ascii="맑은 고딕" w:hAnsi="맑은 고딕" w:eastAsia="맑은 고딕"/>
                <w:b w:val="0"/>
                <w:sz w:val="20"/>
              </w:rPr>
              <w:t>165</w:t>
            </w:r>
          </w:p>
        </w:tc>
        <w:tc>
          <w:tcPr>
            <w:tcW w:type="dxa" w:w="2880"/>
          </w:tcPr>
          <w:p>
            <w:r>
              <w:rPr>
                <w:rFonts w:ascii="맑은 고딕" w:hAnsi="맑은 고딕" w:eastAsia="맑은 고딕"/>
                <w:b w:val="0"/>
                <w:sz w:val="20"/>
              </w:rPr>
              <w:t>240</w:t>
            </w:r>
          </w:p>
        </w:tc>
      </w:tr>
      <w:tr>
        <w:tc>
          <w:tcPr>
            <w:tcW w:type="dxa" w:w="2880"/>
            <w:shd w:val="clear" w:color="auto" w:fill="F2F2F2"/>
          </w:tcPr>
          <w:p>
            <w:r>
              <w:rPr>
                <w:rFonts w:ascii="맑은 고딕" w:hAnsi="맑은 고딕" w:eastAsia="맑은 고딕"/>
                <w:b w:val="0"/>
                <w:sz w:val="20"/>
              </w:rPr>
              <w:t>투자활동현금흐름</w:t>
            </w:r>
          </w:p>
        </w:tc>
        <w:tc>
          <w:tcPr>
            <w:tcW w:type="dxa" w:w="2880"/>
            <w:shd w:val="clear" w:color="auto" w:fill="F2F2F2"/>
          </w:tcPr>
          <w:p>
            <w:r>
              <w:rPr>
                <w:rFonts w:ascii="맑은 고딕" w:hAnsi="맑은 고딕" w:eastAsia="맑은 고딕"/>
                <w:b w:val="0"/>
                <w:sz w:val="20"/>
              </w:rPr>
              <w:t>-80</w:t>
            </w:r>
          </w:p>
        </w:tc>
        <w:tc>
          <w:tcPr>
            <w:tcW w:type="dxa" w:w="2880"/>
            <w:shd w:val="clear" w:color="auto" w:fill="F2F2F2"/>
          </w:tcPr>
          <w:p>
            <w:r>
              <w:rPr>
                <w:rFonts w:ascii="맑은 고딕" w:hAnsi="맑은 고딕" w:eastAsia="맑은 고딕"/>
                <w:b w:val="0"/>
                <w:sz w:val="20"/>
              </w:rPr>
              <w:t>-95</w:t>
            </w:r>
          </w:p>
        </w:tc>
      </w:tr>
      <w:tr>
        <w:tc>
          <w:tcPr>
            <w:tcW w:type="dxa" w:w="2880"/>
          </w:tcPr>
          <w:p>
            <w:r>
              <w:rPr>
                <w:rFonts w:ascii="맑은 고딕" w:hAnsi="맑은 고딕" w:eastAsia="맑은 고딕"/>
                <w:b w:val="0"/>
                <w:sz w:val="20"/>
              </w:rPr>
              <w:t>재무활동현금흐름</w:t>
            </w:r>
          </w:p>
        </w:tc>
        <w:tc>
          <w:tcPr>
            <w:tcW w:type="dxa" w:w="2880"/>
          </w:tcPr>
          <w:p>
            <w:r>
              <w:rPr>
                <w:rFonts w:ascii="맑은 고딕" w:hAnsi="맑은 고딕" w:eastAsia="맑은 고딕"/>
                <w:b w:val="0"/>
                <w:sz w:val="20"/>
              </w:rPr>
              <w:t>-10</w:t>
            </w:r>
          </w:p>
        </w:tc>
        <w:tc>
          <w:tcPr>
            <w:tcW w:type="dxa" w:w="2880"/>
          </w:tcPr>
          <w:p>
            <w:r>
              <w:rPr>
                <w:rFonts w:ascii="맑은 고딕" w:hAnsi="맑은 고딕" w:eastAsia="맑은 고딕"/>
                <w:b w:val="0"/>
                <w:sz w:val="20"/>
              </w:rPr>
              <w:t>-15</w:t>
            </w:r>
          </w:p>
        </w:tc>
      </w:tr>
      <w:tr>
        <w:tc>
          <w:tcPr>
            <w:tcW w:type="dxa" w:w="2880"/>
            <w:shd w:val="clear" w:color="auto" w:fill="F2F2F2"/>
          </w:tcPr>
          <w:p>
            <w:r>
              <w:rPr>
                <w:rFonts w:ascii="맑은 고딕" w:hAnsi="맑은 고딕" w:eastAsia="맑은 고딕"/>
                <w:b w:val="0"/>
                <w:sz w:val="20"/>
              </w:rPr>
              <w:t>순현금증감</w:t>
            </w:r>
          </w:p>
        </w:tc>
        <w:tc>
          <w:tcPr>
            <w:tcW w:type="dxa" w:w="2880"/>
            <w:shd w:val="clear" w:color="auto" w:fill="F2F2F2"/>
          </w:tcPr>
          <w:p>
            <w:r>
              <w:rPr>
                <w:rFonts w:ascii="맑은 고딕" w:hAnsi="맑은 고딕" w:eastAsia="맑은 고딕"/>
                <w:b w:val="0"/>
                <w:sz w:val="20"/>
              </w:rPr>
              <w:t>75</w:t>
            </w:r>
          </w:p>
        </w:tc>
        <w:tc>
          <w:tcPr>
            <w:tcW w:type="dxa" w:w="2880"/>
            <w:shd w:val="clear" w:color="auto" w:fill="F2F2F2"/>
          </w:tcPr>
          <w:p>
            <w:r>
              <w:rPr>
                <w:rFonts w:ascii="맑은 고딕" w:hAnsi="맑은 고딕" w:eastAsia="맑은 고딕"/>
                <w:b w:val="0"/>
                <w:sz w:val="20"/>
              </w:rPr>
              <w:t>130</w:t>
            </w:r>
          </w:p>
        </w:tc>
      </w:tr>
      <w:tr>
        <w:tc>
          <w:tcPr>
            <w:tcW w:type="dxa" w:w="2880"/>
          </w:tcPr>
          <w:p>
            <w:r>
              <w:rPr>
                <w:rFonts w:ascii="맑은 고딕" w:hAnsi="맑은 고딕" w:eastAsia="맑은 고딕"/>
                <w:b w:val="0"/>
                <w:sz w:val="20"/>
              </w:rPr>
              <w:t>기초 현금성자산</w:t>
            </w:r>
          </w:p>
        </w:tc>
        <w:tc>
          <w:tcPr>
            <w:tcW w:type="dxa" w:w="2880"/>
          </w:tcPr>
          <w:p>
            <w:r>
              <w:rPr>
                <w:rFonts w:ascii="맑은 고딕" w:hAnsi="맑은 고딕" w:eastAsia="맑은 고딕"/>
                <w:b w:val="0"/>
                <w:sz w:val="20"/>
              </w:rPr>
              <w:t>620</w:t>
            </w:r>
          </w:p>
        </w:tc>
        <w:tc>
          <w:tcPr>
            <w:tcW w:type="dxa" w:w="2880"/>
          </w:tcPr>
          <w:p>
            <w:r>
              <w:rPr>
                <w:rFonts w:ascii="맑은 고딕" w:hAnsi="맑은 고딕" w:eastAsia="맑은 고딕"/>
                <w:b w:val="0"/>
                <w:sz w:val="20"/>
              </w:rPr>
              <w:t>695</w:t>
            </w:r>
          </w:p>
        </w:tc>
      </w:tr>
      <w:tr>
        <w:tc>
          <w:tcPr>
            <w:tcW w:type="dxa" w:w="2880"/>
            <w:shd w:val="clear" w:color="auto" w:fill="F2F2F2"/>
          </w:tcPr>
          <w:p>
            <w:r>
              <w:rPr>
                <w:rFonts w:ascii="맑은 고딕" w:hAnsi="맑은 고딕" w:eastAsia="맑은 고딕"/>
                <w:b w:val="0"/>
                <w:sz w:val="20"/>
              </w:rPr>
              <w:t>기말 현금성자산</w:t>
            </w:r>
          </w:p>
        </w:tc>
        <w:tc>
          <w:tcPr>
            <w:tcW w:type="dxa" w:w="2880"/>
            <w:shd w:val="clear" w:color="auto" w:fill="F2F2F2"/>
          </w:tcPr>
          <w:p>
            <w:r>
              <w:rPr>
                <w:rFonts w:ascii="맑은 고딕" w:hAnsi="맑은 고딕" w:eastAsia="맑은 고딕"/>
                <w:b w:val="0"/>
                <w:sz w:val="20"/>
              </w:rPr>
              <w:t>695</w:t>
            </w:r>
          </w:p>
        </w:tc>
        <w:tc>
          <w:tcPr>
            <w:tcW w:type="dxa" w:w="2880"/>
            <w:shd w:val="clear" w:color="auto" w:fill="F2F2F2"/>
          </w:tcPr>
          <w:p>
            <w:r>
              <w:rPr>
                <w:rFonts w:ascii="맑은 고딕" w:hAnsi="맑은 고딕" w:eastAsia="맑은 고딕"/>
                <w:b w:val="0"/>
                <w:sz w:val="20"/>
              </w:rPr>
              <w:t>825</w:t>
            </w:r>
          </w:p>
        </w:tc>
      </w:tr>
    </w:tbl>
    <w:p/>
    <w:p>
      <w:r>
        <w:rPr>
          <w:rFonts w:ascii="맑은 고딕" w:hAnsi="맑은 고딕" w:eastAsia="맑은 고딕"/>
          <w:b/>
          <w:color w:val="1F3864"/>
          <w:sz w:val="26"/>
        </w:rPr>
        <w:t>10. 주요 KPI 트렌드(신규고객·해지율·ARPU)</w:t>
      </w:r>
    </w:p>
    <w:p>
      <w:pPr>
        <w:spacing w:line="312" w:lineRule="auto" w:after="160"/>
      </w:pPr>
      <w:r>
        <w:rPr>
          <w:rFonts w:ascii="맑은 고딕" w:hAnsi="맑은 고딕" w:eastAsia="맑은 고딕"/>
          <w:b w:val="0"/>
          <w:sz w:val="22"/>
        </w:rPr>
        <w:t>매출·비용 지표 외에 사업의 질적 성장을 나타내는 핵심 KPI를 2025년 4분기부터 2026년 3분기까지 4개 분기 연속으로 추적한 결과, 전 지표에서 뚜렷한 개선 추세가 확인되었다. 총 유료 고객사 수는 2025년 4분기 148개사에서 2026년 3분기 193개사로 4개 분기 동안 30.4% 증가하였다.</w:t>
      </w:r>
    </w:p>
    <w:p>
      <w:pPr>
        <w:spacing w:line="312" w:lineRule="auto" w:after="160"/>
      </w:pPr>
      <w:r>
        <w:rPr>
          <w:rFonts w:ascii="맑은 고딕" w:hAnsi="맑은 고딕" w:eastAsia="맑은 고딕"/>
          <w:b w:val="0"/>
          <w:sz w:val="22"/>
        </w:rPr>
        <w:t>분기별 순증 고객사 수는 2026년 1분기 +12개사, 2분기 +15개사, 3분기 +18개사로 매 분기 순증 규모가 확대되는 추세이며, 이는 네오보드 3.0 리뉴얼 및 AI 요약 기능 출시에 따른 제품 경쟁력 강화가 신규 영업 성과로 이어지고 있음을 보여준다.</w:t>
      </w:r>
    </w:p>
    <w:p>
      <w:pPr>
        <w:spacing w:line="312" w:lineRule="auto" w:after="160"/>
      </w:pPr>
      <w:r>
        <w:rPr>
          <w:rFonts w:ascii="맑은 고딕" w:hAnsi="맑은 고딕" w:eastAsia="맑은 고딕"/>
          <w:b w:val="0"/>
          <w:sz w:val="22"/>
        </w:rPr>
        <w:t>해지율(Churn Rate)은 2025년 4분기 3.2%에서 2026년 3분기 2.1%로 4개 분기 연속 하락하였다. CS팀의 고객 성공(Customer Success) 프로그램 강화와 유지보수·기술지원 매출 확대가 고객 유지율 개선에 긍정적으로 작용한 것으로 분석된다.</w:t>
      </w:r>
    </w:p>
    <w:p>
      <w:pPr>
        <w:spacing w:line="312" w:lineRule="auto" w:after="160"/>
      </w:pPr>
      <w:r>
        <w:rPr>
          <w:rFonts w:ascii="맑은 고딕" w:hAnsi="맑은 고딕" w:eastAsia="맑은 고딕"/>
          <w:b w:val="0"/>
          <w:sz w:val="22"/>
        </w:rPr>
        <w:t>분기 ARPU(고객사당 평균 구독 매출)는 2025년 4분기 512만 원에서 2026년 3분기 596만 원으로 16.4% 상승하였다. 이는 앞서 3절에서 다룬 제품 라인 믹스 개선(프로·엔터프라이즈 플랜 비중 확대)이 직접적으로 반영된 결과로, 고객사 수 증가와 ARPU 상승이 동시에 이루어지며 구독료 매출 성장을 이중으로 견인하고 있다.</w:t>
      </w:r>
    </w:p>
    <w:p>
      <w:pPr>
        <w:spacing w:line="312" w:lineRule="auto" w:after="160"/>
      </w:pPr>
      <w:r>
        <w:rPr>
          <w:rFonts w:ascii="맑은 고딕" w:hAnsi="맑은 고딕" w:eastAsia="맑은 고딕"/>
          <w:b w:val="0"/>
          <w:sz w:val="22"/>
        </w:rPr>
        <w:t>아래 표는 4개 분기에 걸친 주요 KPI 추이를 정리한 것이다.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지표</w:t>
            </w:r>
          </w:p>
        </w:tc>
        <w:tc>
          <w:tcPr>
            <w:tcW w:type="dxa" w:w="1728"/>
            <w:shd w:val="clear" w:color="auto" w:fill="1F3864"/>
          </w:tcPr>
          <w:p>
            <w:pPr>
              <w:jc w:val="center"/>
            </w:pPr>
            <w:r>
              <w:rPr>
                <w:rFonts w:ascii="맑은 고딕" w:hAnsi="맑은 고딕" w:eastAsia="맑은 고딕"/>
                <w:b/>
                <w:color w:val="FFFFFF"/>
                <w:sz w:val="20"/>
              </w:rPr>
              <w:t>2025년 4분기</w:t>
            </w:r>
          </w:p>
        </w:tc>
        <w:tc>
          <w:tcPr>
            <w:tcW w:type="dxa" w:w="1728"/>
            <w:shd w:val="clear" w:color="auto" w:fill="1F3864"/>
          </w:tcPr>
          <w:p>
            <w:pPr>
              <w:jc w:val="center"/>
            </w:pPr>
            <w:r>
              <w:rPr>
                <w:rFonts w:ascii="맑은 고딕" w:hAnsi="맑은 고딕" w:eastAsia="맑은 고딕"/>
                <w:b/>
                <w:color w:val="FFFFFF"/>
                <w:sz w:val="20"/>
              </w:rPr>
              <w:t>2026년 1분기</w:t>
            </w:r>
          </w:p>
        </w:tc>
        <w:tc>
          <w:tcPr>
            <w:tcW w:type="dxa" w:w="1728"/>
            <w:shd w:val="clear" w:color="auto" w:fill="1F3864"/>
          </w:tcPr>
          <w:p>
            <w:pPr>
              <w:jc w:val="center"/>
            </w:pPr>
            <w:r>
              <w:rPr>
                <w:rFonts w:ascii="맑은 고딕" w:hAnsi="맑은 고딕" w:eastAsia="맑은 고딕"/>
                <w:b/>
                <w:color w:val="FFFFFF"/>
                <w:sz w:val="20"/>
              </w:rPr>
              <w:t>2026년 2분기</w:t>
            </w:r>
          </w:p>
        </w:tc>
        <w:tc>
          <w:tcPr>
            <w:tcW w:type="dxa" w:w="1728"/>
            <w:shd w:val="clear" w:color="auto" w:fill="1F3864"/>
          </w:tcPr>
          <w:p>
            <w:pPr>
              <w:jc w:val="center"/>
            </w:pPr>
            <w:r>
              <w:rPr>
                <w:rFonts w:ascii="맑은 고딕" w:hAnsi="맑은 고딕" w:eastAsia="맑은 고딕"/>
                <w:b/>
                <w:color w:val="FFFFFF"/>
                <w:sz w:val="20"/>
              </w:rPr>
              <w:t>2026년 3분기</w:t>
            </w:r>
          </w:p>
        </w:tc>
      </w:tr>
      <w:tr>
        <w:tc>
          <w:tcPr>
            <w:tcW w:type="dxa" w:w="1728"/>
          </w:tcPr>
          <w:p>
            <w:r>
              <w:rPr>
                <w:rFonts w:ascii="맑은 고딕" w:hAnsi="맑은 고딕" w:eastAsia="맑은 고딕"/>
                <w:b w:val="0"/>
                <w:sz w:val="20"/>
              </w:rPr>
              <w:t>총 유료 고객사 수(개사)</w:t>
            </w:r>
          </w:p>
        </w:tc>
        <w:tc>
          <w:tcPr>
            <w:tcW w:type="dxa" w:w="1728"/>
          </w:tcPr>
          <w:p>
            <w:r>
              <w:rPr>
                <w:rFonts w:ascii="맑은 고딕" w:hAnsi="맑은 고딕" w:eastAsia="맑은 고딕"/>
                <w:b w:val="0"/>
                <w:sz w:val="20"/>
              </w:rPr>
              <w:t>148</w:t>
            </w:r>
          </w:p>
        </w:tc>
        <w:tc>
          <w:tcPr>
            <w:tcW w:type="dxa" w:w="1728"/>
          </w:tcPr>
          <w:p>
            <w:r>
              <w:rPr>
                <w:rFonts w:ascii="맑은 고딕" w:hAnsi="맑은 고딕" w:eastAsia="맑은 고딕"/>
                <w:b w:val="0"/>
                <w:sz w:val="20"/>
              </w:rPr>
              <w:t>160</w:t>
            </w:r>
          </w:p>
        </w:tc>
        <w:tc>
          <w:tcPr>
            <w:tcW w:type="dxa" w:w="1728"/>
          </w:tcPr>
          <w:p>
            <w:r>
              <w:rPr>
                <w:rFonts w:ascii="맑은 고딕" w:hAnsi="맑은 고딕" w:eastAsia="맑은 고딕"/>
                <w:b w:val="0"/>
                <w:sz w:val="20"/>
              </w:rPr>
              <w:t>175</w:t>
            </w:r>
          </w:p>
        </w:tc>
        <w:tc>
          <w:tcPr>
            <w:tcW w:type="dxa" w:w="1728"/>
          </w:tcPr>
          <w:p>
            <w:r>
              <w:rPr>
                <w:rFonts w:ascii="맑은 고딕" w:hAnsi="맑은 고딕" w:eastAsia="맑은 고딕"/>
                <w:b w:val="0"/>
                <w:sz w:val="20"/>
              </w:rPr>
              <w:t>193</w:t>
            </w:r>
          </w:p>
        </w:tc>
      </w:tr>
      <w:tr>
        <w:tc>
          <w:tcPr>
            <w:tcW w:type="dxa" w:w="1728"/>
            <w:shd w:val="clear" w:color="auto" w:fill="F2F2F2"/>
          </w:tcPr>
          <w:p>
            <w:r>
              <w:rPr>
                <w:rFonts w:ascii="맑은 고딕" w:hAnsi="맑은 고딕" w:eastAsia="맑은 고딕"/>
                <w:b w:val="0"/>
                <w:sz w:val="20"/>
              </w:rPr>
              <w:t>신규 순증 고객사 수(개사)</w:t>
            </w:r>
          </w:p>
        </w:tc>
        <w:tc>
          <w:tcPr>
            <w:tcW w:type="dxa" w:w="1728"/>
            <w:shd w:val="clear" w:color="auto" w:fill="F2F2F2"/>
          </w:tcPr>
          <w:p>
            <w:r>
              <w:rPr>
                <w:rFonts w:ascii="맑은 고딕" w:hAnsi="맑은 고딕" w:eastAsia="맑은 고딕"/>
                <w:b w:val="0"/>
                <w:sz w:val="20"/>
              </w:rPr>
              <w:t>-</w:t>
            </w:r>
          </w:p>
        </w:tc>
        <w:tc>
          <w:tcPr>
            <w:tcW w:type="dxa" w:w="1728"/>
            <w:shd w:val="clear" w:color="auto" w:fill="F2F2F2"/>
          </w:tcPr>
          <w:p>
            <w:r>
              <w:rPr>
                <w:rFonts w:ascii="맑은 고딕" w:hAnsi="맑은 고딕" w:eastAsia="맑은 고딕"/>
                <w:b w:val="0"/>
                <w:sz w:val="20"/>
              </w:rPr>
              <w:t>+12</w:t>
            </w:r>
          </w:p>
        </w:tc>
        <w:tc>
          <w:tcPr>
            <w:tcW w:type="dxa" w:w="1728"/>
            <w:shd w:val="clear" w:color="auto" w:fill="F2F2F2"/>
          </w:tcPr>
          <w:p>
            <w:r>
              <w:rPr>
                <w:rFonts w:ascii="맑은 고딕" w:hAnsi="맑은 고딕" w:eastAsia="맑은 고딕"/>
                <w:b w:val="0"/>
                <w:sz w:val="20"/>
              </w:rPr>
              <w:t>+15</w:t>
            </w:r>
          </w:p>
        </w:tc>
        <w:tc>
          <w:tcPr>
            <w:tcW w:type="dxa" w:w="1728"/>
            <w:shd w:val="clear" w:color="auto" w:fill="F2F2F2"/>
          </w:tcPr>
          <w:p>
            <w:r>
              <w:rPr>
                <w:rFonts w:ascii="맑은 고딕" w:hAnsi="맑은 고딕" w:eastAsia="맑은 고딕"/>
                <w:b w:val="0"/>
                <w:sz w:val="20"/>
              </w:rPr>
              <w:t>+18</w:t>
            </w:r>
          </w:p>
        </w:tc>
      </w:tr>
      <w:tr>
        <w:tc>
          <w:tcPr>
            <w:tcW w:type="dxa" w:w="1728"/>
          </w:tcPr>
          <w:p>
            <w:r>
              <w:rPr>
                <w:rFonts w:ascii="맑은 고딕" w:hAnsi="맑은 고딕" w:eastAsia="맑은 고딕"/>
                <w:b w:val="0"/>
                <w:sz w:val="20"/>
              </w:rPr>
              <w:t>해지율(Churn Rate)</w:t>
            </w:r>
          </w:p>
        </w:tc>
        <w:tc>
          <w:tcPr>
            <w:tcW w:type="dxa" w:w="1728"/>
          </w:tcPr>
          <w:p>
            <w:r>
              <w:rPr>
                <w:rFonts w:ascii="맑은 고딕" w:hAnsi="맑은 고딕" w:eastAsia="맑은 고딕"/>
                <w:b w:val="0"/>
                <w:sz w:val="20"/>
              </w:rPr>
              <w:t>3.2%</w:t>
            </w:r>
          </w:p>
        </w:tc>
        <w:tc>
          <w:tcPr>
            <w:tcW w:type="dxa" w:w="1728"/>
          </w:tcPr>
          <w:p>
            <w:r>
              <w:rPr>
                <w:rFonts w:ascii="맑은 고딕" w:hAnsi="맑은 고딕" w:eastAsia="맑은 고딕"/>
                <w:b w:val="0"/>
                <w:sz w:val="20"/>
              </w:rPr>
              <w:t>2.9%</w:t>
            </w:r>
          </w:p>
        </w:tc>
        <w:tc>
          <w:tcPr>
            <w:tcW w:type="dxa" w:w="1728"/>
          </w:tcPr>
          <w:p>
            <w:r>
              <w:rPr>
                <w:rFonts w:ascii="맑은 고딕" w:hAnsi="맑은 고딕" w:eastAsia="맑은 고딕"/>
                <w:b w:val="0"/>
                <w:sz w:val="20"/>
              </w:rPr>
              <w:t>2.5%</w:t>
            </w:r>
          </w:p>
        </w:tc>
        <w:tc>
          <w:tcPr>
            <w:tcW w:type="dxa" w:w="1728"/>
          </w:tcPr>
          <w:p>
            <w:r>
              <w:rPr>
                <w:rFonts w:ascii="맑은 고딕" w:hAnsi="맑은 고딕" w:eastAsia="맑은 고딕"/>
                <w:b w:val="0"/>
                <w:sz w:val="20"/>
              </w:rPr>
              <w:t>2.1%</w:t>
            </w:r>
          </w:p>
        </w:tc>
      </w:tr>
      <w:tr>
        <w:tc>
          <w:tcPr>
            <w:tcW w:type="dxa" w:w="1728"/>
            <w:shd w:val="clear" w:color="auto" w:fill="F2F2F2"/>
          </w:tcPr>
          <w:p>
            <w:r>
              <w:rPr>
                <w:rFonts w:ascii="맑은 고딕" w:hAnsi="맑은 고딕" w:eastAsia="맑은 고딕"/>
                <w:b w:val="0"/>
                <w:sz w:val="20"/>
              </w:rPr>
              <w:t>분기 ARPU(만 원)</w:t>
            </w:r>
          </w:p>
        </w:tc>
        <w:tc>
          <w:tcPr>
            <w:tcW w:type="dxa" w:w="1728"/>
            <w:shd w:val="clear" w:color="auto" w:fill="F2F2F2"/>
          </w:tcPr>
          <w:p>
            <w:r>
              <w:rPr>
                <w:rFonts w:ascii="맑은 고딕" w:hAnsi="맑은 고딕" w:eastAsia="맑은 고딕"/>
                <w:b w:val="0"/>
                <w:sz w:val="20"/>
              </w:rPr>
              <w:t>512</w:t>
            </w:r>
          </w:p>
        </w:tc>
        <w:tc>
          <w:tcPr>
            <w:tcW w:type="dxa" w:w="1728"/>
            <w:shd w:val="clear" w:color="auto" w:fill="F2F2F2"/>
          </w:tcPr>
          <w:p>
            <w:r>
              <w:rPr>
                <w:rFonts w:ascii="맑은 고딕" w:hAnsi="맑은 고딕" w:eastAsia="맑은 고딕"/>
                <w:b w:val="0"/>
                <w:sz w:val="20"/>
              </w:rPr>
              <w:t>555</w:t>
            </w:r>
          </w:p>
        </w:tc>
        <w:tc>
          <w:tcPr>
            <w:tcW w:type="dxa" w:w="1728"/>
            <w:shd w:val="clear" w:color="auto" w:fill="F2F2F2"/>
          </w:tcPr>
          <w:p>
            <w:r>
              <w:rPr>
                <w:rFonts w:ascii="맑은 고딕" w:hAnsi="맑은 고딕" w:eastAsia="맑은 고딕"/>
                <w:b w:val="0"/>
                <w:sz w:val="20"/>
              </w:rPr>
              <w:t>600</w:t>
            </w:r>
          </w:p>
        </w:tc>
        <w:tc>
          <w:tcPr>
            <w:tcW w:type="dxa" w:w="1728"/>
            <w:shd w:val="clear" w:color="auto" w:fill="F2F2F2"/>
          </w:tcPr>
          <w:p>
            <w:r>
              <w:rPr>
                <w:rFonts w:ascii="맑은 고딕" w:hAnsi="맑은 고딕" w:eastAsia="맑은 고딕"/>
                <w:b w:val="0"/>
                <w:sz w:val="20"/>
              </w:rPr>
              <w:t>596</w:t>
            </w:r>
          </w:p>
        </w:tc>
      </w:tr>
    </w:tbl>
    <w:p/>
    <w:p>
      <w:r>
        <w:rPr>
          <w:rFonts w:ascii="맑은 고딕" w:hAnsi="맑은 고딕" w:eastAsia="맑은 고딕"/>
          <w:b/>
          <w:color w:val="1F3864"/>
          <w:sz w:val="26"/>
        </w:rPr>
        <w:t>11. 4분기 예산 대비 실적 전망 상세</w:t>
      </w:r>
    </w:p>
    <w:p>
      <w:pPr>
        <w:spacing w:line="312" w:lineRule="auto" w:after="160"/>
      </w:pPr>
      <w:r>
        <w:rPr>
          <w:rFonts w:ascii="맑은 고딕" w:hAnsi="맑은 고딕" w:eastAsia="맑은 고딕"/>
          <w:b w:val="0"/>
          <w:sz w:val="22"/>
        </w:rPr>
        <w:t>경영기획실이 상반기 중 수립한 2026년 4분기 예산과 3분기 실적 추세를 반영한 4분기 전망(잠정)을 비교하면, 매출은 예산 1,950백만 원 대비 전망 1,980백만 원으로 1.5% 상회할 것으로 예상되며, 영업이익은 예산 220백만 원 대비 전망 235백만 원으로 6.8% 상회할 것으로 전망된다.</w:t>
      </w:r>
    </w:p>
    <w:p>
      <w:pPr>
        <w:spacing w:line="312" w:lineRule="auto" w:after="160"/>
      </w:pPr>
      <w:r>
        <w:rPr>
          <w:rFonts w:ascii="맑은 고딕" w:hAnsi="맑은 고딕" w:eastAsia="맑은 고딕"/>
          <w:b w:val="0"/>
          <w:sz w:val="22"/>
        </w:rPr>
        <w:t>비용 측면에서는 개발본부/R&amp;D가 예산 640백만 원 대비 전망 650백만 원으로 소폭 초과가 예상되며, 이는 네오보드 3.0 정식 출시 일정에 따른 막바지 인력 투입 때문이다. 영업팀은 예산 300백만 원 대비 전망 320백만 원으로 초과폭이 상대적으로 큰데, 일본 현지 법인 설립 검토가 본격화되면서 추가 출장비·법률 자문비가 발생할 것으로 예상되기 때문이다.</w:t>
      </w:r>
    </w:p>
    <w:p>
      <w:pPr>
        <w:spacing w:line="312" w:lineRule="auto" w:after="160"/>
      </w:pPr>
      <w:r>
        <w:rPr>
          <w:rFonts w:ascii="맑은 고딕" w:hAnsi="맑은 고딕" w:eastAsia="맑은 고딕"/>
          <w:b w:val="0"/>
          <w:sz w:val="22"/>
        </w:rPr>
        <w:t>반면 IT보안팀은 ISMS 인증 심사가 4분기 초 완료될 것으로 예상됨에 따라 예산 140백만 원 대비 전망 135백만 원으로 예산 이내에서 집행될 것으로 보이며, 이는 3분기 중 외주비가 선반영된 데 따른 기저효과이다. 전사 총비용은 예산 1,730백만 원 대비 전망 1,745백만 원으로 0.9% 초과가 예상되나, 매출 초과 폭(1.5%)이 더 커 영업이익률은 예산 11.3% 대비 전망 11.9%로 오히려 개선될 것으로 예상된다.</w:t>
      </w:r>
    </w:p>
    <w:p>
      <w:pPr>
        <w:spacing w:line="312" w:lineRule="auto" w:after="160"/>
      </w:pPr>
      <w:r>
        <w:rPr>
          <w:rFonts w:ascii="맑은 고딕" w:hAnsi="맑은 고딕" w:eastAsia="맑은 고딕"/>
          <w:b w:val="0"/>
          <w:sz w:val="22"/>
        </w:rPr>
        <w:t>종합하면, 4분기는 예산 대비 매출·이익 모두 목표를 상회하는 흐름이 이어질 것으로 전망되나, 일본 법인 설립 및 ISMS 인증 후속 조치와 관련한 일부 비용 항목의 변동성은 지속적으로 모니터링이 필요하다. 아래 표는 4분기 예산 대비 전망 주요 항목을 정리한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항목</w:t>
            </w:r>
          </w:p>
        </w:tc>
        <w:tc>
          <w:tcPr>
            <w:tcW w:type="dxa" w:w="2160"/>
            <w:shd w:val="clear" w:color="auto" w:fill="1F3864"/>
          </w:tcPr>
          <w:p>
            <w:pPr>
              <w:jc w:val="center"/>
            </w:pPr>
            <w:r>
              <w:rPr>
                <w:rFonts w:ascii="맑은 고딕" w:hAnsi="맑은 고딕" w:eastAsia="맑은 고딕"/>
                <w:b/>
                <w:color w:val="FFFFFF"/>
                <w:sz w:val="20"/>
              </w:rPr>
              <w:t>4분기 예산(계획, 백만 원)</w:t>
            </w:r>
          </w:p>
        </w:tc>
        <w:tc>
          <w:tcPr>
            <w:tcW w:type="dxa" w:w="2160"/>
            <w:shd w:val="clear" w:color="auto" w:fill="1F3864"/>
          </w:tcPr>
          <w:p>
            <w:pPr>
              <w:jc w:val="center"/>
            </w:pPr>
            <w:r>
              <w:rPr>
                <w:rFonts w:ascii="맑은 고딕" w:hAnsi="맑은 고딕" w:eastAsia="맑은 고딕"/>
                <w:b/>
                <w:color w:val="FFFFFF"/>
                <w:sz w:val="20"/>
              </w:rPr>
              <w:t>4분기 전망(잠정, 백만 원)</w:t>
            </w:r>
          </w:p>
        </w:tc>
        <w:tc>
          <w:tcPr>
            <w:tcW w:type="dxa" w:w="2160"/>
            <w:shd w:val="clear" w:color="auto" w:fill="1F3864"/>
          </w:tcPr>
          <w:p>
            <w:pPr>
              <w:jc w:val="center"/>
            </w:pPr>
            <w:r>
              <w:rPr>
                <w:rFonts w:ascii="맑은 고딕" w:hAnsi="맑은 고딕" w:eastAsia="맑은 고딕"/>
                <w:b/>
                <w:color w:val="FFFFFF"/>
                <w:sz w:val="20"/>
              </w:rPr>
              <w:t>달성률/비고</w:t>
            </w:r>
          </w:p>
        </w:tc>
      </w:tr>
      <w:tr>
        <w:tc>
          <w:tcPr>
            <w:tcW w:type="dxa" w:w="2160"/>
          </w:tcPr>
          <w:p>
            <w:r>
              <w:rPr>
                <w:rFonts w:ascii="맑은 고딕" w:hAnsi="맑은 고딕" w:eastAsia="맑은 고딕"/>
                <w:b w:val="0"/>
                <w:sz w:val="20"/>
              </w:rPr>
              <w:t>매출</w:t>
            </w:r>
          </w:p>
        </w:tc>
        <w:tc>
          <w:tcPr>
            <w:tcW w:type="dxa" w:w="2160"/>
          </w:tcPr>
          <w:p>
            <w:r>
              <w:rPr>
                <w:rFonts w:ascii="맑은 고딕" w:hAnsi="맑은 고딕" w:eastAsia="맑은 고딕"/>
                <w:b w:val="0"/>
                <w:sz w:val="20"/>
              </w:rPr>
              <w:t>1,950</w:t>
            </w:r>
          </w:p>
        </w:tc>
        <w:tc>
          <w:tcPr>
            <w:tcW w:type="dxa" w:w="2160"/>
          </w:tcPr>
          <w:p>
            <w:r>
              <w:rPr>
                <w:rFonts w:ascii="맑은 고딕" w:hAnsi="맑은 고딕" w:eastAsia="맑은 고딕"/>
                <w:b w:val="0"/>
                <w:sz w:val="20"/>
              </w:rPr>
              <w:t>1,980</w:t>
            </w:r>
          </w:p>
        </w:tc>
        <w:tc>
          <w:tcPr>
            <w:tcW w:type="dxa" w:w="2160"/>
          </w:tcPr>
          <w:p>
            <w:r>
              <w:rPr>
                <w:rFonts w:ascii="맑은 고딕" w:hAnsi="맑은 고딕" w:eastAsia="맑은 고딕"/>
                <w:b w:val="0"/>
                <w:sz w:val="20"/>
              </w:rPr>
              <w:t>101.5%</w:t>
            </w:r>
          </w:p>
        </w:tc>
      </w:tr>
      <w:tr>
        <w:tc>
          <w:tcPr>
            <w:tcW w:type="dxa" w:w="2160"/>
            <w:shd w:val="clear" w:color="auto" w:fill="F2F2F2"/>
          </w:tcPr>
          <w:p>
            <w:r>
              <w:rPr>
                <w:rFonts w:ascii="맑은 고딕" w:hAnsi="맑은 고딕" w:eastAsia="맑은 고딕"/>
                <w:b w:val="0"/>
                <w:sz w:val="20"/>
              </w:rPr>
              <w:t>개발본부/R&amp;D 비용</w:t>
            </w:r>
          </w:p>
        </w:tc>
        <w:tc>
          <w:tcPr>
            <w:tcW w:type="dxa" w:w="2160"/>
            <w:shd w:val="clear" w:color="auto" w:fill="F2F2F2"/>
          </w:tcPr>
          <w:p>
            <w:r>
              <w:rPr>
                <w:rFonts w:ascii="맑은 고딕" w:hAnsi="맑은 고딕" w:eastAsia="맑은 고딕"/>
                <w:b w:val="0"/>
                <w:sz w:val="20"/>
              </w:rPr>
              <w:t>640</w:t>
            </w:r>
          </w:p>
        </w:tc>
        <w:tc>
          <w:tcPr>
            <w:tcW w:type="dxa" w:w="2160"/>
            <w:shd w:val="clear" w:color="auto" w:fill="F2F2F2"/>
          </w:tcPr>
          <w:p>
            <w:r>
              <w:rPr>
                <w:rFonts w:ascii="맑은 고딕" w:hAnsi="맑은 고딕" w:eastAsia="맑은 고딕"/>
                <w:b w:val="0"/>
                <w:sz w:val="20"/>
              </w:rPr>
              <w:t>650</w:t>
            </w:r>
          </w:p>
        </w:tc>
        <w:tc>
          <w:tcPr>
            <w:tcW w:type="dxa" w:w="2160"/>
            <w:shd w:val="clear" w:color="auto" w:fill="F2F2F2"/>
          </w:tcPr>
          <w:p>
            <w:r>
              <w:rPr>
                <w:rFonts w:ascii="맑은 고딕" w:hAnsi="맑은 고딕" w:eastAsia="맑은 고딕"/>
                <w:b w:val="0"/>
                <w:sz w:val="20"/>
              </w:rPr>
              <w:t>101.6%</w:t>
            </w:r>
          </w:p>
        </w:tc>
      </w:tr>
      <w:tr>
        <w:tc>
          <w:tcPr>
            <w:tcW w:type="dxa" w:w="2160"/>
          </w:tcPr>
          <w:p>
            <w:r>
              <w:rPr>
                <w:rFonts w:ascii="맑은 고딕" w:hAnsi="맑은 고딕" w:eastAsia="맑은 고딕"/>
                <w:b w:val="0"/>
                <w:sz w:val="20"/>
              </w:rPr>
              <w:t>영업팀 비용</w:t>
            </w:r>
          </w:p>
        </w:tc>
        <w:tc>
          <w:tcPr>
            <w:tcW w:type="dxa" w:w="2160"/>
          </w:tcPr>
          <w:p>
            <w:r>
              <w:rPr>
                <w:rFonts w:ascii="맑은 고딕" w:hAnsi="맑은 고딕" w:eastAsia="맑은 고딕"/>
                <w:b w:val="0"/>
                <w:sz w:val="20"/>
              </w:rPr>
              <w:t>300</w:t>
            </w:r>
          </w:p>
        </w:tc>
        <w:tc>
          <w:tcPr>
            <w:tcW w:type="dxa" w:w="2160"/>
          </w:tcPr>
          <w:p>
            <w:r>
              <w:rPr>
                <w:rFonts w:ascii="맑은 고딕" w:hAnsi="맑은 고딕" w:eastAsia="맑은 고딕"/>
                <w:b w:val="0"/>
                <w:sz w:val="20"/>
              </w:rPr>
              <w:t>320</w:t>
            </w:r>
          </w:p>
        </w:tc>
        <w:tc>
          <w:tcPr>
            <w:tcW w:type="dxa" w:w="2160"/>
          </w:tcPr>
          <w:p>
            <w:r>
              <w:rPr>
                <w:rFonts w:ascii="맑은 고딕" w:hAnsi="맑은 고딕" w:eastAsia="맑은 고딕"/>
                <w:b w:val="0"/>
                <w:sz w:val="20"/>
              </w:rPr>
              <w:t>106.7%(일본 법인 검토 반영)</w:t>
            </w:r>
          </w:p>
        </w:tc>
      </w:tr>
      <w:tr>
        <w:tc>
          <w:tcPr>
            <w:tcW w:type="dxa" w:w="2160"/>
            <w:shd w:val="clear" w:color="auto" w:fill="F2F2F2"/>
          </w:tcPr>
          <w:p>
            <w:r>
              <w:rPr>
                <w:rFonts w:ascii="맑은 고딕" w:hAnsi="맑은 고딕" w:eastAsia="맑은 고딕"/>
                <w:b w:val="0"/>
                <w:sz w:val="20"/>
              </w:rPr>
              <w:t>IT보안팀 비용</w:t>
            </w:r>
          </w:p>
        </w:tc>
        <w:tc>
          <w:tcPr>
            <w:tcW w:type="dxa" w:w="2160"/>
            <w:shd w:val="clear" w:color="auto" w:fill="F2F2F2"/>
          </w:tcPr>
          <w:p>
            <w:r>
              <w:rPr>
                <w:rFonts w:ascii="맑은 고딕" w:hAnsi="맑은 고딕" w:eastAsia="맑은 고딕"/>
                <w:b w:val="0"/>
                <w:sz w:val="20"/>
              </w:rPr>
              <w:t>140</w:t>
            </w:r>
          </w:p>
        </w:tc>
        <w:tc>
          <w:tcPr>
            <w:tcW w:type="dxa" w:w="2160"/>
            <w:shd w:val="clear" w:color="auto" w:fill="F2F2F2"/>
          </w:tcPr>
          <w:p>
            <w:r>
              <w:rPr>
                <w:rFonts w:ascii="맑은 고딕" w:hAnsi="맑은 고딕" w:eastAsia="맑은 고딕"/>
                <w:b w:val="0"/>
                <w:sz w:val="20"/>
              </w:rPr>
              <w:t>135</w:t>
            </w:r>
          </w:p>
        </w:tc>
        <w:tc>
          <w:tcPr>
            <w:tcW w:type="dxa" w:w="2160"/>
            <w:shd w:val="clear" w:color="auto" w:fill="F2F2F2"/>
          </w:tcPr>
          <w:p>
            <w:r>
              <w:rPr>
                <w:rFonts w:ascii="맑은 고딕" w:hAnsi="맑은 고딕" w:eastAsia="맑은 고딕"/>
                <w:b w:val="0"/>
                <w:sz w:val="20"/>
              </w:rPr>
              <w:t>96.4%(ISMS 인증 완료 기저효과)</w:t>
            </w:r>
          </w:p>
        </w:tc>
      </w:tr>
      <w:tr>
        <w:tc>
          <w:tcPr>
            <w:tcW w:type="dxa" w:w="2160"/>
          </w:tcPr>
          <w:p>
            <w:r>
              <w:rPr>
                <w:rFonts w:ascii="맑은 고딕" w:hAnsi="맑은 고딕" w:eastAsia="맑은 고딕"/>
                <w:b w:val="0"/>
                <w:sz w:val="20"/>
              </w:rPr>
              <w:t>전사 총비용</w:t>
            </w:r>
          </w:p>
        </w:tc>
        <w:tc>
          <w:tcPr>
            <w:tcW w:type="dxa" w:w="2160"/>
          </w:tcPr>
          <w:p>
            <w:r>
              <w:rPr>
                <w:rFonts w:ascii="맑은 고딕" w:hAnsi="맑은 고딕" w:eastAsia="맑은 고딕"/>
                <w:b w:val="0"/>
                <w:sz w:val="20"/>
              </w:rPr>
              <w:t>1,730</w:t>
            </w:r>
          </w:p>
        </w:tc>
        <w:tc>
          <w:tcPr>
            <w:tcW w:type="dxa" w:w="2160"/>
          </w:tcPr>
          <w:p>
            <w:r>
              <w:rPr>
                <w:rFonts w:ascii="맑은 고딕" w:hAnsi="맑은 고딕" w:eastAsia="맑은 고딕"/>
                <w:b w:val="0"/>
                <w:sz w:val="20"/>
              </w:rPr>
              <w:t>1,745</w:t>
            </w:r>
          </w:p>
        </w:tc>
        <w:tc>
          <w:tcPr>
            <w:tcW w:type="dxa" w:w="2160"/>
          </w:tcPr>
          <w:p>
            <w:r>
              <w:rPr>
                <w:rFonts w:ascii="맑은 고딕" w:hAnsi="맑은 고딕" w:eastAsia="맑은 고딕"/>
                <w:b w:val="0"/>
                <w:sz w:val="20"/>
              </w:rPr>
              <w:t>100.9%</w:t>
            </w:r>
          </w:p>
        </w:tc>
      </w:tr>
      <w:tr>
        <w:tc>
          <w:tcPr>
            <w:tcW w:type="dxa" w:w="2160"/>
            <w:shd w:val="clear" w:color="auto" w:fill="F2F2F2"/>
          </w:tcPr>
          <w:p>
            <w:r>
              <w:rPr>
                <w:rFonts w:ascii="맑은 고딕" w:hAnsi="맑은 고딕" w:eastAsia="맑은 고딕"/>
                <w:b w:val="0"/>
                <w:sz w:val="20"/>
              </w:rPr>
              <w:t>영업이익</w:t>
            </w:r>
          </w:p>
        </w:tc>
        <w:tc>
          <w:tcPr>
            <w:tcW w:type="dxa" w:w="2160"/>
            <w:shd w:val="clear" w:color="auto" w:fill="F2F2F2"/>
          </w:tcPr>
          <w:p>
            <w:r>
              <w:rPr>
                <w:rFonts w:ascii="맑은 고딕" w:hAnsi="맑은 고딕" w:eastAsia="맑은 고딕"/>
                <w:b w:val="0"/>
                <w:sz w:val="20"/>
              </w:rPr>
              <w:t>220</w:t>
            </w:r>
          </w:p>
        </w:tc>
        <w:tc>
          <w:tcPr>
            <w:tcW w:type="dxa" w:w="2160"/>
            <w:shd w:val="clear" w:color="auto" w:fill="F2F2F2"/>
          </w:tcPr>
          <w:p>
            <w:r>
              <w:rPr>
                <w:rFonts w:ascii="맑은 고딕" w:hAnsi="맑은 고딕" w:eastAsia="맑은 고딕"/>
                <w:b w:val="0"/>
                <w:sz w:val="20"/>
              </w:rPr>
              <w:t>235</w:t>
            </w:r>
          </w:p>
        </w:tc>
        <w:tc>
          <w:tcPr>
            <w:tcW w:type="dxa" w:w="2160"/>
            <w:shd w:val="clear" w:color="auto" w:fill="F2F2F2"/>
          </w:tcPr>
          <w:p>
            <w:r>
              <w:rPr>
                <w:rFonts w:ascii="맑은 고딕" w:hAnsi="맑은 고딕" w:eastAsia="맑은 고딕"/>
                <w:b w:val="0"/>
                <w:sz w:val="20"/>
              </w:rPr>
              <w:t>106.8%</w:t>
            </w:r>
          </w:p>
        </w:tc>
      </w:tr>
      <w:tr>
        <w:tc>
          <w:tcPr>
            <w:tcW w:type="dxa" w:w="2160"/>
          </w:tcPr>
          <w:p>
            <w:r>
              <w:rPr>
                <w:rFonts w:ascii="맑은 고딕" w:hAnsi="맑은 고딕" w:eastAsia="맑은 고딕"/>
                <w:b w:val="0"/>
                <w:sz w:val="20"/>
              </w:rPr>
              <w:t>영업이익률</w:t>
            </w:r>
          </w:p>
        </w:tc>
        <w:tc>
          <w:tcPr>
            <w:tcW w:type="dxa" w:w="2160"/>
          </w:tcPr>
          <w:p>
            <w:r>
              <w:rPr>
                <w:rFonts w:ascii="맑은 고딕" w:hAnsi="맑은 고딕" w:eastAsia="맑은 고딕"/>
                <w:b w:val="0"/>
                <w:sz w:val="20"/>
              </w:rPr>
              <w:t>11.3%</w:t>
            </w:r>
          </w:p>
        </w:tc>
        <w:tc>
          <w:tcPr>
            <w:tcW w:type="dxa" w:w="2160"/>
          </w:tcPr>
          <w:p>
            <w:r>
              <w:rPr>
                <w:rFonts w:ascii="맑은 고딕" w:hAnsi="맑은 고딕" w:eastAsia="맑은 고딕"/>
                <w:b w:val="0"/>
                <w:sz w:val="20"/>
              </w:rPr>
              <w:t>11.9%</w:t>
            </w:r>
          </w:p>
        </w:tc>
        <w:tc>
          <w:tcPr>
            <w:tcW w:type="dxa" w:w="2160"/>
          </w:tcPr>
          <w:p>
            <w:r>
              <w:rPr>
                <w:rFonts w:ascii="맑은 고딕" w:hAnsi="맑은 고딕" w:eastAsia="맑은 고딕"/>
                <w:b w:val="0"/>
                <w:sz w:val="20"/>
              </w:rPr>
              <w:t>+0.6%p</w:t>
            </w:r>
          </w:p>
        </w:tc>
      </w:tr>
    </w:tbl>
    <w:p/>
    <w:p>
      <w:r>
        <w:rPr>
          <w:rFonts w:ascii="맑은 고딕" w:hAnsi="맑은 고딕" w:eastAsia="맑은 고딕"/>
          <w:b/>
          <w:color w:val="1F3864"/>
          <w:sz w:val="26"/>
        </w:rPr>
        <w:t>12. 특이사항 및 종합 전망</w:t>
      </w:r>
    </w:p>
    <w:p>
      <w:pPr>
        <w:spacing w:line="312" w:lineRule="auto" w:after="160"/>
      </w:pPr>
      <w:r>
        <w:rPr>
          <w:rFonts w:ascii="맑은 고딕" w:hAnsi="맑은 고딕" w:eastAsia="맑은 고딕"/>
          <w:b w:val="0"/>
          <w:sz w:val="22"/>
        </w:rPr>
        <w:t>4분기에는 ISMS 인증 심사 완료에 따른 IT보안팀 비용의 일부 정상화가 예상되는 한편, 일본 진출 관련 영업팀 및 경영기획실 비용은 현지 법인 설립 검토가 본격화됨에 따라 추가 증가할 가능성이 있다. AI 요약 애드온 매출은 신규 고객 확보 및 기존 고객 전환율 상승으로 4분기에도 두 자릿수 성장률을 유지할 것으로 예상된다.</w:t>
      </w:r>
    </w:p>
    <w:p>
      <w:pPr>
        <w:spacing w:line="312" w:lineRule="auto" w:after="160"/>
      </w:pPr>
      <w:r>
        <w:rPr>
          <w:rFonts w:ascii="맑은 고딕" w:hAnsi="맑은 고딕" w:eastAsia="맑은 고딕"/>
          <w:b w:val="0"/>
          <w:sz w:val="22"/>
        </w:rPr>
        <w:t>개발본부/R&amp;D는 네오보드 3.0 정식 출시 일정에 맞춰 4분기에도 인력 및 인프라 비용이 완만하게 증가할 것으로 전망되며, 매출 성장이 이를 상회할 경우 영업이익률 12%대 유지 또는 소폭 개선이 가능할 것으로 판단된다. 해외(일본) 매출 비중은 4분기 중 15% 내외까지 확대될 것으로 예상되어 고객군 포트폴리오의 지속적인 다변화가 기대된다.</w:t>
      </w:r>
    </w:p>
    <w:p>
      <w:pPr>
        <w:spacing w:line="312" w:lineRule="auto" w:after="160"/>
      </w:pPr>
      <w:r>
        <w:rPr>
          <w:rFonts w:ascii="맑은 고딕" w:hAnsi="맑은 고딕" w:eastAsia="맑은 고딕"/>
          <w:b w:val="0"/>
          <w:sz w:val="22"/>
        </w:rPr>
        <w:t>KPI 트렌드 측면에서는 신규 고객 순증 규모와 ARPU가 동시에 우상향하는 흐름이 4분기에도 이어질 것으로 예상되며, 해지율은 CS팀의 고객 성공 프로그램 고도화에 힘입어 2% 이하로 추가 하락할 가능성이 있다. 다만 고객사 수 증가에 따라 CS팀 인력 부담이 커질 수 있어, 4분기 중 CS팀 증원 필요성에 대한 검토가 병행될 예정이다.</w:t>
      </w:r>
    </w:p>
    <w:p>
      <w:pPr>
        <w:spacing w:line="312" w:lineRule="auto" w:after="160"/>
      </w:pPr>
      <w:r>
        <w:rPr>
          <w:rFonts w:ascii="맑은 고딕" w:hAnsi="맑은 고딕" w:eastAsia="맑은 고딕"/>
          <w:b w:val="0"/>
          <w:sz w:val="22"/>
        </w:rPr>
        <w:t>현금흐름 측면에서는 영업활동현금흐름의 견조한 증가세가 유지될 경우 일본 법인 설립에 필요한 초기 자본 소요를 외부 조달 없이 자체 현금으로 충당할 수 있을 것으로 판단되며, 이는 재무 안정성 측면에서 긍정적인 요인이다.</w:t>
      </w:r>
    </w:p>
    <w:p>
      <w:pPr>
        <w:spacing w:line="312" w:lineRule="auto" w:after="160"/>
      </w:pPr>
      <w:r>
        <w:rPr>
          <w:rFonts w:ascii="맑은 고딕" w:hAnsi="맑은 고딕" w:eastAsia="맑은 고딕"/>
          <w:b w:val="0"/>
          <w:sz w:val="22"/>
        </w:rPr>
        <w:t>본 보고서에 기재된 수치는 2026년 9월 말 기준 잠정치로, 결산 확정 과정에서 일부 조정될 수 있다. 본 문서는 대외비로 분류되며 사외 반출 및 제3자 공유를 금한다.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재무회계팀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