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최영재</w:t>
            </w:r>
          </w:p>
        </w:tc>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㈜네오웍스 Series B 투자유치 자료 (요약본)</w:t>
      </w:r>
    </w:p>
    <w:p>
      <w:r>
        <w:rPr>
          <w:rFonts w:ascii="맑은 고딕" w:hAnsi="맑은 고딕" w:eastAsia="맑은 고딕"/>
          <w:b w:val="0"/>
          <w:color w:val="595959"/>
          <w:sz w:val="18"/>
        </w:rPr>
        <w:t>문서번호: NW-FIN-2026-021    작성일: 2026-08-10    작성자: 재무회계팀장 최영재    배포범위: 경영진 및 이사회 한정</w:t>
      </w:r>
    </w:p>
    <w:p/>
    <w:p>
      <w:r>
        <w:rPr>
          <w:rFonts w:ascii="맑은 고딕" w:hAnsi="맑은 고딕" w:eastAsia="맑은 고딕"/>
          <w:b/>
          <w:color w:val="1F3864"/>
          <w:sz w:val="26"/>
        </w:rPr>
        <w:t>1. 개요(Executive Summary)</w:t>
      </w:r>
    </w:p>
    <w:p>
      <w:pPr>
        <w:spacing w:line="312" w:lineRule="auto" w:after="160"/>
      </w:pPr>
      <w:r>
        <w:rPr>
          <w:rFonts w:ascii="맑은 고딕" w:hAnsi="맑은 고딕" w:eastAsia="맑은 고딕"/>
          <w:b w:val="0"/>
          <w:sz w:val="22"/>
        </w:rPr>
        <w:t>본 문서는 ㈜네오웍스가 추진하는 Series B 투자유치를 위해 재무회계팀(팀장 최영재)이 작성하고 대표이사 김도현이 검토한 요약 자료로, 잠재 투자자 및 이사회 구성원을 대상으로 회사 현황과 투자조건을 설명하는 것을 목적으로 한다. 배포 범위는 경영진 및 이사회로 한정하며, 사외 반출 및 제3자 공유는 엄격히 금지된다.</w:t>
      </w:r>
    </w:p>
    <w:p>
      <w:pPr>
        <w:spacing w:line="312" w:lineRule="auto" w:after="160"/>
      </w:pPr>
      <w:r>
        <w:rPr>
          <w:rFonts w:ascii="맑은 고딕" w:hAnsi="맑은 고딕" w:eastAsia="맑은 고딕"/>
          <w:b w:val="0"/>
          <w:sz w:val="22"/>
        </w:rPr>
        <w:t>㈜네오웍스는 2016년 설립된 B2B 협업 SaaS 전문 기업으로, 자체 개발한 협업 플랫폼 '네오보드(NeoBoard)'를 개발·운영하고 있다. 현재 임직원 50명, 8개 부서(경영기획실, 재무회계팀, 인사팀, 개발본부/R&amp;D, 영업팀, 법무팀, IT보안팀, CS팀) 체제로 운영되며, 2026년 최근 분기 매출은 약 18억원, 영업이익률은 약 12% 수준으로 안정적인 흑자 기조를 유지하고 있다.</w:t>
      </w:r>
    </w:p>
    <w:p>
      <w:pPr>
        <w:spacing w:line="312" w:lineRule="auto" w:after="160"/>
      </w:pPr>
      <w:r>
        <w:rPr>
          <w:rFonts w:ascii="맑은 고딕" w:hAnsi="맑은 고딕" w:eastAsia="맑은 고딕"/>
          <w:b w:val="0"/>
          <w:sz w:val="22"/>
        </w:rPr>
        <w:t>회사는 최근 3개년간 연평균 약 32.7%의 매출 성장과 지속적인 영업이익률 개선(9.0% → 12.0%)을 시현하였으며, 이러한 성장 모멘텀을 기반으로 네오보드 3.0 리뉴얼(PRJ-2026-03), AI 요약 기능 고도화(PRJ-2026-05), 일본 진출(PRJ-2026-07), ISMS 인증 취득(PRJ-2026-02)의 4대 핵심 프로젝트를 동시에 추진하고 있다. 본 라운드는 이들 과제의 실행 재원을 확보하기 위한 것이다.</w:t>
      </w:r>
    </w:p>
    <w:p>
      <w:pPr>
        <w:spacing w:line="312" w:lineRule="auto" w:after="160"/>
      </w:pPr>
      <w:r>
        <w:rPr>
          <w:rFonts w:ascii="맑은 고딕" w:hAnsi="맑은 고딕" w:eastAsia="맑은 고딕"/>
          <w:b w:val="0"/>
          <w:sz w:val="22"/>
        </w:rPr>
        <w:t>금번 Series B 라운드에서는 총 80억원 규모의 신규 자금을 유치할 계획이며, 프리머니 밸류에이션 450억원, 포스트머니 밸류에이션 530억원, 신규 투자자 지분율 약 15.1%를 기준으로 협의를 진행하고 있다. 세부 투자조건 및 밸류에이션 산정 근거는 본 문서 9장에서 상세히 다룬다.</w:t>
      </w:r>
    </w:p>
    <w:p>
      <w:pPr>
        <w:spacing w:line="312" w:lineRule="auto" w:after="160"/>
      </w:pPr>
      <w:r>
        <w:rPr>
          <w:rFonts w:ascii="맑은 고딕" w:hAnsi="맑은 고딕" w:eastAsia="맑은 고딕"/>
          <w:b w:val="0"/>
          <w:sz w:val="22"/>
        </w:rPr>
        <w:t>본 자료는 기존 배포된 1차 요약본 대비 이사회 및 투자자의 상세 검토 편의를 높이기 위해 경쟁사 비교, 고객 사례(Case Study), 제품 로드맵, Cap Table(지분 구조), 조직도 상세, 리스크·컴플라이언스 현황, 재무제표 요약 부록 등을 대폭 보강한 확장판으로 재작성되었다. 다만 핵심 재무 수치와 투자조건은 1차 요약본과 동일하게 유지하였다.</w:t>
      </w:r>
    </w:p>
    <w:p>
      <w:pPr>
        <w:spacing w:line="312" w:lineRule="auto" w:after="160"/>
      </w:pPr>
      <w:r>
        <w:rPr>
          <w:rFonts w:ascii="맑은 고딕" w:hAnsi="맑은 고딕" w:eastAsia="맑은 고딕"/>
          <w:b w:val="0"/>
          <w:sz w:val="22"/>
        </w:rPr>
        <w:t>본 자료는 투자 검토를 위한 요약본으로, 감사보고서, 상세 재무제표, 고객 계약 현황 등 실사(Due Diligence)에 필요한 세부 자료는 비밀유지계약(NDA) 체결 이후 별도로 제공될 예정이다. 본 문서에 기재된 전망치 및 추정치는 2026년 8월 현재 시점의 판단에 기초한 것으로, 실제 결과와 차이가 발생할 수 있다.</w:t>
      </w:r>
    </w:p>
    <w:p>
      <w:pPr>
        <w:spacing w:line="312" w:lineRule="auto" w:after="160"/>
      </w:pPr>
      <w:r>
        <w:rPr>
          <w:rFonts w:ascii="맑은 고딕" w:hAnsi="맑은 고딕" w:eastAsia="맑은 고딕"/>
          <w:b w:val="0"/>
          <w:sz w:val="22"/>
        </w:rPr>
        <w:t>본 문서의 구성은 다음과 같다. 2장에서는 회사 연혁 및 사업 개요를, 3장에서는 시장 규모 및 기회를, 4장에서는 제품 경쟁력을 다룬다. 5장에서는 주요 경쟁사와의 기능·가격·시장점유율을 비교하며, 6장에서는 대표 고객사 3곳의 도입 사례를 소개한다. 7장과 8장에서는 각각 최근 3개년 재무 성과와 고객·매출 성장 지표를 표와 함께 제시하며, 9장에서는 기업가치 산정 및 투자조건과 자금 사용 계획을 다룬다.</w:t>
      </w:r>
    </w:p>
    <w:p>
      <w:pPr>
        <w:spacing w:line="312" w:lineRule="auto" w:after="160"/>
      </w:pPr>
      <w:r>
        <w:rPr>
          <w:rFonts w:ascii="맑은 고딕" w:hAnsi="맑은 고딕" w:eastAsia="맑은 고딕"/>
          <w:b w:val="0"/>
          <w:sz w:val="22"/>
        </w:rPr>
        <w:t>10장에서는 현재 지분 구조(Cap Table)와 Series B 이후 예상 지분 변동을, 11장에서는 2027~2029년 제품 로드맵을 제시한다. 12장과 13장에서는 각각 핵심 경영진과 전체 50명의 부서별 조직 구성을 소개하며, 14장에서는 향후 3개년 성장 전략 및 리스크 요인을, 15장에서는 ISMS 인증 진행상황을 포함한 리스크·컴플라이언스 현황을, 16장 부록에서는 재무상태표 요약을 정리한다.</w:t>
      </w:r>
    </w:p>
    <w:p>
      <w:r>
        <w:rPr>
          <w:rFonts w:ascii="맑은 고딕" w:hAnsi="맑은 고딕" w:eastAsia="맑은 고딕"/>
          <w:b/>
          <w:color w:val="1F3864"/>
          <w:sz w:val="26"/>
        </w:rPr>
        <w:t>2. 회사 연혁 및 사업 개요</w:t>
      </w:r>
    </w:p>
    <w:p>
      <w:pPr>
        <w:spacing w:line="312" w:lineRule="auto" w:after="160"/>
      </w:pPr>
      <w:r>
        <w:rPr>
          <w:rFonts w:ascii="맑은 고딕" w:hAnsi="맑은 고딕" w:eastAsia="맑은 고딕"/>
          <w:b w:val="0"/>
          <w:sz w:val="22"/>
        </w:rPr>
        <w:t>㈜네오웍스는 2016년 3인의 공동창업자(대표이사 김도현 포함)가 설립한 회사로, 설립 초기에는 중소기업 대상 프로젝트 관리 도구를 개발·판매하는 것에서 출발하였다. 이후 시장 반응을 반영하여 사업모델을 SaaS 구독형으로 전환하였고, 2019년 정식 출시한 '네오보드' 1.0을 시작으로 매년 기능 고도화를 거듭해왔다.</w:t>
      </w:r>
    </w:p>
    <w:p>
      <w:pPr>
        <w:spacing w:line="312" w:lineRule="auto" w:after="160"/>
      </w:pPr>
      <w:r>
        <w:rPr>
          <w:rFonts w:ascii="맑은 고딕" w:hAnsi="맑은 고딕" w:eastAsia="맑은 고딕"/>
          <w:b w:val="0"/>
          <w:sz w:val="22"/>
        </w:rPr>
        <w:t>2021년에는 실시간 협업 기능과 화상회의 연동을 추가한 네오보드 2.0을 출시하며 고객 기반을 크게 확대하였고, 같은 해 시리즈 A 투자를 유치하여 개발본부 인력을 확충하였다. 2023년에는 국내 100대 SaaS 기업으로 선정되는 등 시장 내 입지를 다졌으며, 2024년부터는 매출 성장과 함께 영업이익 흑자 전환에 성공하여 재무적으로도 안정적인 성장 궤도에 진입하였다.</w:t>
      </w:r>
    </w:p>
    <w:p>
      <w:pPr>
        <w:spacing w:line="312" w:lineRule="auto" w:after="160"/>
      </w:pPr>
      <w:r>
        <w:rPr>
          <w:rFonts w:ascii="맑은 고딕" w:hAnsi="맑은 고딕" w:eastAsia="맑은 고딕"/>
          <w:b w:val="0"/>
          <w:sz w:val="22"/>
        </w:rPr>
        <w:t>회사의 주요 연혁을 요약하면 다음과 같다. 2016년 법인 설립 및 프로젝트 관리 도구 베타 출시, 2019년 네오보드 1.0 정식 출시 및 SaaS 구독모델 전환, 2021년 네오보드 2.0 출시 및 시리즈 A 투자유치(전략기획팀장 이수민 합류), 2023년 국내 100대 SaaS 기업 선정 및 유료고객 200개사 돌파, 2024년 영업이익 흑자 전환, 2025년 유료고객 285개사·ARR 54억원 달성, 2026년 네오보드 3.0 개발 착수 및 Series B 라운드 추진 순으로 성장해왔다.</w:t>
      </w:r>
    </w:p>
    <w:p>
      <w:pPr>
        <w:spacing w:line="312" w:lineRule="auto" w:after="160"/>
      </w:pPr>
      <w:r>
        <w:rPr>
          <w:rFonts w:ascii="맑은 고딕" w:hAnsi="맑은 고딕" w:eastAsia="맑은 고딕"/>
          <w:b w:val="0"/>
          <w:sz w:val="22"/>
        </w:rPr>
        <w:t>본사는 서울 강남구에 위치하며, 2027년 상반기 중 도쿄 현지법인(가칭 네오웍스 재팬) 설립을 추진 중이다. 근무 형태는 하이브리드 근무제(주 3일 출근, 2일 재택)를 원칙으로 운영하고 있으며, 이는 자사 제품인 네오보드를 사내에서 직접 활용하는 '드림푸딩(Dream-fooding)' 원칙에 따른 것이다.</w:t>
      </w:r>
    </w:p>
    <w:p>
      <w:pPr>
        <w:spacing w:line="312" w:lineRule="auto" w:after="160"/>
      </w:pPr>
      <w:r>
        <w:rPr>
          <w:rFonts w:ascii="맑은 고딕" w:hAnsi="맑은 고딕" w:eastAsia="맑은 고딕"/>
          <w:b w:val="0"/>
          <w:sz w:val="22"/>
        </w:rPr>
        <w:t>회사의 미션은 '중소·중견기업도 대기업 수준의 협업 인프라를 합리적인 비용으로 누릴 수 있도록 한다'는 것이며, 이러한 미션 하에 올인원 플랫폼 전략과 AI 기반 업무 자동화를 핵심 축으로 삼고 있다.</w:t>
      </w:r>
    </w:p>
    <w:p>
      <w:pPr>
        <w:spacing w:line="312" w:lineRule="auto" w:after="160"/>
      </w:pPr>
      <w:r>
        <w:rPr>
          <w:rFonts w:ascii="맑은 고딕" w:hAnsi="맑은 고딕" w:eastAsia="맑은 고딕"/>
          <w:b w:val="0"/>
          <w:sz w:val="22"/>
        </w:rPr>
        <w:t>현재 조직은 8개 부서, 총 50명 규모로 구성되어 있다. 경영기획실(3명, 대표이사 김도현·전략기획팀장 이수민 외)이 전사 전략을 총괄하며, 개발본부/R&amp;D(20명, CTO 강민석)가 플랫폼팀·백엔드팀·프론트팀·AI팀으로 나뉘어 제품 개발을 담당한다. 영업팀(8명, 팀장 오세훈)은 국내외 영업을 전담하고, 재무회계팀(5명, 팀장 최영재), 인사팀(4명, 팀장 정하늘), 법무팀(2명, 팀장 한지원), IT보안팀(4명, 팀장 서준혁), CS팀(4명, 팀장 배유나)이 각각 경영 지원 및 고객 지원 기능을 수행한다. 부서별 세부 인원 구성은 13장에서 별도로 다룬다.</w:t>
      </w:r>
    </w:p>
    <w:p>
      <w:pPr>
        <w:spacing w:line="312" w:lineRule="auto" w:after="160"/>
      </w:pPr>
      <w:r>
        <w:rPr>
          <w:rFonts w:ascii="맑은 고딕" w:hAnsi="맑은 고딕" w:eastAsia="맑은 고딕"/>
          <w:b w:val="0"/>
          <w:sz w:val="22"/>
        </w:rPr>
        <w:t>핵심 제품인 네오보드는 프로젝트 관리, 실시간 문서 공동편집, 화상회의 연동, 업무 자동화(워크플로우 빌더) 기능을 하나의 플랫폼에서 제공하는 B2B 협업 SaaS로, 국내 중소·중견기업을 주요 고객층으로 한다. 2026년 8월 현재 350여개 유료 고객사가 네오보드를 이용하고 있으며, 제조·IT·금융·유통 등 다양한 산업군에 걸쳐 고객 기반을 확보하고 있다.</w:t>
      </w:r>
    </w:p>
    <w:p>
      <w:pPr>
        <w:spacing w:line="312" w:lineRule="auto" w:after="160"/>
      </w:pPr>
      <w:r>
        <w:rPr>
          <w:rFonts w:ascii="맑은 고딕" w:hAnsi="맑은 고딕" w:eastAsia="맑은 고딕"/>
          <w:b w:val="0"/>
          <w:sz w:val="22"/>
        </w:rPr>
        <w:t>현재 회사가 진행 중인 4대 프로젝트는 다음과 같다. 첫째, 네오보드 3.0 리뉴얼(PRJ-2026-03)은 사용자 경험(UX) 전면 개편과 성능 개선을 목표로 하며 2026년 4분기 정식 출시를 목표로 한다. 둘째, AI 요약 기능(PRJ-2026-05)은 회의록·문서 자동 요약 및 업무 인사이트 제공 기능으로 AI팀이 전담 개발 중이다. 셋째, 일본 진출(PRJ-2026-07)은 도쿄 현지법인 설립을 포함한 해외 시장 진출 프로젝트이다. 넷째, ISMS 인증 취득(PRJ-2026-02)은 IT보안팀이 주도하는 정보보호 관리체계 인증 프로젝트로, 국내외 고객 신뢰도 제고 및 공공·금융권 영업 확대의 기반이 된다.</w:t>
      </w:r>
    </w:p>
    <w:p>
      <w:r>
        <w:rPr>
          <w:rFonts w:ascii="맑은 고딕" w:hAnsi="맑은 고딕" w:eastAsia="맑은 고딕"/>
          <w:b/>
          <w:color w:val="1F3864"/>
          <w:sz w:val="26"/>
        </w:rPr>
        <w:t>3. 시장 규모 및 기회 (TAM/SAM/SOM)</w:t>
      </w:r>
    </w:p>
    <w:p>
      <w:pPr>
        <w:spacing w:line="312" w:lineRule="auto" w:after="160"/>
      </w:pPr>
      <w:r>
        <w:rPr>
          <w:rFonts w:ascii="맑은 고딕" w:hAnsi="맑은 고딕" w:eastAsia="맑은 고딕"/>
          <w:b w:val="0"/>
          <w:sz w:val="22"/>
        </w:rPr>
        <w:t>글로벌 협업·생산성 SaaS 시장은 원격·하이브리드 근무 확산, 업무 자동화 수요 증가, 생성형 AI 기반 기능 도입 확대에 힘입어 지속적으로 성장하고 있다. 재무회계팀이 복수의 시장조사 자료를 참고하여 자체 재산정한 결과, 2026년 기준 아시아·태평양 지역을 포함한 전체 시장(TAM)은 약 24조원 규모로 추정되며, 향후 5년간 연평균 12~15% 수준으로 성장할 것으로 예상된다.</w:t>
      </w:r>
    </w:p>
    <w:p>
      <w:pPr>
        <w:spacing w:line="312" w:lineRule="auto" w:after="160"/>
      </w:pPr>
      <w:r>
        <w:rPr>
          <w:rFonts w:ascii="맑은 고딕" w:hAnsi="맑은 고딕" w:eastAsia="맑은 고딕"/>
          <w:b w:val="0"/>
          <w:sz w:val="22"/>
        </w:rPr>
        <w:t>당사가 실질적으로 진입 가능한 시장(SAM)은 국내 및 일본의 중소·중견기업 대상 B2B 협업툴 시장으로 한정되며, 국내 시장 약 6천억원과 일본 시장 약 1조 2천억원을 합산하여 약 1조 8천억원 규모로 추정한다. 일본 시장은 원격근무 문화 확산이 상대적으로 늦었던 만큼 향후 성장 잠재력이 크다고 판단되어, 이번 자금 유치의 핵심 사용처 중 하나로 설정하였다.</w:t>
      </w:r>
    </w:p>
    <w:p>
      <w:pPr>
        <w:spacing w:line="312" w:lineRule="auto" w:after="160"/>
      </w:pPr>
      <w:r>
        <w:rPr>
          <w:rFonts w:ascii="맑은 고딕" w:hAnsi="맑은 고딕" w:eastAsia="맑은 고딕"/>
          <w:b w:val="0"/>
          <w:sz w:val="22"/>
        </w:rPr>
        <w:t>당사가 향후 3개년 내 확보 가능한 목표 시장(SOM)은 약 450억원으로 산정하였으며, 이는 2029년 매출 목표(연결 기준 200억원 내외)를 역산하여 도출한 수치이다. 아래 표는 TAM/SAM/SOM 추정 규모와 산정 근거를 정리한 것이다.</w:t>
      </w:r>
    </w:p>
    <w:p>
      <w:pPr>
        <w:spacing w:line="312" w:lineRule="auto" w:after="160"/>
      </w:pPr>
      <w:r>
        <w:rPr>
          <w:rFonts w:ascii="맑은 고딕" w:hAnsi="맑은 고딕" w:eastAsia="맑은 고딕"/>
          <w:b w:val="0"/>
          <w:sz w:val="22"/>
        </w:rPr>
        <w:t>시장 성장의 핵심 동인으로는 다음 세 가지를 꼽을 수 있다. 첫째, 국내외 중소·중견기업의 디지털 전환(DX) 예산 확대로 협업툴 도입률이 매년 증가하고 있다. 둘째, 생성형 AI 기능을 결합한 업무 자동화에 대한 수요가 급증하고 있으며, 당사의 AI 요약 기능 개발은 이러한 흐름에 부합한다. 셋째, 일본을 포함한 아시아 시장에서는 상대적으로 저렴하면서도 로컬라이징이 잘 된 협업 솔루션에 대한 수요가 존재하며, 이는 글로벌 대형 사업자 대비 당사의 진입 여지를 제공한다.</w:t>
      </w:r>
    </w:p>
    <w:p>
      <w:pPr>
        <w:spacing w:line="312" w:lineRule="auto" w:after="160"/>
      </w:pPr>
      <w:r>
        <w:rPr>
          <w:rFonts w:ascii="맑은 고딕" w:hAnsi="맑은 고딕" w:eastAsia="맑은 고딕"/>
          <w:b w:val="0"/>
          <w:sz w:val="22"/>
        </w:rPr>
        <w:t>일본 시장 진출과 관련해서는 현지 법인 설립, 개인정보 및 데이터 관련 현지 규제 대응, 일본어 UI 및 고객지원 체계 구축이 선행 과제로 파악되고 있으며, 법무팀(팀장 한지원)이 현지 규제 검토를, IT보안팀(팀장 서준혁)이 데이터 처리 관련 보안 요건 대응을 각각 담당할 예정이다.</w:t>
      </w:r>
    </w:p>
    <w:p>
      <w:pPr>
        <w:spacing w:line="312" w:lineRule="auto" w:after="160"/>
      </w:pPr>
      <w:r>
        <w:rPr>
          <w:rFonts w:ascii="맑은 고딕" w:hAnsi="맑은 고딕" w:eastAsia="맑은 고딕"/>
          <w:b w:val="0"/>
          <w:sz w:val="22"/>
        </w:rPr>
        <w:t>다만 시장 추정치는 조사기관 및 방법론에 따라 편차가 있을 수 있으며, 본 자료의 수치는 재무회계팀이 여러 자료를 종합하여 보수적으로 재산정한 것임을 밝혀둔다.</w:t>
      </w:r>
    </w:p>
    <w:p>
      <w:pPr>
        <w:spacing w:line="312" w:lineRule="auto" w:after="160"/>
      </w:pPr>
      <w:r>
        <w:rPr>
          <w:rFonts w:ascii="맑은 고딕" w:hAnsi="맑은 고딕" w:eastAsia="맑은 고딕"/>
          <w:b w:val="0"/>
          <w:sz w:val="22"/>
        </w:rPr>
        <w:t>경쟁 환경 측면에서는 글로벌 대형 협업툴 사업자들이 국내 및 일본 시장에서도 영업을 확대하고 있으나, 이들은 대체로 대기업 고객 중심의 가격 정책과 영어 중심의 지원 체계를 갖추고 있어 중소·중견기업 고객군에서는 상대적으로 진입 장벽이 존재한다. 당사는 이러한 틈새를 공략하여 국내에서 축적한 중소·중견기업 영업 노하우를 일본 시장에도 적용할 계획이며, 세부 경쟁사 비교는 5장에서 다룬다.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정의</w:t>
            </w:r>
          </w:p>
        </w:tc>
        <w:tc>
          <w:tcPr>
            <w:tcW w:type="dxa" w:w="2160"/>
            <w:shd w:val="clear" w:color="auto" w:fill="1F3864"/>
          </w:tcPr>
          <w:p>
            <w:pPr>
              <w:jc w:val="center"/>
            </w:pPr>
            <w:r>
              <w:rPr>
                <w:rFonts w:ascii="맑은 고딕" w:hAnsi="맑은 고딕" w:eastAsia="맑은 고딕"/>
                <w:b/>
                <w:color w:val="FFFFFF"/>
                <w:sz w:val="20"/>
              </w:rPr>
              <w:t>추정 규모</w:t>
            </w:r>
          </w:p>
        </w:tc>
        <w:tc>
          <w:tcPr>
            <w:tcW w:type="dxa" w:w="2160"/>
            <w:shd w:val="clear" w:color="auto" w:fill="1F3864"/>
          </w:tcPr>
          <w:p>
            <w:pPr>
              <w:jc w:val="center"/>
            </w:pPr>
            <w:r>
              <w:rPr>
                <w:rFonts w:ascii="맑은 고딕" w:hAnsi="맑은 고딕" w:eastAsia="맑은 고딕"/>
                <w:b/>
                <w:color w:val="FFFFFF"/>
                <w:sz w:val="20"/>
              </w:rPr>
              <w:t>산정 근거</w:t>
            </w:r>
          </w:p>
        </w:tc>
      </w:tr>
      <w:tr>
        <w:tc>
          <w:tcPr>
            <w:tcW w:type="dxa" w:w="2160"/>
          </w:tcPr>
          <w:p>
            <w:r>
              <w:rPr>
                <w:rFonts w:ascii="맑은 고딕" w:hAnsi="맑은 고딕" w:eastAsia="맑은 고딕"/>
                <w:b w:val="0"/>
                <w:sz w:val="20"/>
              </w:rPr>
              <w:t>TAM</w:t>
            </w:r>
          </w:p>
        </w:tc>
        <w:tc>
          <w:tcPr>
            <w:tcW w:type="dxa" w:w="2160"/>
          </w:tcPr>
          <w:p>
            <w:r>
              <w:rPr>
                <w:rFonts w:ascii="맑은 고딕" w:hAnsi="맑은 고딕" w:eastAsia="맑은 고딕"/>
                <w:b w:val="0"/>
                <w:sz w:val="20"/>
              </w:rPr>
              <w:t>국내외 협업·생산성 SaaS 전체 시장(APAC 포함)</w:t>
            </w:r>
          </w:p>
        </w:tc>
        <w:tc>
          <w:tcPr>
            <w:tcW w:type="dxa" w:w="2160"/>
          </w:tcPr>
          <w:p>
            <w:r>
              <w:rPr>
                <w:rFonts w:ascii="맑은 고딕" w:hAnsi="맑은 고딕" w:eastAsia="맑은 고딕"/>
                <w:b w:val="0"/>
                <w:sz w:val="20"/>
              </w:rPr>
              <w:t>약 24조원</w:t>
            </w:r>
          </w:p>
        </w:tc>
        <w:tc>
          <w:tcPr>
            <w:tcW w:type="dxa" w:w="2160"/>
          </w:tcPr>
          <w:p>
            <w:r>
              <w:rPr>
                <w:rFonts w:ascii="맑은 고딕" w:hAnsi="맑은 고딕" w:eastAsia="맑은 고딕"/>
                <w:b w:val="0"/>
                <w:sz w:val="20"/>
              </w:rPr>
              <w:t>복수 시장조사 자료 종합 후 자체 재산정</w:t>
            </w:r>
          </w:p>
        </w:tc>
      </w:tr>
      <w:tr>
        <w:tc>
          <w:tcPr>
            <w:tcW w:type="dxa" w:w="2160"/>
            <w:shd w:val="clear" w:color="auto" w:fill="F2F2F2"/>
          </w:tcPr>
          <w:p>
            <w:r>
              <w:rPr>
                <w:rFonts w:ascii="맑은 고딕" w:hAnsi="맑은 고딕" w:eastAsia="맑은 고딕"/>
                <w:b w:val="0"/>
                <w:sz w:val="20"/>
              </w:rPr>
              <w:t>SAM</w:t>
            </w:r>
          </w:p>
        </w:tc>
        <w:tc>
          <w:tcPr>
            <w:tcW w:type="dxa" w:w="2160"/>
            <w:shd w:val="clear" w:color="auto" w:fill="F2F2F2"/>
          </w:tcPr>
          <w:p>
            <w:r>
              <w:rPr>
                <w:rFonts w:ascii="맑은 고딕" w:hAnsi="맑은 고딕" w:eastAsia="맑은 고딕"/>
                <w:b w:val="0"/>
                <w:sz w:val="20"/>
              </w:rPr>
              <w:t>국내·일본 중소중견기업 대상 B2B 협업툴 시장</w:t>
            </w:r>
          </w:p>
        </w:tc>
        <w:tc>
          <w:tcPr>
            <w:tcW w:type="dxa" w:w="2160"/>
            <w:shd w:val="clear" w:color="auto" w:fill="F2F2F2"/>
          </w:tcPr>
          <w:p>
            <w:r>
              <w:rPr>
                <w:rFonts w:ascii="맑은 고딕" w:hAnsi="맑은 고딕" w:eastAsia="맑은 고딕"/>
                <w:b w:val="0"/>
                <w:sz w:val="20"/>
              </w:rPr>
              <w:t>약 1조 8천억원</w:t>
            </w:r>
          </w:p>
        </w:tc>
        <w:tc>
          <w:tcPr>
            <w:tcW w:type="dxa" w:w="2160"/>
            <w:shd w:val="clear" w:color="auto" w:fill="F2F2F2"/>
          </w:tcPr>
          <w:p>
            <w:r>
              <w:rPr>
                <w:rFonts w:ascii="맑은 고딕" w:hAnsi="맑은 고딕" w:eastAsia="맑은 고딕"/>
                <w:b w:val="0"/>
                <w:sz w:val="20"/>
              </w:rPr>
              <w:t>국내 약 6천억원 + 일본 약 1조 2천억원</w:t>
            </w:r>
          </w:p>
        </w:tc>
      </w:tr>
      <w:tr>
        <w:tc>
          <w:tcPr>
            <w:tcW w:type="dxa" w:w="2160"/>
          </w:tcPr>
          <w:p>
            <w:r>
              <w:rPr>
                <w:rFonts w:ascii="맑은 고딕" w:hAnsi="맑은 고딕" w:eastAsia="맑은 고딕"/>
                <w:b w:val="0"/>
                <w:sz w:val="20"/>
              </w:rPr>
              <w:t>SOM</w:t>
            </w:r>
          </w:p>
        </w:tc>
        <w:tc>
          <w:tcPr>
            <w:tcW w:type="dxa" w:w="2160"/>
          </w:tcPr>
          <w:p>
            <w:r>
              <w:rPr>
                <w:rFonts w:ascii="맑은 고딕" w:hAnsi="맑은 고딕" w:eastAsia="맑은 고딕"/>
                <w:b w:val="0"/>
                <w:sz w:val="20"/>
              </w:rPr>
              <w:t>향후 3개년 내 확보 목표 시장(네오보드 타겟 세그먼트)</w:t>
            </w:r>
          </w:p>
        </w:tc>
        <w:tc>
          <w:tcPr>
            <w:tcW w:type="dxa" w:w="2160"/>
          </w:tcPr>
          <w:p>
            <w:r>
              <w:rPr>
                <w:rFonts w:ascii="맑은 고딕" w:hAnsi="맑은 고딕" w:eastAsia="맑은 고딕"/>
                <w:b w:val="0"/>
                <w:sz w:val="20"/>
              </w:rPr>
              <w:t>약 450억원</w:t>
            </w:r>
          </w:p>
        </w:tc>
        <w:tc>
          <w:tcPr>
            <w:tcW w:type="dxa" w:w="2160"/>
          </w:tcPr>
          <w:p>
            <w:r>
              <w:rPr>
                <w:rFonts w:ascii="맑은 고딕" w:hAnsi="맑은 고딕" w:eastAsia="맑은 고딕"/>
                <w:b w:val="0"/>
                <w:sz w:val="20"/>
              </w:rPr>
              <w:t>2029년 매출목표(약 200억원) 역산</w:t>
            </w:r>
          </w:p>
        </w:tc>
      </w:tr>
    </w:tbl>
    <w:p/>
    <w:p>
      <w:r>
        <w:rPr>
          <w:rFonts w:ascii="맑은 고딕" w:hAnsi="맑은 고딕" w:eastAsia="맑은 고딕"/>
          <w:b/>
          <w:color w:val="1F3864"/>
          <w:sz w:val="26"/>
        </w:rPr>
        <w:t>4. 제품 경쟁력 및 차별화 포인트</w:t>
      </w:r>
    </w:p>
    <w:p>
      <w:pPr>
        <w:spacing w:line="312" w:lineRule="auto" w:after="160"/>
      </w:pPr>
      <w:r>
        <w:rPr>
          <w:rFonts w:ascii="맑은 고딕" w:hAnsi="맑은 고딕" w:eastAsia="맑은 고딕"/>
          <w:b w:val="0"/>
          <w:sz w:val="22"/>
        </w:rPr>
        <w:t>네오보드는 프로젝트 관리, 실시간 문서 공동편집, 화상회의, 업무 자동화(워크플로우 빌더)를 단일 플랫폼에서 제공하는 올인원(All-in-One) 협업 SaaS이다. 여러 개의 개별 툴을 조합해 사용해야 하는 경쟁 솔루션과 달리, 네오보드는 하나의 로그인·하나의 데이터베이스로 전체 업무 흐름을 관리할 수 있다는 점에서 도입 편의성과 총소유비용(TCO) 측면의 강점을 갖는다.</w:t>
      </w:r>
    </w:p>
    <w:p>
      <w:pPr>
        <w:spacing w:line="312" w:lineRule="auto" w:after="160"/>
      </w:pPr>
      <w:r>
        <w:rPr>
          <w:rFonts w:ascii="맑은 고딕" w:hAnsi="맑은 고딕" w:eastAsia="맑은 고딕"/>
          <w:b w:val="0"/>
          <w:sz w:val="22"/>
        </w:rPr>
        <w:t>가장 큰 차별화 포인트는 AI 요약 기능(PRJ-2026-05)이다. 회의록, 프로젝트 문서, 채팅 이력을 자동으로 요약하고 실행 항목(Action Item)을 추출하여 담당자에게 배정하는 기능으로, 2026년 4분기 정식 출시를 목표로 개발 중이다. AI팀은 개발본부 내 전담 조직으로 운영되며, 자체 데이터셋을 활용한 한국어·일본어 특화 요약 모델 고도화에 집중하고 있다.</w:t>
      </w:r>
    </w:p>
    <w:p>
      <w:pPr>
        <w:spacing w:line="312" w:lineRule="auto" w:after="160"/>
      </w:pPr>
      <w:r>
        <w:rPr>
          <w:rFonts w:ascii="맑은 고딕" w:hAnsi="맑은 고딕" w:eastAsia="맑은 고딕"/>
          <w:b w:val="0"/>
          <w:sz w:val="22"/>
        </w:rPr>
        <w:t>글로벌 경쟁사(예: 해외 대형 협업툴 사업자) 대비 당사의 강점은 국내 기업 업무 프로세스에 최적화된 UX와 상대적으로 유연한 가격 정책, 그리고 신속한 현지 고객 지원(CS팀 운영)에 있다. 국내 경쟁사 대비로는 AI 기능 고도화 속도와 올인원 플랫폼 완성도에서 우위를 갖는 것으로 자체 평가하고 있으며, 세부 비교표는 5장에 정리하였다.</w:t>
      </w:r>
    </w:p>
    <w:p>
      <w:pPr>
        <w:spacing w:line="312" w:lineRule="auto" w:after="160"/>
      </w:pPr>
      <w:r>
        <w:rPr>
          <w:rFonts w:ascii="맑은 고딕" w:hAnsi="맑은 고딕" w:eastAsia="맑은 고딕"/>
          <w:b w:val="0"/>
          <w:sz w:val="22"/>
        </w:rPr>
        <w:t>네오보드 3.0 리뉴얼(PRJ-2026-03)은 사용자 인터페이스 전면 개편, 응답 속도 개선(평균 페이지 로딩 시간 40% 단축 목표), 모바일 앱 사용성 강화를 핵심 목표로 한다. 리뉴얼 완료 시 기존 고객의 사용 만족도 제고는 물론, 신규 고객 유치 및 계약 단가(ARPU) 상승 효과가 기대된다.</w:t>
      </w:r>
    </w:p>
    <w:p>
      <w:pPr>
        <w:spacing w:line="312" w:lineRule="auto" w:after="160"/>
      </w:pPr>
      <w:r>
        <w:rPr>
          <w:rFonts w:ascii="맑은 고딕" w:hAnsi="맑은 고딕" w:eastAsia="맑은 고딕"/>
          <w:b w:val="0"/>
          <w:sz w:val="22"/>
        </w:rPr>
        <w:t>제품 확장성 측면에서는 외부 캘린더·메신저·전자결재 시스템과 연동 가능한 오픈 API를 제공하고 있으며, 2028년 이후에는 서드파티 개발사가 자체 부가기능을 등록할 수 있는 워크플로우 마켓플레이스 오픈을 검토하고 있다(11장 로드맵 참조). 이는 플랫폼 락인(Lock-in) 효과를 높이고 장기 고객 유지율 개선에 기여할 것으로 기대된다.</w:t>
      </w:r>
    </w:p>
    <w:p>
      <w:pPr>
        <w:spacing w:line="312" w:lineRule="auto" w:after="160"/>
      </w:pPr>
      <w:r>
        <w:rPr>
          <w:rFonts w:ascii="맑은 고딕" w:hAnsi="맑은 고딕" w:eastAsia="맑은 고딕"/>
          <w:b w:val="0"/>
          <w:sz w:val="22"/>
        </w:rPr>
        <w:t>보안 측면에서는 IT보안팀이 주도하는 ISMS 인증 취득(PRJ-2026-02)을 추진 중이며, 인증 획득 시 금융·공공기관 등 보안 요건이 높은 고객군으로의 영업 확대가 가능해질 것으로 예상된다. 이는 제품 경쟁력을 넘어 영업 파이프라인 확장이라는 관점에서도 중요한 의미를 가지며, 세부 진행상황은 15장에서 다룬다.</w:t>
      </w:r>
    </w:p>
    <w:p>
      <w:pPr>
        <w:spacing w:line="312" w:lineRule="auto" w:after="160"/>
      </w:pPr>
      <w:r>
        <w:rPr>
          <w:rFonts w:ascii="맑은 고딕" w:hAnsi="맑은 고딕" w:eastAsia="맑은 고딕"/>
          <w:b w:val="0"/>
          <w:sz w:val="22"/>
        </w:rPr>
        <w:t>고객 성공(Customer Success) 측면에서도 CS팀(팀장 배유나) 주도로 온보딩 전담 매니저 배정, 정기 활용도 점검(Health Check), 분기별 고객 만족도 조사를 운영하고 있으며, 이러한 활동이 앞서 언급한 로고 리텐션 95%, NRR 118%의 견고한 고객 지표로 이어지고 있는 것으로 분석된다. 대표적인 고객 도입 사례는 6장에서 소개한다.</w:t>
      </w:r>
    </w:p>
    <w:p>
      <w:r>
        <w:rPr>
          <w:rFonts w:ascii="맑은 고딕" w:hAnsi="맑은 고딕" w:eastAsia="맑은 고딕"/>
          <w:b/>
          <w:color w:val="1F3864"/>
          <w:sz w:val="26"/>
        </w:rPr>
        <w:t>5. 경쟁사 상세 비교</w:t>
      </w:r>
    </w:p>
    <w:p>
      <w:pPr>
        <w:spacing w:line="312" w:lineRule="auto" w:after="160"/>
      </w:pPr>
      <w:r>
        <w:rPr>
          <w:rFonts w:ascii="맑은 고딕" w:hAnsi="맑은 고딕" w:eastAsia="맑은 고딕"/>
          <w:b w:val="0"/>
          <w:sz w:val="22"/>
        </w:rPr>
        <w:t>재무회계팀과 전략기획팀이 공동으로 국내 B2B 협업툴 시장의 주요 경쟁사 3곳(콜라보허브, 팀싱크, 워크베이스)을 대상으로 기능·가격·시장점유율을 비교 분석하였다. 비교 대상은 당사와 유사한 고객군(중소·중견기업)을 주력으로 하는 국내 사업자로 한정하였으며, 글로벌 대형 사업자는 가격 정책 및 지원 체계의 이질성이 커 별도 비교에서 제외하였다.</w:t>
      </w:r>
    </w:p>
    <w:p>
      <w:pPr>
        <w:spacing w:line="312" w:lineRule="auto" w:after="160"/>
      </w:pPr>
      <w:r>
        <w:rPr>
          <w:rFonts w:ascii="맑은 고딕" w:hAnsi="맑은 고딕" w:eastAsia="맑은 고딕"/>
          <w:b w:val="0"/>
          <w:sz w:val="22"/>
        </w:rPr>
        <w:t>'콜라보허브'는 스타트업 및 초기 성장기업을 주요 타겟으로 하는 경쟁사로, 상대적으로 낮은 가격대와 간결한 기능 구성이 특징이나 AI 기반 기능과 워크플로우 자동화는 아직 부분적으로만 지원하고 있다. '팀싱크(TeamSync)'는 중견~대기업 고객을 대상으로 하며 자체 화상회의 기능과 ISMS 인증을 이미 보유하고 있어 보안 요건이 높은 고객군에서 경쟁력을 갖고 있으나, AI 요약 기능은 외부 API 연동 방식으로 제한적으로만 제공한다. '워크베이스'는 대기업 고객 비중이 높고 구독료가 상대적으로 높은 편이며 워크플로우 자동화 기능은 제공하지 않는다.</w:t>
      </w:r>
    </w:p>
    <w:p>
      <w:pPr>
        <w:spacing w:line="312" w:lineRule="auto" w:after="160"/>
      </w:pPr>
      <w:r>
        <w:rPr>
          <w:rFonts w:ascii="맑은 고딕" w:hAnsi="맑은 고딕" w:eastAsia="맑은 고딕"/>
          <w:b w:val="0"/>
          <w:sz w:val="22"/>
        </w:rPr>
        <w:t>자체 추정한 국내 시장점유율 기준으로는 콜라보허브가 24%로 가장 높고, 당사(네오보드)가 18%로 2위, 팀싱크 15%, 워크베이스 12% 순이며, 나머지는 글로벌 사업자 및 군소 사업자가 차지하고 있는 것으로 파악된다. 다만 이는 자체 영업 데이터 및 공개된 시장조사 자료를 종합한 추정치로, 조사기관에 따라 편차가 있을 수 있다.</w:t>
      </w:r>
    </w:p>
    <w:p>
      <w:pPr>
        <w:spacing w:line="312" w:lineRule="auto" w:after="160"/>
      </w:pPr>
      <w:r>
        <w:rPr>
          <w:rFonts w:ascii="맑은 고딕" w:hAnsi="맑은 고딕" w:eastAsia="맑은 고딕"/>
          <w:b w:val="0"/>
          <w:sz w:val="22"/>
        </w:rPr>
        <w:t>당사는 AI 요약 기능의 자체 모델 개발(2026년 4분기 출시 목표)과 워크플로우 자동화 완성도, 그리고 진행 중인 ISMS 인증 취득을 통해 중장기적으로 팀싱크와의 격차를 좁히는 동시에, 콜라보허브 대비 중견기업 고객군에서의 기능 우위를 강화하는 전략을 추진하고 있다. 아래 표는 주요 비교 항목을 정리한 것이다.</w:t>
      </w:r>
    </w:p>
    <w:p>
      <w:pPr>
        <w:spacing w:line="312" w:lineRule="auto" w:after="160"/>
      </w:pPr>
      <w:r>
        <w:rPr>
          <w:rFonts w:ascii="맑은 고딕" w:hAnsi="맑은 고딕" w:eastAsia="맑은 고딕"/>
          <w:b w:val="0"/>
          <w:sz w:val="22"/>
        </w:rPr>
        <w:t>가격 정책 측면에서는 당사가 1인당 월 12,000원~28,000원(요금제별 차등)으로 콜라보허브(9,000원~20,000원)보다는 높으나 팀싱크(15,000원~35,000원) 및 워크베이스(18,000원~40,000원)보다는 낮은 중간 가격대를 유지하고 있으며, 이는 올인원 기능 구성 대비 합리적인 가격이라는 포지셔닝을 뒷받침한다.</w:t>
      </w:r>
    </w:p>
    <w:p>
      <w:pPr>
        <w:spacing w:line="312" w:lineRule="auto" w:after="160"/>
      </w:pPr>
      <w:r>
        <w:rPr>
          <w:rFonts w:ascii="맑은 고딕" w:hAnsi="맑은 고딕" w:eastAsia="맑은 고딕"/>
          <w:b w:val="0"/>
          <w:sz w:val="22"/>
        </w:rPr>
        <w:t>종합적으로, 당사는 올인원 플랫폼 완성도와 AI 기능 개발 속도에서는 경쟁 우위를, 보안 인증 측면에서는 팀싱크 대비 열위를 갖고 있는 것으로 자체 평가하며, 이에 따라 ISMS 인증 조기 취득(PRJ-2026-02)이 경쟁 구도 개선의 핵심 과제로 설정되어 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항목</w:t>
            </w:r>
          </w:p>
        </w:tc>
        <w:tc>
          <w:tcPr>
            <w:tcW w:type="dxa" w:w="1728"/>
            <w:shd w:val="clear" w:color="auto" w:fill="1F3864"/>
          </w:tcPr>
          <w:p>
            <w:pPr>
              <w:jc w:val="center"/>
            </w:pPr>
            <w:r>
              <w:rPr>
                <w:rFonts w:ascii="맑은 고딕" w:hAnsi="맑은 고딕" w:eastAsia="맑은 고딕"/>
                <w:b/>
                <w:color w:val="FFFFFF"/>
                <w:sz w:val="20"/>
              </w:rPr>
              <w:t>네오웍스(네오보드)</w:t>
            </w:r>
          </w:p>
        </w:tc>
        <w:tc>
          <w:tcPr>
            <w:tcW w:type="dxa" w:w="1728"/>
            <w:shd w:val="clear" w:color="auto" w:fill="1F3864"/>
          </w:tcPr>
          <w:p>
            <w:pPr>
              <w:jc w:val="center"/>
            </w:pPr>
            <w:r>
              <w:rPr>
                <w:rFonts w:ascii="맑은 고딕" w:hAnsi="맑은 고딕" w:eastAsia="맑은 고딕"/>
                <w:b/>
                <w:color w:val="FFFFFF"/>
                <w:sz w:val="20"/>
              </w:rPr>
              <w:t>콜라보허브</w:t>
            </w:r>
          </w:p>
        </w:tc>
        <w:tc>
          <w:tcPr>
            <w:tcW w:type="dxa" w:w="1728"/>
            <w:shd w:val="clear" w:color="auto" w:fill="1F3864"/>
          </w:tcPr>
          <w:p>
            <w:pPr>
              <w:jc w:val="center"/>
            </w:pPr>
            <w:r>
              <w:rPr>
                <w:rFonts w:ascii="맑은 고딕" w:hAnsi="맑은 고딕" w:eastAsia="맑은 고딕"/>
                <w:b/>
                <w:color w:val="FFFFFF"/>
                <w:sz w:val="20"/>
              </w:rPr>
              <w:t>팀싱크(TeamSync)</w:t>
            </w:r>
          </w:p>
        </w:tc>
        <w:tc>
          <w:tcPr>
            <w:tcW w:type="dxa" w:w="1728"/>
            <w:shd w:val="clear" w:color="auto" w:fill="1F3864"/>
          </w:tcPr>
          <w:p>
            <w:pPr>
              <w:jc w:val="center"/>
            </w:pPr>
            <w:r>
              <w:rPr>
                <w:rFonts w:ascii="맑은 고딕" w:hAnsi="맑은 고딕" w:eastAsia="맑은 고딕"/>
                <w:b/>
                <w:color w:val="FFFFFF"/>
                <w:sz w:val="20"/>
              </w:rPr>
              <w:t>워크베이스</w:t>
            </w:r>
          </w:p>
        </w:tc>
      </w:tr>
      <w:tr>
        <w:tc>
          <w:tcPr>
            <w:tcW w:type="dxa" w:w="1728"/>
          </w:tcPr>
          <w:p>
            <w:r>
              <w:rPr>
                <w:rFonts w:ascii="맑은 고딕" w:hAnsi="맑은 고딕" w:eastAsia="맑은 고딕"/>
                <w:b w:val="0"/>
                <w:sz w:val="20"/>
              </w:rPr>
              <w:t>국내 시장점유율(추정)</w:t>
            </w:r>
          </w:p>
        </w:tc>
        <w:tc>
          <w:tcPr>
            <w:tcW w:type="dxa" w:w="1728"/>
          </w:tcPr>
          <w:p>
            <w:r>
              <w:rPr>
                <w:rFonts w:ascii="맑은 고딕" w:hAnsi="맑은 고딕" w:eastAsia="맑은 고딕"/>
                <w:b w:val="0"/>
                <w:sz w:val="20"/>
              </w:rPr>
              <w:t>18%</w:t>
            </w:r>
          </w:p>
        </w:tc>
        <w:tc>
          <w:tcPr>
            <w:tcW w:type="dxa" w:w="1728"/>
          </w:tcPr>
          <w:p>
            <w:r>
              <w:rPr>
                <w:rFonts w:ascii="맑은 고딕" w:hAnsi="맑은 고딕" w:eastAsia="맑은 고딕"/>
                <w:b w:val="0"/>
                <w:sz w:val="20"/>
              </w:rPr>
              <w:t>24%</w:t>
            </w:r>
          </w:p>
        </w:tc>
        <w:tc>
          <w:tcPr>
            <w:tcW w:type="dxa" w:w="1728"/>
          </w:tcPr>
          <w:p>
            <w:r>
              <w:rPr>
                <w:rFonts w:ascii="맑은 고딕" w:hAnsi="맑은 고딕" w:eastAsia="맑은 고딕"/>
                <w:b w:val="0"/>
                <w:sz w:val="20"/>
              </w:rPr>
              <w:t>15%</w:t>
            </w:r>
          </w:p>
        </w:tc>
        <w:tc>
          <w:tcPr>
            <w:tcW w:type="dxa" w:w="1728"/>
          </w:tcPr>
          <w:p>
            <w:r>
              <w:rPr>
                <w:rFonts w:ascii="맑은 고딕" w:hAnsi="맑은 고딕" w:eastAsia="맑은 고딕"/>
                <w:b w:val="0"/>
                <w:sz w:val="20"/>
              </w:rPr>
              <w:t>12%</w:t>
            </w:r>
          </w:p>
        </w:tc>
      </w:tr>
      <w:tr>
        <w:tc>
          <w:tcPr>
            <w:tcW w:type="dxa" w:w="1728"/>
            <w:shd w:val="clear" w:color="auto" w:fill="F2F2F2"/>
          </w:tcPr>
          <w:p>
            <w:r>
              <w:rPr>
                <w:rFonts w:ascii="맑은 고딕" w:hAnsi="맑은 고딕" w:eastAsia="맑은 고딕"/>
                <w:b w:val="0"/>
                <w:sz w:val="20"/>
              </w:rPr>
              <w:t>1인당 월 구독료</w:t>
            </w:r>
          </w:p>
        </w:tc>
        <w:tc>
          <w:tcPr>
            <w:tcW w:type="dxa" w:w="1728"/>
            <w:shd w:val="clear" w:color="auto" w:fill="F2F2F2"/>
          </w:tcPr>
          <w:p>
            <w:r>
              <w:rPr>
                <w:rFonts w:ascii="맑은 고딕" w:hAnsi="맑은 고딕" w:eastAsia="맑은 고딕"/>
                <w:b w:val="0"/>
                <w:sz w:val="20"/>
              </w:rPr>
              <w:t>12,000원~28,000원</w:t>
            </w:r>
          </w:p>
        </w:tc>
        <w:tc>
          <w:tcPr>
            <w:tcW w:type="dxa" w:w="1728"/>
            <w:shd w:val="clear" w:color="auto" w:fill="F2F2F2"/>
          </w:tcPr>
          <w:p>
            <w:r>
              <w:rPr>
                <w:rFonts w:ascii="맑은 고딕" w:hAnsi="맑은 고딕" w:eastAsia="맑은 고딕"/>
                <w:b w:val="0"/>
                <w:sz w:val="20"/>
              </w:rPr>
              <w:t>9,000원~20,000원</w:t>
            </w:r>
          </w:p>
        </w:tc>
        <w:tc>
          <w:tcPr>
            <w:tcW w:type="dxa" w:w="1728"/>
            <w:shd w:val="clear" w:color="auto" w:fill="F2F2F2"/>
          </w:tcPr>
          <w:p>
            <w:r>
              <w:rPr>
                <w:rFonts w:ascii="맑은 고딕" w:hAnsi="맑은 고딕" w:eastAsia="맑은 고딕"/>
                <w:b w:val="0"/>
                <w:sz w:val="20"/>
              </w:rPr>
              <w:t>15,000원~35,000원</w:t>
            </w:r>
          </w:p>
        </w:tc>
        <w:tc>
          <w:tcPr>
            <w:tcW w:type="dxa" w:w="1728"/>
            <w:shd w:val="clear" w:color="auto" w:fill="F2F2F2"/>
          </w:tcPr>
          <w:p>
            <w:r>
              <w:rPr>
                <w:rFonts w:ascii="맑은 고딕" w:hAnsi="맑은 고딕" w:eastAsia="맑은 고딕"/>
                <w:b w:val="0"/>
                <w:sz w:val="20"/>
              </w:rPr>
              <w:t>18,000원~40,000원</w:t>
            </w:r>
          </w:p>
        </w:tc>
      </w:tr>
      <w:tr>
        <w:tc>
          <w:tcPr>
            <w:tcW w:type="dxa" w:w="1728"/>
          </w:tcPr>
          <w:p>
            <w:r>
              <w:rPr>
                <w:rFonts w:ascii="맑은 고딕" w:hAnsi="맑은 고딕" w:eastAsia="맑은 고딕"/>
                <w:b w:val="0"/>
                <w:sz w:val="20"/>
              </w:rPr>
              <w:t>AI 요약 기능</w:t>
            </w:r>
          </w:p>
        </w:tc>
        <w:tc>
          <w:tcPr>
            <w:tcW w:type="dxa" w:w="1728"/>
          </w:tcPr>
          <w:p>
            <w:r>
              <w:rPr>
                <w:rFonts w:ascii="맑은 고딕" w:hAnsi="맑은 고딕" w:eastAsia="맑은 고딕"/>
                <w:b w:val="0"/>
                <w:sz w:val="20"/>
              </w:rPr>
              <w:t>2026년 4분기 출시 예정(자체모델)</w:t>
            </w:r>
          </w:p>
        </w:tc>
        <w:tc>
          <w:tcPr>
            <w:tcW w:type="dxa" w:w="1728"/>
          </w:tcPr>
          <w:p>
            <w:r>
              <w:rPr>
                <w:rFonts w:ascii="맑은 고딕" w:hAnsi="맑은 고딕" w:eastAsia="맑은 고딕"/>
                <w:b w:val="0"/>
                <w:sz w:val="20"/>
              </w:rPr>
              <w:t>미지원</w:t>
            </w:r>
          </w:p>
        </w:tc>
        <w:tc>
          <w:tcPr>
            <w:tcW w:type="dxa" w:w="1728"/>
          </w:tcPr>
          <w:p>
            <w:r>
              <w:rPr>
                <w:rFonts w:ascii="맑은 고딕" w:hAnsi="맑은 고딕" w:eastAsia="맑은 고딕"/>
                <w:b w:val="0"/>
                <w:sz w:val="20"/>
              </w:rPr>
              <w:t>부분지원(외부 API 연동)</w:t>
            </w:r>
          </w:p>
        </w:tc>
        <w:tc>
          <w:tcPr>
            <w:tcW w:type="dxa" w:w="1728"/>
          </w:tcPr>
          <w:p>
            <w:r>
              <w:rPr>
                <w:rFonts w:ascii="맑은 고딕" w:hAnsi="맑은 고딕" w:eastAsia="맑은 고딕"/>
                <w:b w:val="0"/>
                <w:sz w:val="20"/>
              </w:rPr>
              <w:t>미지원</w:t>
            </w:r>
          </w:p>
        </w:tc>
      </w:tr>
      <w:tr>
        <w:tc>
          <w:tcPr>
            <w:tcW w:type="dxa" w:w="1728"/>
            <w:shd w:val="clear" w:color="auto" w:fill="F2F2F2"/>
          </w:tcPr>
          <w:p>
            <w:r>
              <w:rPr>
                <w:rFonts w:ascii="맑은 고딕" w:hAnsi="맑은 고딕" w:eastAsia="맑은 고딕"/>
                <w:b w:val="0"/>
                <w:sz w:val="20"/>
              </w:rPr>
              <w:t>화상회의 연동</w:t>
            </w:r>
          </w:p>
        </w:tc>
        <w:tc>
          <w:tcPr>
            <w:tcW w:type="dxa" w:w="1728"/>
            <w:shd w:val="clear" w:color="auto" w:fill="F2F2F2"/>
          </w:tcPr>
          <w:p>
            <w:r>
              <w:rPr>
                <w:rFonts w:ascii="맑은 고딕" w:hAnsi="맑은 고딕" w:eastAsia="맑은 고딕"/>
                <w:b w:val="0"/>
                <w:sz w:val="20"/>
              </w:rPr>
              <w:t>자체 개발+외부 연동</w:t>
            </w:r>
          </w:p>
        </w:tc>
        <w:tc>
          <w:tcPr>
            <w:tcW w:type="dxa" w:w="1728"/>
            <w:shd w:val="clear" w:color="auto" w:fill="F2F2F2"/>
          </w:tcPr>
          <w:p>
            <w:r>
              <w:rPr>
                <w:rFonts w:ascii="맑은 고딕" w:hAnsi="맑은 고딕" w:eastAsia="맑은 고딕"/>
                <w:b w:val="0"/>
                <w:sz w:val="20"/>
              </w:rPr>
              <w:t>외부 연동만 지원</w:t>
            </w:r>
          </w:p>
        </w:tc>
        <w:tc>
          <w:tcPr>
            <w:tcW w:type="dxa" w:w="1728"/>
            <w:shd w:val="clear" w:color="auto" w:fill="F2F2F2"/>
          </w:tcPr>
          <w:p>
            <w:r>
              <w:rPr>
                <w:rFonts w:ascii="맑은 고딕" w:hAnsi="맑은 고딕" w:eastAsia="맑은 고딕"/>
                <w:b w:val="0"/>
                <w:sz w:val="20"/>
              </w:rPr>
              <w:t>자체 개발</w:t>
            </w:r>
          </w:p>
        </w:tc>
        <w:tc>
          <w:tcPr>
            <w:tcW w:type="dxa" w:w="1728"/>
            <w:shd w:val="clear" w:color="auto" w:fill="F2F2F2"/>
          </w:tcPr>
          <w:p>
            <w:r>
              <w:rPr>
                <w:rFonts w:ascii="맑은 고딕" w:hAnsi="맑은 고딕" w:eastAsia="맑은 고딕"/>
                <w:b w:val="0"/>
                <w:sz w:val="20"/>
              </w:rPr>
              <w:t>외부 연동만 지원</w:t>
            </w:r>
          </w:p>
        </w:tc>
      </w:tr>
      <w:tr>
        <w:tc>
          <w:tcPr>
            <w:tcW w:type="dxa" w:w="1728"/>
          </w:tcPr>
          <w:p>
            <w:r>
              <w:rPr>
                <w:rFonts w:ascii="맑은 고딕" w:hAnsi="맑은 고딕" w:eastAsia="맑은 고딕"/>
                <w:b w:val="0"/>
                <w:sz w:val="20"/>
              </w:rPr>
              <w:t>워크플로우 자동화(No-code)</w:t>
            </w:r>
          </w:p>
        </w:tc>
        <w:tc>
          <w:tcPr>
            <w:tcW w:type="dxa" w:w="1728"/>
          </w:tcPr>
          <w:p>
            <w:r>
              <w:rPr>
                <w:rFonts w:ascii="맑은 고딕" w:hAnsi="맑은 고딕" w:eastAsia="맑은 고딕"/>
                <w:b w:val="0"/>
                <w:sz w:val="20"/>
              </w:rPr>
              <w:t>지원</w:t>
            </w:r>
          </w:p>
        </w:tc>
        <w:tc>
          <w:tcPr>
            <w:tcW w:type="dxa" w:w="1728"/>
          </w:tcPr>
          <w:p>
            <w:r>
              <w:rPr>
                <w:rFonts w:ascii="맑은 고딕" w:hAnsi="맑은 고딕" w:eastAsia="맑은 고딕"/>
                <w:b w:val="0"/>
                <w:sz w:val="20"/>
              </w:rPr>
              <w:t>부분지원</w:t>
            </w:r>
          </w:p>
        </w:tc>
        <w:tc>
          <w:tcPr>
            <w:tcW w:type="dxa" w:w="1728"/>
          </w:tcPr>
          <w:p>
            <w:r>
              <w:rPr>
                <w:rFonts w:ascii="맑은 고딕" w:hAnsi="맑은 고딕" w:eastAsia="맑은 고딕"/>
                <w:b w:val="0"/>
                <w:sz w:val="20"/>
              </w:rPr>
              <w:t>지원</w:t>
            </w:r>
          </w:p>
        </w:tc>
        <w:tc>
          <w:tcPr>
            <w:tcW w:type="dxa" w:w="1728"/>
          </w:tcPr>
          <w:p>
            <w:r>
              <w:rPr>
                <w:rFonts w:ascii="맑은 고딕" w:hAnsi="맑은 고딕" w:eastAsia="맑은 고딕"/>
                <w:b w:val="0"/>
                <w:sz w:val="20"/>
              </w:rPr>
              <w:t>미지원</w:t>
            </w:r>
          </w:p>
        </w:tc>
      </w:tr>
      <w:tr>
        <w:tc>
          <w:tcPr>
            <w:tcW w:type="dxa" w:w="1728"/>
            <w:shd w:val="clear" w:color="auto" w:fill="F2F2F2"/>
          </w:tcPr>
          <w:p>
            <w:r>
              <w:rPr>
                <w:rFonts w:ascii="맑은 고딕" w:hAnsi="맑은 고딕" w:eastAsia="맑은 고딕"/>
                <w:b w:val="0"/>
                <w:sz w:val="20"/>
              </w:rPr>
              <w:t>ISMS 등 보안인증</w:t>
            </w:r>
          </w:p>
        </w:tc>
        <w:tc>
          <w:tcPr>
            <w:tcW w:type="dxa" w:w="1728"/>
            <w:shd w:val="clear" w:color="auto" w:fill="F2F2F2"/>
          </w:tcPr>
          <w:p>
            <w:r>
              <w:rPr>
                <w:rFonts w:ascii="맑은 고딕" w:hAnsi="맑은 고딕" w:eastAsia="맑은 고딕"/>
                <w:b w:val="0"/>
                <w:sz w:val="20"/>
              </w:rPr>
              <w:t>인증 진행중(2027년 1분기 목표)</w:t>
            </w:r>
          </w:p>
        </w:tc>
        <w:tc>
          <w:tcPr>
            <w:tcW w:type="dxa" w:w="1728"/>
            <w:shd w:val="clear" w:color="auto" w:fill="F2F2F2"/>
          </w:tcPr>
          <w:p>
            <w:r>
              <w:rPr>
                <w:rFonts w:ascii="맑은 고딕" w:hAnsi="맑은 고딕" w:eastAsia="맑은 고딕"/>
                <w:b w:val="0"/>
                <w:sz w:val="20"/>
              </w:rPr>
              <w:t>미보유</w:t>
            </w:r>
          </w:p>
        </w:tc>
        <w:tc>
          <w:tcPr>
            <w:tcW w:type="dxa" w:w="1728"/>
            <w:shd w:val="clear" w:color="auto" w:fill="F2F2F2"/>
          </w:tcPr>
          <w:p>
            <w:r>
              <w:rPr>
                <w:rFonts w:ascii="맑은 고딕" w:hAnsi="맑은 고딕" w:eastAsia="맑은 고딕"/>
                <w:b w:val="0"/>
                <w:sz w:val="20"/>
              </w:rPr>
              <w:t>보유(2024년 취득)</w:t>
            </w:r>
          </w:p>
        </w:tc>
        <w:tc>
          <w:tcPr>
            <w:tcW w:type="dxa" w:w="1728"/>
            <w:shd w:val="clear" w:color="auto" w:fill="F2F2F2"/>
          </w:tcPr>
          <w:p>
            <w:r>
              <w:rPr>
                <w:rFonts w:ascii="맑은 고딕" w:hAnsi="맑은 고딕" w:eastAsia="맑은 고딕"/>
                <w:b w:val="0"/>
                <w:sz w:val="20"/>
              </w:rPr>
              <w:t>미보유</w:t>
            </w:r>
          </w:p>
        </w:tc>
      </w:tr>
      <w:tr>
        <w:tc>
          <w:tcPr>
            <w:tcW w:type="dxa" w:w="1728"/>
          </w:tcPr>
          <w:p>
            <w:r>
              <w:rPr>
                <w:rFonts w:ascii="맑은 고딕" w:hAnsi="맑은 고딕" w:eastAsia="맑은 고딕"/>
                <w:b w:val="0"/>
                <w:sz w:val="20"/>
              </w:rPr>
              <w:t>주요 타겟 고객군</w:t>
            </w:r>
          </w:p>
        </w:tc>
        <w:tc>
          <w:tcPr>
            <w:tcW w:type="dxa" w:w="1728"/>
          </w:tcPr>
          <w:p>
            <w:r>
              <w:rPr>
                <w:rFonts w:ascii="맑은 고딕" w:hAnsi="맑은 고딕" w:eastAsia="맑은 고딕"/>
                <w:b w:val="0"/>
                <w:sz w:val="20"/>
              </w:rPr>
              <w:t>중소·중견기업</w:t>
            </w:r>
          </w:p>
        </w:tc>
        <w:tc>
          <w:tcPr>
            <w:tcW w:type="dxa" w:w="1728"/>
          </w:tcPr>
          <w:p>
            <w:r>
              <w:rPr>
                <w:rFonts w:ascii="맑은 고딕" w:hAnsi="맑은 고딕" w:eastAsia="맑은 고딕"/>
                <w:b w:val="0"/>
                <w:sz w:val="20"/>
              </w:rPr>
              <w:t>스타트업·초기 성장기업</w:t>
            </w:r>
          </w:p>
        </w:tc>
        <w:tc>
          <w:tcPr>
            <w:tcW w:type="dxa" w:w="1728"/>
          </w:tcPr>
          <w:p>
            <w:r>
              <w:rPr>
                <w:rFonts w:ascii="맑은 고딕" w:hAnsi="맑은 고딕" w:eastAsia="맑은 고딕"/>
                <w:b w:val="0"/>
                <w:sz w:val="20"/>
              </w:rPr>
              <w:t>중견~대기업</w:t>
            </w:r>
          </w:p>
        </w:tc>
        <w:tc>
          <w:tcPr>
            <w:tcW w:type="dxa" w:w="1728"/>
          </w:tcPr>
          <w:p>
            <w:r>
              <w:rPr>
                <w:rFonts w:ascii="맑은 고딕" w:hAnsi="맑은 고딕" w:eastAsia="맑은 고딕"/>
                <w:b w:val="0"/>
                <w:sz w:val="20"/>
              </w:rPr>
              <w:t>대기업</w:t>
            </w:r>
          </w:p>
        </w:tc>
      </w:tr>
    </w:tbl>
    <w:p/>
    <w:p>
      <w:r>
        <w:rPr>
          <w:rFonts w:ascii="맑은 고딕" w:hAnsi="맑은 고딕" w:eastAsia="맑은 고딕"/>
          <w:b/>
          <w:color w:val="1F3864"/>
          <w:sz w:val="26"/>
        </w:rPr>
        <w:t>6. 고객 사례(Case Study)</w:t>
      </w:r>
    </w:p>
    <w:p>
      <w:pPr>
        <w:spacing w:line="312" w:lineRule="auto" w:after="160"/>
      </w:pPr>
      <w:r>
        <w:rPr>
          <w:rFonts w:ascii="맑은 고딕" w:hAnsi="맑은 고딕" w:eastAsia="맑은 고딕"/>
          <w:b w:val="0"/>
          <w:sz w:val="22"/>
        </w:rPr>
        <w:t>본 장에서는 네오보드를 도입한 대표 고객사 3곳의 사례를 산업군별로 소개한다. 아래 사례는 고객사와의 협의를 거쳐 투자자 설명 목적으로 재구성한 것으로, 세부 계약 조건 및 정량 지표는 고객사 요청에 따라 일부 반올림·범위화하여 기재하였다.</w:t>
      </w:r>
    </w:p>
    <w:p>
      <w:pPr>
        <w:spacing w:line="312" w:lineRule="auto" w:after="160"/>
      </w:pPr>
      <w:r>
        <w:rPr>
          <w:rFonts w:ascii="맑은 고딕" w:hAnsi="맑은 고딕" w:eastAsia="맑은 고딕"/>
          <w:b w:val="0"/>
          <w:sz w:val="22"/>
        </w:rPr>
        <w:t>[사례 1] 제조업 - 대한정밀㈜(종업원 약 320명): 다수의 생산라인과 협력사가 관여하는 프로젝트 관리에 어려움을 겪던 대한정밀㈜은 2025년 초 네오보드를 전사 도입하였다. 워크플로우 빌더를 활용해 발주-검수-정산으로 이어지는 협력사 협업 프로세스를 자동화한 결과, 프로젝트 일정 지연 건수가 도입 전 대비 약 30% 감소하였으며, 상위 요금제로 전환하여 ARPU 개선에도 기여한 대표 고객사이다.</w:t>
      </w:r>
    </w:p>
    <w:p>
      <w:pPr>
        <w:spacing w:line="312" w:lineRule="auto" w:after="160"/>
      </w:pPr>
      <w:r>
        <w:rPr>
          <w:rFonts w:ascii="맑은 고딕" w:hAnsi="맑은 고딕" w:eastAsia="맑은 고딕"/>
          <w:b w:val="0"/>
          <w:sz w:val="22"/>
        </w:rPr>
        <w:t>[사례 2] 금융업 - 미래저축은행: 보안 요건이 높은 금융업 특성상 초기에는 클라우드 기반 협업툴 도입에 소극적이었으나, 당사가 ISMS 인증 취득을 추진 중이라는 점과 데이터 암호화·접근통제 정책을 IT보안팀이 직접 설명한 것을 계기로 2025년 하반기 도입을 결정하였다. 지점 간 화상회의와 문서 공동편집을 통해 본지점 간 협업 소요 시간이 단축되었다는 평가를 받고 있으며, ISMS 인증 완료 시 계약 규모 확대를 논의하기로 한 상태이다.</w:t>
      </w:r>
    </w:p>
    <w:p>
      <w:pPr>
        <w:spacing w:line="312" w:lineRule="auto" w:after="160"/>
      </w:pPr>
      <w:r>
        <w:rPr>
          <w:rFonts w:ascii="맑은 고딕" w:hAnsi="맑은 고딕" w:eastAsia="맑은 고딕"/>
          <w:b w:val="0"/>
          <w:sz w:val="22"/>
        </w:rPr>
        <w:t>[사례 3] 유통·물류업 - 그린유통㈜(전국 다수 지점 운영): 지점별로 상이한 업무 방식을 표준화할 필요가 있었던 그린유통㈜은 2024년 네오보드를 도입하였으며, CS팀의 온보딩 전담 매니저 지원을 통해 약 6주 만에 전사 정착을 완료하였다. 발주-정산 프로세스를 워크플로우 자동화로 전환한 이후 담당자 1인당 처리 업무량이 늘어난 반면 처리 시간은 단축되어, 대표적인 로고 리텐션 우수 사례로 꼽힌다.</w:t>
      </w:r>
    </w:p>
    <w:p>
      <w:pPr>
        <w:spacing w:line="312" w:lineRule="auto" w:after="160"/>
      </w:pPr>
      <w:r>
        <w:rPr>
          <w:rFonts w:ascii="맑은 고딕" w:hAnsi="맑은 고딕" w:eastAsia="맑은 고딕"/>
          <w:b w:val="0"/>
          <w:sz w:val="22"/>
        </w:rPr>
        <w:t>세 사례 모두 공통적으로 (1) 워크플로우 자동화를 통한 반복 업무 효율화, (2) CS팀의 온보딩 지원을 통한 초기 정착률 제고, (3) 보안·인증 요건에 대한 신뢰도가 계약 확대의 핵심 요인으로 작용하였다는 공통점을 보인다. 이는 앞서 6장(고객 및 매출 성장 지표, 문서상 8장)에서 제시한 NRR 118%, 로고 리텐션 95%의 배경을 뒷받침하는 정성적 근거로 활용될 수 있다.</w:t>
      </w:r>
    </w:p>
    <w:p>
      <w:pPr>
        <w:spacing w:line="312" w:lineRule="auto" w:after="160"/>
      </w:pPr>
      <w:r>
        <w:rPr>
          <w:rFonts w:ascii="맑은 고딕" w:hAnsi="맑은 고딕" w:eastAsia="맑은 고딕"/>
          <w:b w:val="0"/>
          <w:sz w:val="22"/>
        </w:rPr>
        <w:t>재무회계팀은 투자자 실사 과정에서 필요시 추가 고객 인터뷰 또는 레퍼런스 콜을 주선할 수 있으며, 구체적인 고객사 연락처 및 계약 조건은 NDA 체결 이후 영업팀(팀장 오세훈)을 통해 제공할 예정이다.</w:t>
      </w:r>
    </w:p>
    <w:p>
      <w:r>
        <w:rPr>
          <w:rFonts w:ascii="맑은 고딕" w:hAnsi="맑은 고딕" w:eastAsia="맑은 고딕"/>
          <w:b/>
          <w:color w:val="1F3864"/>
          <w:sz w:val="26"/>
        </w:rPr>
        <w:t>7. 최근 3개년 재무 성과</w:t>
      </w:r>
    </w:p>
    <w:p>
      <w:pPr>
        <w:spacing w:line="312" w:lineRule="auto" w:after="160"/>
      </w:pPr>
      <w:r>
        <w:rPr>
          <w:rFonts w:ascii="맑은 고딕" w:hAnsi="맑은 고딕" w:eastAsia="맑은 고딕"/>
          <w:b w:val="0"/>
          <w:sz w:val="22"/>
        </w:rPr>
        <w:t>2024년부터 2026년(전망)까지 최근 3개년간 매출액은 연평균 약 32.7% 성장하였으며, 영업이익률은 9.0%에서 12.0%로 지속적으로 개선되고 있다. 2026년 수치는 8월 현재까지의 실적과 하반기 추정치를 반영한 전망치(E)이며, 최근 분기(2026년 2분기 기준) 매출 약 18억원 수준이 유지될 경우 연간 매출 목표 74억원 달성이 가능할 것으로 판단된다.</w:t>
      </w:r>
    </w:p>
    <w:p>
      <w:pPr>
        <w:spacing w:line="312" w:lineRule="auto" w:after="160"/>
      </w:pPr>
      <w:r>
        <w:rPr>
          <w:rFonts w:ascii="맑은 고딕" w:hAnsi="맑은 고딕" w:eastAsia="맑은 고딕"/>
          <w:b w:val="0"/>
          <w:sz w:val="22"/>
        </w:rPr>
        <w:t>영업이익률 개선은 크게 두 가지 요인에 기인한다. 첫째, 네오보드 구독형 매출 비중이 확대되면서 매출의 예측 가능성과 수익성이 함께 개선되었다. 둘째, 클라우드 인프라 사용 효율화 및 개발 프로세스 자동화를 통해 매출 대비 원가율이 지속적으로 낮아지고 있다.</w:t>
      </w:r>
    </w:p>
    <w:p>
      <w:pPr>
        <w:spacing w:line="312" w:lineRule="auto" w:after="160"/>
      </w:pPr>
      <w:r>
        <w:rPr>
          <w:rFonts w:ascii="맑은 고딕" w:hAnsi="맑은 고딕" w:eastAsia="맑은 고딕"/>
          <w:b w:val="0"/>
          <w:sz w:val="22"/>
        </w:rPr>
        <w:t>연환산 반복매출(ARR) 역시 2024년 38.0억원에서 2026년(E) 71.0억원까지 성장할 것으로 전망되며, 이는 신규 고객 확보뿐 아니라 기존 고객의 계약 갱신 및 상향 판매(Upsell)가 함께 기여한 결과이다. 순이익 또한 2024년 2.9억원에서 2026년(E) 7.0억원까지 증가할 것으로 전망되어, 외형 성장과 수익성 개선이 동시에 이루어지고 있음을 확인할 수 있다.</w:t>
      </w:r>
    </w:p>
    <w:p>
      <w:pPr>
        <w:spacing w:line="312" w:lineRule="auto" w:after="160"/>
      </w:pPr>
      <w:r>
        <w:rPr>
          <w:rFonts w:ascii="맑은 고딕" w:hAnsi="맑은 고딕" w:eastAsia="맑은 고딕"/>
          <w:b w:val="0"/>
          <w:sz w:val="22"/>
        </w:rPr>
        <w:t>아래 표는 2024년부터 2026년(전망)까지 매출액, 영업이익, 영업이익률, 순이익, ARR, 매출 성장률(YoY)을 정리한 것이다.</w:t>
      </w:r>
    </w:p>
    <w:p>
      <w:pPr>
        <w:spacing w:line="312" w:lineRule="auto" w:after="160"/>
      </w:pPr>
      <w:r>
        <w:rPr>
          <w:rFonts w:ascii="맑은 고딕" w:hAnsi="맑은 고딕" w:eastAsia="맑은 고딕"/>
          <w:b w:val="0"/>
          <w:sz w:val="22"/>
        </w:rPr>
        <w:t>재무회계팀은 2026년 결산이 확정되는 대로 상세 재무제표 및 외부감사 결과를 투자자에게 별도 제공할 예정이며, 본 표의 2026년(E) 수치는 결산 확정 과정에서 일부 조정될 수 있음을 밝혀둔다. 간략화된 재무상태표 요약은 16장 부록에 별도로 수록하였다.</w:t>
      </w:r>
    </w:p>
    <w:p>
      <w:pPr>
        <w:spacing w:line="312" w:lineRule="auto" w:after="160"/>
      </w:pPr>
      <w:r>
        <w:rPr>
          <w:rFonts w:ascii="맑은 고딕" w:hAnsi="맑은 고딕" w:eastAsia="맑은 고딕"/>
          <w:b w:val="0"/>
          <w:sz w:val="22"/>
        </w:rPr>
        <w:t>비용 구조를 살펴보면, 매출원가(주로 클라우드 인프라 비용)는 매출 대비 비중이 2024년 약 22%에서 2026년(E) 약 18%로 낮아지고 있으며, 인건비는 개발본부 및 영업팀 인력 충원에 따라 절대금액은 증가하고 있으나 매출 성장 속도가 이를 상회하여 매출 대비 비중은 안정적으로 유지되고 있다.</w:t>
      </w:r>
    </w:p>
    <w:p>
      <w:pPr>
        <w:spacing w:line="312" w:lineRule="auto" w:after="160"/>
      </w:pPr>
      <w:r>
        <w:rPr>
          <w:rFonts w:ascii="맑은 고딕" w:hAnsi="맑은 고딕" w:eastAsia="맑은 고딕"/>
          <w:b w:val="0"/>
          <w:sz w:val="22"/>
        </w:rPr>
        <w:t>현금 흐름 측면에서는 영업활동을 통한 현금 창출이 지속되고 있어 별도의 외부 차입 없이도 운영자금을 충당하고 있으며, 2026년 6월말 기준 현금성자산은 약 22억원 수준으로 약 12개월치 운영비용에 해당하는 유동성을 확보하고 있다. 금번 Series B 자금은 이러한 안정적 재무 기반 위에서 성장 가속화를 위한 투자재원으로 활용될 예정이다.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rFonts w:ascii="맑은 고딕" w:hAnsi="맑은 고딕" w:eastAsia="맑은 고딕"/>
                <w:b/>
                <w:color w:val="FFFFFF"/>
                <w:sz w:val="20"/>
              </w:rPr>
              <w:t>연도</w:t>
            </w:r>
          </w:p>
        </w:tc>
        <w:tc>
          <w:tcPr>
            <w:tcW w:type="dxa" w:w="1234"/>
            <w:shd w:val="clear" w:color="auto" w:fill="1F3864"/>
          </w:tcPr>
          <w:p>
            <w:pPr>
              <w:jc w:val="center"/>
            </w:pPr>
            <w:r>
              <w:rPr>
                <w:rFonts w:ascii="맑은 고딕" w:hAnsi="맑은 고딕" w:eastAsia="맑은 고딕"/>
                <w:b/>
                <w:color w:val="FFFFFF"/>
                <w:sz w:val="20"/>
              </w:rPr>
              <w:t>매출액(억원)</w:t>
            </w:r>
          </w:p>
        </w:tc>
        <w:tc>
          <w:tcPr>
            <w:tcW w:type="dxa" w:w="1234"/>
            <w:shd w:val="clear" w:color="auto" w:fill="1F3864"/>
          </w:tcPr>
          <w:p>
            <w:pPr>
              <w:jc w:val="center"/>
            </w:pPr>
            <w:r>
              <w:rPr>
                <w:rFonts w:ascii="맑은 고딕" w:hAnsi="맑은 고딕" w:eastAsia="맑은 고딕"/>
                <w:b/>
                <w:color w:val="FFFFFF"/>
                <w:sz w:val="20"/>
              </w:rPr>
              <w:t>영업이익(억원)</w:t>
            </w:r>
          </w:p>
        </w:tc>
        <w:tc>
          <w:tcPr>
            <w:tcW w:type="dxa" w:w="1234"/>
            <w:shd w:val="clear" w:color="auto" w:fill="1F3864"/>
          </w:tcPr>
          <w:p>
            <w:pPr>
              <w:jc w:val="center"/>
            </w:pPr>
            <w:r>
              <w:rPr>
                <w:rFonts w:ascii="맑은 고딕" w:hAnsi="맑은 고딕" w:eastAsia="맑은 고딕"/>
                <w:b/>
                <w:color w:val="FFFFFF"/>
                <w:sz w:val="20"/>
              </w:rPr>
              <w:t>영업이익률</w:t>
            </w:r>
          </w:p>
        </w:tc>
        <w:tc>
          <w:tcPr>
            <w:tcW w:type="dxa" w:w="1234"/>
            <w:shd w:val="clear" w:color="auto" w:fill="1F3864"/>
          </w:tcPr>
          <w:p>
            <w:pPr>
              <w:jc w:val="center"/>
            </w:pPr>
            <w:r>
              <w:rPr>
                <w:rFonts w:ascii="맑은 고딕" w:hAnsi="맑은 고딕" w:eastAsia="맑은 고딕"/>
                <w:b/>
                <w:color w:val="FFFFFF"/>
                <w:sz w:val="20"/>
              </w:rPr>
              <w:t>순이익(억원)</w:t>
            </w:r>
          </w:p>
        </w:tc>
        <w:tc>
          <w:tcPr>
            <w:tcW w:type="dxa" w:w="1234"/>
            <w:shd w:val="clear" w:color="auto" w:fill="1F3864"/>
          </w:tcPr>
          <w:p>
            <w:pPr>
              <w:jc w:val="center"/>
            </w:pPr>
            <w:r>
              <w:rPr>
                <w:rFonts w:ascii="맑은 고딕" w:hAnsi="맑은 고딕" w:eastAsia="맑은 고딕"/>
                <w:b/>
                <w:color w:val="FFFFFF"/>
                <w:sz w:val="20"/>
              </w:rPr>
              <w:t>ARR(억원)</w:t>
            </w:r>
          </w:p>
        </w:tc>
        <w:tc>
          <w:tcPr>
            <w:tcW w:type="dxa" w:w="1234"/>
            <w:shd w:val="clear" w:color="auto" w:fill="1F3864"/>
          </w:tcPr>
          <w:p>
            <w:pPr>
              <w:jc w:val="center"/>
            </w:pPr>
            <w:r>
              <w:rPr>
                <w:rFonts w:ascii="맑은 고딕" w:hAnsi="맑은 고딕" w:eastAsia="맑은 고딕"/>
                <w:b/>
                <w:color w:val="FFFFFF"/>
                <w:sz w:val="20"/>
              </w:rPr>
              <w:t>매출 성장률(YoY)</w:t>
            </w:r>
          </w:p>
        </w:tc>
      </w:tr>
      <w:tr>
        <w:tc>
          <w:tcPr>
            <w:tcW w:type="dxa" w:w="1234"/>
          </w:tcPr>
          <w:p>
            <w:r>
              <w:rPr>
                <w:rFonts w:ascii="맑은 고딕" w:hAnsi="맑은 고딕" w:eastAsia="맑은 고딕"/>
                <w:b w:val="0"/>
                <w:sz w:val="20"/>
              </w:rPr>
              <w:t>2024</w:t>
            </w:r>
          </w:p>
        </w:tc>
        <w:tc>
          <w:tcPr>
            <w:tcW w:type="dxa" w:w="1234"/>
          </w:tcPr>
          <w:p>
            <w:r>
              <w:rPr>
                <w:rFonts w:ascii="맑은 고딕" w:hAnsi="맑은 고딕" w:eastAsia="맑은 고딕"/>
                <w:b w:val="0"/>
                <w:sz w:val="20"/>
              </w:rPr>
              <w:t>42.0</w:t>
            </w:r>
          </w:p>
        </w:tc>
        <w:tc>
          <w:tcPr>
            <w:tcW w:type="dxa" w:w="1234"/>
          </w:tcPr>
          <w:p>
            <w:r>
              <w:rPr>
                <w:rFonts w:ascii="맑은 고딕" w:hAnsi="맑은 고딕" w:eastAsia="맑은 고딕"/>
                <w:b w:val="0"/>
                <w:sz w:val="20"/>
              </w:rPr>
              <w:t>3.8</w:t>
            </w:r>
          </w:p>
        </w:tc>
        <w:tc>
          <w:tcPr>
            <w:tcW w:type="dxa" w:w="1234"/>
          </w:tcPr>
          <w:p>
            <w:r>
              <w:rPr>
                <w:rFonts w:ascii="맑은 고딕" w:hAnsi="맑은 고딕" w:eastAsia="맑은 고딕"/>
                <w:b w:val="0"/>
                <w:sz w:val="20"/>
              </w:rPr>
              <w:t>9.0%</w:t>
            </w:r>
          </w:p>
        </w:tc>
        <w:tc>
          <w:tcPr>
            <w:tcW w:type="dxa" w:w="1234"/>
          </w:tcPr>
          <w:p>
            <w:r>
              <w:rPr>
                <w:rFonts w:ascii="맑은 고딕" w:hAnsi="맑은 고딕" w:eastAsia="맑은 고딕"/>
                <w:b w:val="0"/>
                <w:sz w:val="20"/>
              </w:rPr>
              <w:t>2.9</w:t>
            </w:r>
          </w:p>
        </w:tc>
        <w:tc>
          <w:tcPr>
            <w:tcW w:type="dxa" w:w="1234"/>
          </w:tcPr>
          <w:p>
            <w:r>
              <w:rPr>
                <w:rFonts w:ascii="맑은 고딕" w:hAnsi="맑은 고딕" w:eastAsia="맑은 고딕"/>
                <w:b w:val="0"/>
                <w:sz w:val="20"/>
              </w:rPr>
              <w:t>38.0</w:t>
            </w:r>
          </w:p>
        </w:tc>
        <w:tc>
          <w:tcPr>
            <w:tcW w:type="dxa" w:w="1234"/>
          </w:tcPr>
          <w:p>
            <w:r>
              <w:rPr>
                <w:rFonts w:ascii="맑은 고딕" w:hAnsi="맑은 고딕" w:eastAsia="맑은 고딕"/>
                <w:b w:val="0"/>
                <w:sz w:val="20"/>
              </w:rPr>
              <w:t>-</w:t>
            </w:r>
          </w:p>
        </w:tc>
      </w:tr>
      <w:tr>
        <w:tc>
          <w:tcPr>
            <w:tcW w:type="dxa" w:w="1234"/>
            <w:shd w:val="clear" w:color="auto" w:fill="F2F2F2"/>
          </w:tcPr>
          <w:p>
            <w:r>
              <w:rPr>
                <w:rFonts w:ascii="맑은 고딕" w:hAnsi="맑은 고딕" w:eastAsia="맑은 고딕"/>
                <w:b w:val="0"/>
                <w:sz w:val="20"/>
              </w:rPr>
              <w:t>2025</w:t>
            </w:r>
          </w:p>
        </w:tc>
        <w:tc>
          <w:tcPr>
            <w:tcW w:type="dxa" w:w="1234"/>
            <w:shd w:val="clear" w:color="auto" w:fill="F2F2F2"/>
          </w:tcPr>
          <w:p>
            <w:r>
              <w:rPr>
                <w:rFonts w:ascii="맑은 고딕" w:hAnsi="맑은 고딕" w:eastAsia="맑은 고딕"/>
                <w:b w:val="0"/>
                <w:sz w:val="20"/>
              </w:rPr>
              <w:t>58.0</w:t>
            </w:r>
          </w:p>
        </w:tc>
        <w:tc>
          <w:tcPr>
            <w:tcW w:type="dxa" w:w="1234"/>
            <w:shd w:val="clear" w:color="auto" w:fill="F2F2F2"/>
          </w:tcPr>
          <w:p>
            <w:r>
              <w:rPr>
                <w:rFonts w:ascii="맑은 고딕" w:hAnsi="맑은 고딕" w:eastAsia="맑은 고딕"/>
                <w:b w:val="0"/>
                <w:sz w:val="20"/>
              </w:rPr>
              <w:t>6.5</w:t>
            </w:r>
          </w:p>
        </w:tc>
        <w:tc>
          <w:tcPr>
            <w:tcW w:type="dxa" w:w="1234"/>
            <w:shd w:val="clear" w:color="auto" w:fill="F2F2F2"/>
          </w:tcPr>
          <w:p>
            <w:r>
              <w:rPr>
                <w:rFonts w:ascii="맑은 고딕" w:hAnsi="맑은 고딕" w:eastAsia="맑은 고딕"/>
                <w:b w:val="0"/>
                <w:sz w:val="20"/>
              </w:rPr>
              <w:t>11.2%</w:t>
            </w:r>
          </w:p>
        </w:tc>
        <w:tc>
          <w:tcPr>
            <w:tcW w:type="dxa" w:w="1234"/>
            <w:shd w:val="clear" w:color="auto" w:fill="F2F2F2"/>
          </w:tcPr>
          <w:p>
            <w:r>
              <w:rPr>
                <w:rFonts w:ascii="맑은 고딕" w:hAnsi="맑은 고딕" w:eastAsia="맑은 고딕"/>
                <w:b w:val="0"/>
                <w:sz w:val="20"/>
              </w:rPr>
              <w:t>5.1</w:t>
            </w:r>
          </w:p>
        </w:tc>
        <w:tc>
          <w:tcPr>
            <w:tcW w:type="dxa" w:w="1234"/>
            <w:shd w:val="clear" w:color="auto" w:fill="F2F2F2"/>
          </w:tcPr>
          <w:p>
            <w:r>
              <w:rPr>
                <w:rFonts w:ascii="맑은 고딕" w:hAnsi="맑은 고딕" w:eastAsia="맑은 고딕"/>
                <w:b w:val="0"/>
                <w:sz w:val="20"/>
              </w:rPr>
              <w:t>54.0</w:t>
            </w:r>
          </w:p>
        </w:tc>
        <w:tc>
          <w:tcPr>
            <w:tcW w:type="dxa" w:w="1234"/>
            <w:shd w:val="clear" w:color="auto" w:fill="F2F2F2"/>
          </w:tcPr>
          <w:p>
            <w:r>
              <w:rPr>
                <w:rFonts w:ascii="맑은 고딕" w:hAnsi="맑은 고딕" w:eastAsia="맑은 고딕"/>
                <w:b w:val="0"/>
                <w:sz w:val="20"/>
              </w:rPr>
              <w:t>38.1%</w:t>
            </w:r>
          </w:p>
        </w:tc>
      </w:tr>
      <w:tr>
        <w:tc>
          <w:tcPr>
            <w:tcW w:type="dxa" w:w="1234"/>
          </w:tcPr>
          <w:p>
            <w:r>
              <w:rPr>
                <w:rFonts w:ascii="맑은 고딕" w:hAnsi="맑은 고딕" w:eastAsia="맑은 고딕"/>
                <w:b w:val="0"/>
                <w:sz w:val="20"/>
              </w:rPr>
              <w:t>2026(E)</w:t>
            </w:r>
          </w:p>
        </w:tc>
        <w:tc>
          <w:tcPr>
            <w:tcW w:type="dxa" w:w="1234"/>
          </w:tcPr>
          <w:p>
            <w:r>
              <w:rPr>
                <w:rFonts w:ascii="맑은 고딕" w:hAnsi="맑은 고딕" w:eastAsia="맑은 고딕"/>
                <w:b w:val="0"/>
                <w:sz w:val="20"/>
              </w:rPr>
              <w:t>74.0</w:t>
            </w:r>
          </w:p>
        </w:tc>
        <w:tc>
          <w:tcPr>
            <w:tcW w:type="dxa" w:w="1234"/>
          </w:tcPr>
          <w:p>
            <w:r>
              <w:rPr>
                <w:rFonts w:ascii="맑은 고딕" w:hAnsi="맑은 고딕" w:eastAsia="맑은 고딕"/>
                <w:b w:val="0"/>
                <w:sz w:val="20"/>
              </w:rPr>
              <w:t>8.9</w:t>
            </w:r>
          </w:p>
        </w:tc>
        <w:tc>
          <w:tcPr>
            <w:tcW w:type="dxa" w:w="1234"/>
          </w:tcPr>
          <w:p>
            <w:r>
              <w:rPr>
                <w:rFonts w:ascii="맑은 고딕" w:hAnsi="맑은 고딕" w:eastAsia="맑은 고딕"/>
                <w:b w:val="0"/>
                <w:sz w:val="20"/>
              </w:rPr>
              <w:t>12.0%</w:t>
            </w:r>
          </w:p>
        </w:tc>
        <w:tc>
          <w:tcPr>
            <w:tcW w:type="dxa" w:w="1234"/>
          </w:tcPr>
          <w:p>
            <w:r>
              <w:rPr>
                <w:rFonts w:ascii="맑은 고딕" w:hAnsi="맑은 고딕" w:eastAsia="맑은 고딕"/>
                <w:b w:val="0"/>
                <w:sz w:val="20"/>
              </w:rPr>
              <w:t>7.0</w:t>
            </w:r>
          </w:p>
        </w:tc>
        <w:tc>
          <w:tcPr>
            <w:tcW w:type="dxa" w:w="1234"/>
          </w:tcPr>
          <w:p>
            <w:r>
              <w:rPr>
                <w:rFonts w:ascii="맑은 고딕" w:hAnsi="맑은 고딕" w:eastAsia="맑은 고딕"/>
                <w:b w:val="0"/>
                <w:sz w:val="20"/>
              </w:rPr>
              <w:t>71.0</w:t>
            </w:r>
          </w:p>
        </w:tc>
        <w:tc>
          <w:tcPr>
            <w:tcW w:type="dxa" w:w="1234"/>
          </w:tcPr>
          <w:p>
            <w:r>
              <w:rPr>
                <w:rFonts w:ascii="맑은 고딕" w:hAnsi="맑은 고딕" w:eastAsia="맑은 고딕"/>
                <w:b w:val="0"/>
                <w:sz w:val="20"/>
              </w:rPr>
              <w:t>27.6%</w:t>
            </w:r>
          </w:p>
        </w:tc>
      </w:tr>
    </w:tbl>
    <w:p/>
    <w:p>
      <w:r>
        <w:rPr>
          <w:rFonts w:ascii="맑은 고딕" w:hAnsi="맑은 고딕" w:eastAsia="맑은 고딕"/>
          <w:b/>
          <w:color w:val="1F3864"/>
          <w:sz w:val="26"/>
        </w:rPr>
        <w:t>8. 고객 및 매출 성장 지표</w:t>
      </w:r>
    </w:p>
    <w:p>
      <w:pPr>
        <w:spacing w:line="312" w:lineRule="auto" w:after="160"/>
      </w:pPr>
      <w:r>
        <w:rPr>
          <w:rFonts w:ascii="맑은 고딕" w:hAnsi="맑은 고딕" w:eastAsia="맑은 고딕"/>
          <w:b w:val="0"/>
          <w:sz w:val="22"/>
        </w:rPr>
        <w:t>재무 성과와 더불어 SaaS 기업의 건전성을 나타내는 핵심 지표들도 지속적으로 개선되고 있다. 유료 고객사 수는 2024년 210개사에서 2026년(E) 350개사로 늘어났으며, 순매출유지율(Net Revenue Retention, NRR)은 108%에서 118%로 상승하여 기존 고객으로부터의 매출 확대(업셀·크로스셀)가 견고하게 이루어지고 있음을 보여준다.</w:t>
      </w:r>
    </w:p>
    <w:p>
      <w:pPr>
        <w:spacing w:line="312" w:lineRule="auto" w:after="160"/>
      </w:pPr>
      <w:r>
        <w:rPr>
          <w:rFonts w:ascii="맑은 고딕" w:hAnsi="맑은 고딕" w:eastAsia="맑은 고딕"/>
          <w:b w:val="0"/>
          <w:sz w:val="22"/>
        </w:rPr>
        <w:t>로고 리텐션(연간 고객사 유지율) 또한 91%에서 95%로 개선되었으며, 이는 업계 평균 대비 양호한 수준으로 평가된다. 고객당 평균 매출(ARPU)은 완만하게 상승하고 있어 대형 고객사 비중 확대 및 상위 요금제 전환이 함께 이루어지고 있음을 시사한다.</w:t>
      </w:r>
    </w:p>
    <w:p>
      <w:pPr>
        <w:spacing w:line="312" w:lineRule="auto" w:after="160"/>
      </w:pPr>
      <w:r>
        <w:rPr>
          <w:rFonts w:ascii="맑은 고딕" w:hAnsi="맑은 고딕" w:eastAsia="맑은 고딕"/>
          <w:b w:val="0"/>
          <w:sz w:val="22"/>
        </w:rPr>
        <w:t>고객 획득 비용(CAC)은 2024년 고객사당 420만원에서 2026년(E) 350만원으로 낮아졌으며, 이는 영업팀의 영업 프로세스 효율화 및 기존 고객 추천을 통한 신규 유입 비중 확대에 기인한다. 그 결과 LTV/CAC 비율은 3.8배에서 5.2배로 개선되어, 신규 고객 획득에 투입되는 비용 대비 고객 생애가치가 안정적으로 늘어나고 있음을 확인할 수 있다.</w:t>
      </w:r>
    </w:p>
    <w:p>
      <w:pPr>
        <w:spacing w:line="312" w:lineRule="auto" w:after="160"/>
      </w:pPr>
      <w:r>
        <w:rPr>
          <w:rFonts w:ascii="맑은 고딕" w:hAnsi="맑은 고딕" w:eastAsia="맑은 고딕"/>
          <w:b w:val="0"/>
          <w:sz w:val="22"/>
        </w:rPr>
        <w:t>아래 표는 2024년부터 2026년(전망)까지 주요 고객·매출 성장 지표를 정리한 것이다. 해당 지표들은 SaaS 업종 투자심사에서 일반적으로 활용되는 핵심 지표로, 매출 성장의 질적 측면을 보여주기 위해 포함하였다.</w:t>
      </w:r>
    </w:p>
    <w:p>
      <w:pPr>
        <w:spacing w:line="312" w:lineRule="auto" w:after="160"/>
      </w:pPr>
      <w:r>
        <w:rPr>
          <w:rFonts w:ascii="맑은 고딕" w:hAnsi="맑은 고딕" w:eastAsia="맑은 고딕"/>
          <w:b w:val="0"/>
          <w:sz w:val="22"/>
        </w:rPr>
        <w:t>가입 코호트(연도별 신규 고객군) 단위로 분석하면, 도입 후 12개월 시점의 매출 유지율은 2023년 코호트 기준 약 106%, 2024년 코호트 기준 약 111%로 최근 코호트일수록 상향 판매 속도가 빨라지는 추세가 관찰되며, 이는 CS팀의 온보딩·헬스체크 프로세스 고도화 효과로 분석된다.</w:t>
      </w:r>
    </w:p>
    <w:p>
      <w:pPr>
        <w:spacing w:line="312" w:lineRule="auto" w:after="160"/>
      </w:pPr>
      <w:r>
        <w:rPr>
          <w:rFonts w:ascii="맑은 고딕" w:hAnsi="맑은 고딕" w:eastAsia="맑은 고딕"/>
          <w:b w:val="0"/>
          <w:sz w:val="22"/>
        </w:rPr>
        <w:t>종합적으로, 매출 성장이 신규 고객 유입뿐 아니라 기존 고객 유지율 및 확장 매출(NRR 118%)에 기반하고 있다는 점은 향후 성장의 지속가능성 측면에서 긍정적인 신호로 판단된다.</w:t>
      </w:r>
    </w:p>
    <w:p>
      <w:pPr>
        <w:spacing w:line="312" w:lineRule="auto" w:after="160"/>
      </w:pPr>
      <w:r>
        <w:rPr>
          <w:rFonts w:ascii="맑은 고딕" w:hAnsi="맑은 고딕" w:eastAsia="맑은 고딕"/>
          <w:b w:val="0"/>
          <w:sz w:val="22"/>
        </w:rPr>
        <w:t>산업군별로는 제조업 고객사 비중이 약 35%로 가장 높고, IT·서비스업 28%, 유통·물류업 18%, 금융업 10%, 기타 9% 순으로 분산되어 있어 특정 산업 경기 변동에 대한 의존도가 상대적으로 낮은 편이다. 다만 매출 상위 10개 고객사가 전체 매출의 약 22%를 차지하고 있어, 향후 대형 고객 이탈 리스크에 대비한 고객 다변화 노력도 지속할 계획이다.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지표</w:t>
            </w:r>
          </w:p>
        </w:tc>
        <w:tc>
          <w:tcPr>
            <w:tcW w:type="dxa" w:w="2160"/>
            <w:shd w:val="clear" w:color="auto" w:fill="1F3864"/>
          </w:tcPr>
          <w:p>
            <w:pPr>
              <w:jc w:val="center"/>
            </w:pPr>
            <w:r>
              <w:rPr>
                <w:rFonts w:ascii="맑은 고딕" w:hAnsi="맑은 고딕" w:eastAsia="맑은 고딕"/>
                <w:b/>
                <w:color w:val="FFFFFF"/>
                <w:sz w:val="20"/>
              </w:rPr>
              <w:t>2024</w:t>
            </w:r>
          </w:p>
        </w:tc>
        <w:tc>
          <w:tcPr>
            <w:tcW w:type="dxa" w:w="2160"/>
            <w:shd w:val="clear" w:color="auto" w:fill="1F3864"/>
          </w:tcPr>
          <w:p>
            <w:pPr>
              <w:jc w:val="center"/>
            </w:pPr>
            <w:r>
              <w:rPr>
                <w:rFonts w:ascii="맑은 고딕" w:hAnsi="맑은 고딕" w:eastAsia="맑은 고딕"/>
                <w:b/>
                <w:color w:val="FFFFFF"/>
                <w:sz w:val="20"/>
              </w:rPr>
              <w:t>2025</w:t>
            </w:r>
          </w:p>
        </w:tc>
        <w:tc>
          <w:tcPr>
            <w:tcW w:type="dxa" w:w="2160"/>
            <w:shd w:val="clear" w:color="auto" w:fill="1F3864"/>
          </w:tcPr>
          <w:p>
            <w:pPr>
              <w:jc w:val="center"/>
            </w:pPr>
            <w:r>
              <w:rPr>
                <w:rFonts w:ascii="맑은 고딕" w:hAnsi="맑은 고딕" w:eastAsia="맑은 고딕"/>
                <w:b/>
                <w:color w:val="FFFFFF"/>
                <w:sz w:val="20"/>
              </w:rPr>
              <w:t>2026(E)</w:t>
            </w:r>
          </w:p>
        </w:tc>
      </w:tr>
      <w:tr>
        <w:tc>
          <w:tcPr>
            <w:tcW w:type="dxa" w:w="2160"/>
          </w:tcPr>
          <w:p>
            <w:r>
              <w:rPr>
                <w:rFonts w:ascii="맑은 고딕" w:hAnsi="맑은 고딕" w:eastAsia="맑은 고딕"/>
                <w:b w:val="0"/>
                <w:sz w:val="20"/>
              </w:rPr>
              <w:t>유료 고객사 수(개사)</w:t>
            </w:r>
          </w:p>
        </w:tc>
        <w:tc>
          <w:tcPr>
            <w:tcW w:type="dxa" w:w="2160"/>
          </w:tcPr>
          <w:p>
            <w:r>
              <w:rPr>
                <w:rFonts w:ascii="맑은 고딕" w:hAnsi="맑은 고딕" w:eastAsia="맑은 고딕"/>
                <w:b w:val="0"/>
                <w:sz w:val="20"/>
              </w:rPr>
              <w:t>210</w:t>
            </w:r>
          </w:p>
        </w:tc>
        <w:tc>
          <w:tcPr>
            <w:tcW w:type="dxa" w:w="2160"/>
          </w:tcPr>
          <w:p>
            <w:r>
              <w:rPr>
                <w:rFonts w:ascii="맑은 고딕" w:hAnsi="맑은 고딕" w:eastAsia="맑은 고딕"/>
                <w:b w:val="0"/>
                <w:sz w:val="20"/>
              </w:rPr>
              <w:t>285</w:t>
            </w:r>
          </w:p>
        </w:tc>
        <w:tc>
          <w:tcPr>
            <w:tcW w:type="dxa" w:w="2160"/>
          </w:tcPr>
          <w:p>
            <w:r>
              <w:rPr>
                <w:rFonts w:ascii="맑은 고딕" w:hAnsi="맑은 고딕" w:eastAsia="맑은 고딕"/>
                <w:b w:val="0"/>
                <w:sz w:val="20"/>
              </w:rPr>
              <w:t>350</w:t>
            </w:r>
          </w:p>
        </w:tc>
      </w:tr>
      <w:tr>
        <w:tc>
          <w:tcPr>
            <w:tcW w:type="dxa" w:w="2160"/>
            <w:shd w:val="clear" w:color="auto" w:fill="F2F2F2"/>
          </w:tcPr>
          <w:p>
            <w:r>
              <w:rPr>
                <w:rFonts w:ascii="맑은 고딕" w:hAnsi="맑은 고딕" w:eastAsia="맑은 고딕"/>
                <w:b w:val="0"/>
                <w:sz w:val="20"/>
              </w:rPr>
              <w:t>순매출유지율(NRR)</w:t>
            </w:r>
          </w:p>
        </w:tc>
        <w:tc>
          <w:tcPr>
            <w:tcW w:type="dxa" w:w="2160"/>
            <w:shd w:val="clear" w:color="auto" w:fill="F2F2F2"/>
          </w:tcPr>
          <w:p>
            <w:r>
              <w:rPr>
                <w:rFonts w:ascii="맑은 고딕" w:hAnsi="맑은 고딕" w:eastAsia="맑은 고딕"/>
                <w:b w:val="0"/>
                <w:sz w:val="20"/>
              </w:rPr>
              <w:t>108%</w:t>
            </w:r>
          </w:p>
        </w:tc>
        <w:tc>
          <w:tcPr>
            <w:tcW w:type="dxa" w:w="2160"/>
            <w:shd w:val="clear" w:color="auto" w:fill="F2F2F2"/>
          </w:tcPr>
          <w:p>
            <w:r>
              <w:rPr>
                <w:rFonts w:ascii="맑은 고딕" w:hAnsi="맑은 고딕" w:eastAsia="맑은 고딕"/>
                <w:b w:val="0"/>
                <w:sz w:val="20"/>
              </w:rPr>
              <w:t>114%</w:t>
            </w:r>
          </w:p>
        </w:tc>
        <w:tc>
          <w:tcPr>
            <w:tcW w:type="dxa" w:w="2160"/>
            <w:shd w:val="clear" w:color="auto" w:fill="F2F2F2"/>
          </w:tcPr>
          <w:p>
            <w:r>
              <w:rPr>
                <w:rFonts w:ascii="맑은 고딕" w:hAnsi="맑은 고딕" w:eastAsia="맑은 고딕"/>
                <w:b w:val="0"/>
                <w:sz w:val="20"/>
              </w:rPr>
              <w:t>118%</w:t>
            </w:r>
          </w:p>
        </w:tc>
      </w:tr>
      <w:tr>
        <w:tc>
          <w:tcPr>
            <w:tcW w:type="dxa" w:w="2160"/>
          </w:tcPr>
          <w:p>
            <w:r>
              <w:rPr>
                <w:rFonts w:ascii="맑은 고딕" w:hAnsi="맑은 고딕" w:eastAsia="맑은 고딕"/>
                <w:b w:val="0"/>
                <w:sz w:val="20"/>
              </w:rPr>
              <w:t>로고 리텐션(연간)</w:t>
            </w:r>
          </w:p>
        </w:tc>
        <w:tc>
          <w:tcPr>
            <w:tcW w:type="dxa" w:w="2160"/>
          </w:tcPr>
          <w:p>
            <w:r>
              <w:rPr>
                <w:rFonts w:ascii="맑은 고딕" w:hAnsi="맑은 고딕" w:eastAsia="맑은 고딕"/>
                <w:b w:val="0"/>
                <w:sz w:val="20"/>
              </w:rPr>
              <w:t>91%</w:t>
            </w:r>
          </w:p>
        </w:tc>
        <w:tc>
          <w:tcPr>
            <w:tcW w:type="dxa" w:w="2160"/>
          </w:tcPr>
          <w:p>
            <w:r>
              <w:rPr>
                <w:rFonts w:ascii="맑은 고딕" w:hAnsi="맑은 고딕" w:eastAsia="맑은 고딕"/>
                <w:b w:val="0"/>
                <w:sz w:val="20"/>
              </w:rPr>
              <w:t>93%</w:t>
            </w:r>
          </w:p>
        </w:tc>
        <w:tc>
          <w:tcPr>
            <w:tcW w:type="dxa" w:w="2160"/>
          </w:tcPr>
          <w:p>
            <w:r>
              <w:rPr>
                <w:rFonts w:ascii="맑은 고딕" w:hAnsi="맑은 고딕" w:eastAsia="맑은 고딕"/>
                <w:b w:val="0"/>
                <w:sz w:val="20"/>
              </w:rPr>
              <w:t>95%</w:t>
            </w:r>
          </w:p>
        </w:tc>
      </w:tr>
      <w:tr>
        <w:tc>
          <w:tcPr>
            <w:tcW w:type="dxa" w:w="2160"/>
            <w:shd w:val="clear" w:color="auto" w:fill="F2F2F2"/>
          </w:tcPr>
          <w:p>
            <w:r>
              <w:rPr>
                <w:rFonts w:ascii="맑은 고딕" w:hAnsi="맑은 고딕" w:eastAsia="맑은 고딕"/>
                <w:b w:val="0"/>
                <w:sz w:val="20"/>
              </w:rPr>
              <w:t>고객당 평균매출(ARPU, 연간, 백만원)</w:t>
            </w:r>
          </w:p>
        </w:tc>
        <w:tc>
          <w:tcPr>
            <w:tcW w:type="dxa" w:w="2160"/>
            <w:shd w:val="clear" w:color="auto" w:fill="F2F2F2"/>
          </w:tcPr>
          <w:p>
            <w:r>
              <w:rPr>
                <w:rFonts w:ascii="맑은 고딕" w:hAnsi="맑은 고딕" w:eastAsia="맑은 고딕"/>
                <w:b w:val="0"/>
                <w:sz w:val="20"/>
              </w:rPr>
              <w:t>20.0</w:t>
            </w:r>
          </w:p>
        </w:tc>
        <w:tc>
          <w:tcPr>
            <w:tcW w:type="dxa" w:w="2160"/>
            <w:shd w:val="clear" w:color="auto" w:fill="F2F2F2"/>
          </w:tcPr>
          <w:p>
            <w:r>
              <w:rPr>
                <w:rFonts w:ascii="맑은 고딕" w:hAnsi="맑은 고딕" w:eastAsia="맑은 고딕"/>
                <w:b w:val="0"/>
                <w:sz w:val="20"/>
              </w:rPr>
              <w:t>20.4</w:t>
            </w:r>
          </w:p>
        </w:tc>
        <w:tc>
          <w:tcPr>
            <w:tcW w:type="dxa" w:w="2160"/>
            <w:shd w:val="clear" w:color="auto" w:fill="F2F2F2"/>
          </w:tcPr>
          <w:p>
            <w:r>
              <w:rPr>
                <w:rFonts w:ascii="맑은 고딕" w:hAnsi="맑은 고딕" w:eastAsia="맑은 고딕"/>
                <w:b w:val="0"/>
                <w:sz w:val="20"/>
              </w:rPr>
              <w:t>21.1</w:t>
            </w:r>
          </w:p>
        </w:tc>
      </w:tr>
      <w:tr>
        <w:tc>
          <w:tcPr>
            <w:tcW w:type="dxa" w:w="2160"/>
          </w:tcPr>
          <w:p>
            <w:r>
              <w:rPr>
                <w:rFonts w:ascii="맑은 고딕" w:hAnsi="맑은 고딕" w:eastAsia="맑은 고딕"/>
                <w:b w:val="0"/>
                <w:sz w:val="20"/>
              </w:rPr>
              <w:t>고객획득비용(CAC, 백만원/고객사)</w:t>
            </w:r>
          </w:p>
        </w:tc>
        <w:tc>
          <w:tcPr>
            <w:tcW w:type="dxa" w:w="2160"/>
          </w:tcPr>
          <w:p>
            <w:r>
              <w:rPr>
                <w:rFonts w:ascii="맑은 고딕" w:hAnsi="맑은 고딕" w:eastAsia="맑은 고딕"/>
                <w:b w:val="0"/>
                <w:sz w:val="20"/>
              </w:rPr>
              <w:t>4.2</w:t>
            </w:r>
          </w:p>
        </w:tc>
        <w:tc>
          <w:tcPr>
            <w:tcW w:type="dxa" w:w="2160"/>
          </w:tcPr>
          <w:p>
            <w:r>
              <w:rPr>
                <w:rFonts w:ascii="맑은 고딕" w:hAnsi="맑은 고딕" w:eastAsia="맑은 고딕"/>
                <w:b w:val="0"/>
                <w:sz w:val="20"/>
              </w:rPr>
              <w:t>3.8</w:t>
            </w:r>
          </w:p>
        </w:tc>
        <w:tc>
          <w:tcPr>
            <w:tcW w:type="dxa" w:w="2160"/>
          </w:tcPr>
          <w:p>
            <w:r>
              <w:rPr>
                <w:rFonts w:ascii="맑은 고딕" w:hAnsi="맑은 고딕" w:eastAsia="맑은 고딕"/>
                <w:b w:val="0"/>
                <w:sz w:val="20"/>
              </w:rPr>
              <w:t>3.5</w:t>
            </w:r>
          </w:p>
        </w:tc>
      </w:tr>
      <w:tr>
        <w:tc>
          <w:tcPr>
            <w:tcW w:type="dxa" w:w="2160"/>
            <w:shd w:val="clear" w:color="auto" w:fill="F2F2F2"/>
          </w:tcPr>
          <w:p>
            <w:r>
              <w:rPr>
                <w:rFonts w:ascii="맑은 고딕" w:hAnsi="맑은 고딕" w:eastAsia="맑은 고딕"/>
                <w:b w:val="0"/>
                <w:sz w:val="20"/>
              </w:rPr>
              <w:t>LTV/CAC 비율</w:t>
            </w:r>
          </w:p>
        </w:tc>
        <w:tc>
          <w:tcPr>
            <w:tcW w:type="dxa" w:w="2160"/>
            <w:shd w:val="clear" w:color="auto" w:fill="F2F2F2"/>
          </w:tcPr>
          <w:p>
            <w:r>
              <w:rPr>
                <w:rFonts w:ascii="맑은 고딕" w:hAnsi="맑은 고딕" w:eastAsia="맑은 고딕"/>
                <w:b w:val="0"/>
                <w:sz w:val="20"/>
              </w:rPr>
              <w:t>3.8배</w:t>
            </w:r>
          </w:p>
        </w:tc>
        <w:tc>
          <w:tcPr>
            <w:tcW w:type="dxa" w:w="2160"/>
            <w:shd w:val="clear" w:color="auto" w:fill="F2F2F2"/>
          </w:tcPr>
          <w:p>
            <w:r>
              <w:rPr>
                <w:rFonts w:ascii="맑은 고딕" w:hAnsi="맑은 고딕" w:eastAsia="맑은 고딕"/>
                <w:b w:val="0"/>
                <w:sz w:val="20"/>
              </w:rPr>
              <w:t>4.6배</w:t>
            </w:r>
          </w:p>
        </w:tc>
        <w:tc>
          <w:tcPr>
            <w:tcW w:type="dxa" w:w="2160"/>
            <w:shd w:val="clear" w:color="auto" w:fill="F2F2F2"/>
          </w:tcPr>
          <w:p>
            <w:r>
              <w:rPr>
                <w:rFonts w:ascii="맑은 고딕" w:hAnsi="맑은 고딕" w:eastAsia="맑은 고딕"/>
                <w:b w:val="0"/>
                <w:sz w:val="20"/>
              </w:rPr>
              <w:t>5.2배</w:t>
            </w:r>
          </w:p>
        </w:tc>
      </w:tr>
    </w:tbl>
    <w:p/>
    <w:p>
      <w:r>
        <w:rPr>
          <w:rFonts w:ascii="맑은 고딕" w:hAnsi="맑은 고딕" w:eastAsia="맑은 고딕"/>
          <w:b/>
          <w:color w:val="1F3864"/>
          <w:sz w:val="26"/>
        </w:rPr>
        <w:t>9. 기업가치 산정, 투자조건 및 자금 사용 계획</w:t>
      </w:r>
    </w:p>
    <w:p>
      <w:pPr>
        <w:spacing w:line="312" w:lineRule="auto" w:after="160"/>
      </w:pPr>
      <w:r>
        <w:rPr>
          <w:rFonts w:ascii="맑은 고딕" w:hAnsi="맑은 고딕" w:eastAsia="맑은 고딕"/>
          <w:b w:val="0"/>
          <w:sz w:val="22"/>
        </w:rPr>
        <w:t>재무회계팀은 최근 3개년 매출 성장률(연평균 32.7%), 영업이익률 개선 추세(9.0% → 12.0%), 국내 B2B SaaS 업계 유사기업 거래사례(EV/Sales 약 5~7배 구간)를 종합적으로 고려하여 프리머니 밸류에이션을 450억원으로 산정하였다. 이는 2026년 매출 전망치 74.0억원 기준 EV/Sales 약 6.1배 수준으로, 업계 평균 구간의 중상단에 해당한다.</w:t>
      </w:r>
    </w:p>
    <w:p>
      <w:pPr>
        <w:spacing w:line="312" w:lineRule="auto" w:after="160"/>
      </w:pPr>
      <w:r>
        <w:rPr>
          <w:rFonts w:ascii="맑은 고딕" w:hAnsi="맑은 고딕" w:eastAsia="맑은 고딕"/>
          <w:b w:val="0"/>
          <w:sz w:val="22"/>
        </w:rPr>
        <w:t>금번 Series B 라운드의 유치 희망금액은 80억원이며, 포스트머니 밸류에이션은 530억원, 신규 투자자에게 배정되는 지분율은 약 15.1% 수준으로 협의를 진행하고 있다. 투자 형태는 보통주 또는 상환전환우선주(RCPS)를 검토 중이며, 세부 조건(우선청산권, 전환가액 조정 조항 등)은 텀시트(Term Sheet) 협의 단계에서 구체화될 예정이다. 자금 납입 및 신주 발행 관련 절차는 법무팀(팀장 한지원)의 검토 하에 진행된다.</w:t>
      </w:r>
    </w:p>
    <w:p>
      <w:pPr>
        <w:spacing w:line="312" w:lineRule="auto" w:after="160"/>
      </w:pPr>
      <w:r>
        <w:rPr>
          <w:rFonts w:ascii="맑은 고딕" w:hAnsi="맑은 고딕" w:eastAsia="맑은 고딕"/>
          <w:b w:val="0"/>
          <w:sz w:val="22"/>
        </w:rPr>
        <w:t>이사회 구성과 관련하여, 신규 투자자에게는 이사회 참관권(Observer Right) 또는 사외이사 1인 추천권을 부여하는 방안을 협의 중이며, 최종 조건은 텀시트 단계에서 확정될 예정이다. 현재 지분 구조 및 Series B 이후 예상 변동 내역은 10장(Cap Table)에서 상세히 다룬다.</w:t>
      </w:r>
    </w:p>
    <w:p>
      <w:pPr>
        <w:spacing w:line="312" w:lineRule="auto" w:after="160"/>
      </w:pPr>
      <w:r>
        <w:rPr>
          <w:rFonts w:ascii="맑은 고딕" w:hAnsi="맑은 고딕" w:eastAsia="맑은 고딕"/>
          <w:b w:val="0"/>
          <w:sz w:val="22"/>
        </w:rPr>
        <w:t>금번 유치자금 80억원은 크게 네 가지 목적으로 배분·집행할 계획이다. 첫째, 일본 진출(PRJ-2026-07) 관련하여 32억원(40%)을 투입하며, 이 중에는 기 승인된 이사회 예산(약 24억원)을 초과하는 추가 소요분이 포함되어 있다. 세부적으로 도쿄 현지법인 설립, 제품 로컬라이징 개발, 초기 마케팅·영업 비용에 사용될 예정이다.</w:t>
      </w:r>
    </w:p>
    <w:p>
      <w:pPr>
        <w:spacing w:line="312" w:lineRule="auto" w:after="160"/>
      </w:pPr>
      <w:r>
        <w:rPr>
          <w:rFonts w:ascii="맑은 고딕" w:hAnsi="맑은 고딕" w:eastAsia="맑은 고딕"/>
          <w:b w:val="0"/>
          <w:sz w:val="22"/>
        </w:rPr>
        <w:t>둘째, R&amp;D 확대를 위해 28억원(35%)을 투입하여 개발본부(CTO 강민석) 산하 AI팀 인력을 충원하고, 네오보드 3.0 리뉴얼(PRJ-2026-03) 및 AI 요약 기능(PRJ-2026-05) 개발을 가속화할 계획이다. 셋째, 영업·마케팅 확대를 위해 12억원(15%)을 투입하여 영업팀(팀장 오세훈) 인력을 확충하고 국내 레퍼런스 고객 확보에 주력한다. 넷째, 운영자금 및 예비비 8억원(10%)은 ISMS 인증 취득(PRJ-2026-02) 등 보안 인프라 투자와 일반 운영비로 사용된다.</w:t>
      </w:r>
    </w:p>
    <w:p>
      <w:pPr>
        <w:spacing w:line="312" w:lineRule="auto" w:after="160"/>
      </w:pPr>
      <w:r>
        <w:rPr>
          <w:rFonts w:ascii="맑은 고딕" w:hAnsi="맑은 고딕" w:eastAsia="맑은 고딕"/>
          <w:b w:val="0"/>
          <w:sz w:val="22"/>
        </w:rPr>
        <w:t>재무회계팀(팀장 최영재)은 자금 집행 현황을 분기별로 대표이사 및 투자자에게 보고할 예정이며, 사용처별 집행 실적과 계획 대비 진도율을 투명하게 공유함으로써 투자자와의 신뢰 관계를 유지하고자 한다. 아래 표는 자금 사용 계획을 항목별로 정리한 것이다.</w:t>
      </w:r>
    </w:p>
    <w:p>
      <w:pPr>
        <w:spacing w:line="312" w:lineRule="auto" w:after="160"/>
      </w:pPr>
      <w:r>
        <w:rPr>
          <w:rFonts w:ascii="맑은 고딕" w:hAnsi="맑은 고딕" w:eastAsia="맑은 고딕"/>
          <w:b w:val="0"/>
          <w:sz w:val="22"/>
        </w:rPr>
        <w:t>투자 실행 일정은 잠정적으로 텀시트 체결(2026년 9월 목표), 실사(Due Diligence, 2026년 9~10월), 본계약 체결 및 자금 납입(2026년 11월 목표) 순으로 진행할 계획이며, 일정은 투자자와의 협의 결과에 따라 변경될 수 있다.</w:t>
      </w:r>
    </w:p>
    <w:p>
      <w:pPr>
        <w:spacing w:line="312" w:lineRule="auto" w:after="160"/>
      </w:pPr>
      <w:r>
        <w:rPr>
          <w:rFonts w:ascii="맑은 고딕" w:hAnsi="맑은 고딕" w:eastAsia="맑은 고딕"/>
          <w:b w:val="0"/>
          <w:sz w:val="22"/>
        </w:rPr>
        <w:t>향후 회수(Exit) 전략과 관련해서는 2029년 이후 국내 증시 상장(IPO) 또는 전략적 투자자로의 매각(M&amp;A)을 복수 시나리오로 검토하고 있으며, 구체적인 방향은 일본 시장 성과 및 시장 상황을 고려하여 이사회 논의를 거쳐 결정할 예정이다.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사용처</w:t>
            </w:r>
          </w:p>
        </w:tc>
        <w:tc>
          <w:tcPr>
            <w:tcW w:type="dxa" w:w="2160"/>
            <w:shd w:val="clear" w:color="auto" w:fill="1F3864"/>
          </w:tcPr>
          <w:p>
            <w:pPr>
              <w:jc w:val="center"/>
            </w:pPr>
            <w:r>
              <w:rPr>
                <w:rFonts w:ascii="맑은 고딕" w:hAnsi="맑은 고딕" w:eastAsia="맑은 고딕"/>
                <w:b/>
                <w:color w:val="FFFFFF"/>
                <w:sz w:val="20"/>
              </w:rPr>
              <w:t>금액(억원)</w:t>
            </w:r>
          </w:p>
        </w:tc>
        <w:tc>
          <w:tcPr>
            <w:tcW w:type="dxa" w:w="2160"/>
            <w:shd w:val="clear" w:color="auto" w:fill="1F3864"/>
          </w:tcPr>
          <w:p>
            <w:pPr>
              <w:jc w:val="center"/>
            </w:pPr>
            <w:r>
              <w:rPr>
                <w:rFonts w:ascii="맑은 고딕" w:hAnsi="맑은 고딕" w:eastAsia="맑은 고딕"/>
                <w:b/>
                <w:color w:val="FFFFFF"/>
                <w:sz w:val="20"/>
              </w:rPr>
              <w:t>비중</w:t>
            </w:r>
          </w:p>
        </w:tc>
        <w:tc>
          <w:tcPr>
            <w:tcW w:type="dxa" w:w="2160"/>
            <w:shd w:val="clear" w:color="auto" w:fill="1F3864"/>
          </w:tcPr>
          <w:p>
            <w:pPr>
              <w:jc w:val="center"/>
            </w:pPr>
            <w:r>
              <w:rPr>
                <w:rFonts w:ascii="맑은 고딕" w:hAnsi="맑은 고딕" w:eastAsia="맑은 고딕"/>
                <w:b/>
                <w:color w:val="FFFFFF"/>
                <w:sz w:val="20"/>
              </w:rPr>
              <w:t>주요 내용</w:t>
            </w:r>
          </w:p>
        </w:tc>
      </w:tr>
      <w:tr>
        <w:tc>
          <w:tcPr>
            <w:tcW w:type="dxa" w:w="2160"/>
          </w:tcPr>
          <w:p>
            <w:r>
              <w:rPr>
                <w:rFonts w:ascii="맑은 고딕" w:hAnsi="맑은 고딕" w:eastAsia="맑은 고딕"/>
                <w:b w:val="0"/>
                <w:sz w:val="20"/>
              </w:rPr>
              <w:t>일본 진출(PRJ-2026-07)</w:t>
            </w:r>
          </w:p>
        </w:tc>
        <w:tc>
          <w:tcPr>
            <w:tcW w:type="dxa" w:w="2160"/>
          </w:tcPr>
          <w:p>
            <w:r>
              <w:rPr>
                <w:rFonts w:ascii="맑은 고딕" w:hAnsi="맑은 고딕" w:eastAsia="맑은 고딕"/>
                <w:b w:val="0"/>
                <w:sz w:val="20"/>
              </w:rPr>
              <w:t>32</w:t>
            </w:r>
          </w:p>
        </w:tc>
        <w:tc>
          <w:tcPr>
            <w:tcW w:type="dxa" w:w="2160"/>
          </w:tcPr>
          <w:p>
            <w:r>
              <w:rPr>
                <w:rFonts w:ascii="맑은 고딕" w:hAnsi="맑은 고딕" w:eastAsia="맑은 고딕"/>
                <w:b w:val="0"/>
                <w:sz w:val="20"/>
              </w:rPr>
              <w:t>40%</w:t>
            </w:r>
          </w:p>
        </w:tc>
        <w:tc>
          <w:tcPr>
            <w:tcW w:type="dxa" w:w="2160"/>
          </w:tcPr>
          <w:p>
            <w:r>
              <w:rPr>
                <w:rFonts w:ascii="맑은 고딕" w:hAnsi="맑은 고딕" w:eastAsia="맑은 고딕"/>
                <w:b w:val="0"/>
                <w:sz w:val="20"/>
              </w:rPr>
              <w:t>도쿄 현지법인 설립, 로컬라이징 개발, 초기 마케팅·영업</w:t>
            </w:r>
          </w:p>
        </w:tc>
      </w:tr>
      <w:tr>
        <w:tc>
          <w:tcPr>
            <w:tcW w:type="dxa" w:w="2160"/>
            <w:shd w:val="clear" w:color="auto" w:fill="F2F2F2"/>
          </w:tcPr>
          <w:p>
            <w:r>
              <w:rPr>
                <w:rFonts w:ascii="맑은 고딕" w:hAnsi="맑은 고딕" w:eastAsia="맑은 고딕"/>
                <w:b w:val="0"/>
                <w:sz w:val="20"/>
              </w:rPr>
              <w:t>R&amp;D 확대</w:t>
            </w:r>
          </w:p>
        </w:tc>
        <w:tc>
          <w:tcPr>
            <w:tcW w:type="dxa" w:w="2160"/>
            <w:shd w:val="clear" w:color="auto" w:fill="F2F2F2"/>
          </w:tcPr>
          <w:p>
            <w:r>
              <w:rPr>
                <w:rFonts w:ascii="맑은 고딕" w:hAnsi="맑은 고딕" w:eastAsia="맑은 고딕"/>
                <w:b w:val="0"/>
                <w:sz w:val="20"/>
              </w:rPr>
              <w:t>28</w:t>
            </w:r>
          </w:p>
        </w:tc>
        <w:tc>
          <w:tcPr>
            <w:tcW w:type="dxa" w:w="2160"/>
            <w:shd w:val="clear" w:color="auto" w:fill="F2F2F2"/>
          </w:tcPr>
          <w:p>
            <w:r>
              <w:rPr>
                <w:rFonts w:ascii="맑은 고딕" w:hAnsi="맑은 고딕" w:eastAsia="맑은 고딕"/>
                <w:b w:val="0"/>
                <w:sz w:val="20"/>
              </w:rPr>
              <w:t>35%</w:t>
            </w:r>
          </w:p>
        </w:tc>
        <w:tc>
          <w:tcPr>
            <w:tcW w:type="dxa" w:w="2160"/>
            <w:shd w:val="clear" w:color="auto" w:fill="F2F2F2"/>
          </w:tcPr>
          <w:p>
            <w:r>
              <w:rPr>
                <w:rFonts w:ascii="맑은 고딕" w:hAnsi="맑은 고딕" w:eastAsia="맑은 고딕"/>
                <w:b w:val="0"/>
                <w:sz w:val="20"/>
              </w:rPr>
              <w:t>AI팀 인력 충원, 네오보드 3.0/AI 요약 기능 개발 가속화</w:t>
            </w:r>
          </w:p>
        </w:tc>
      </w:tr>
      <w:tr>
        <w:tc>
          <w:tcPr>
            <w:tcW w:type="dxa" w:w="2160"/>
          </w:tcPr>
          <w:p>
            <w:r>
              <w:rPr>
                <w:rFonts w:ascii="맑은 고딕" w:hAnsi="맑은 고딕" w:eastAsia="맑은 고딕"/>
                <w:b w:val="0"/>
                <w:sz w:val="20"/>
              </w:rPr>
              <w:t>영업·마케팅 확대</w:t>
            </w:r>
          </w:p>
        </w:tc>
        <w:tc>
          <w:tcPr>
            <w:tcW w:type="dxa" w:w="2160"/>
          </w:tcPr>
          <w:p>
            <w:r>
              <w:rPr>
                <w:rFonts w:ascii="맑은 고딕" w:hAnsi="맑은 고딕" w:eastAsia="맑은 고딕"/>
                <w:b w:val="0"/>
                <w:sz w:val="20"/>
              </w:rPr>
              <w:t>12</w:t>
            </w:r>
          </w:p>
        </w:tc>
        <w:tc>
          <w:tcPr>
            <w:tcW w:type="dxa" w:w="2160"/>
          </w:tcPr>
          <w:p>
            <w:r>
              <w:rPr>
                <w:rFonts w:ascii="맑은 고딕" w:hAnsi="맑은 고딕" w:eastAsia="맑은 고딕"/>
                <w:b w:val="0"/>
                <w:sz w:val="20"/>
              </w:rPr>
              <w:t>15%</w:t>
            </w:r>
          </w:p>
        </w:tc>
        <w:tc>
          <w:tcPr>
            <w:tcW w:type="dxa" w:w="2160"/>
          </w:tcPr>
          <w:p>
            <w:r>
              <w:rPr>
                <w:rFonts w:ascii="맑은 고딕" w:hAnsi="맑은 고딕" w:eastAsia="맑은 고딕"/>
                <w:b w:val="0"/>
                <w:sz w:val="20"/>
              </w:rPr>
              <w:t>영업팀 인력 확충, 국내 레퍼런스 고객 확보</w:t>
            </w:r>
          </w:p>
        </w:tc>
      </w:tr>
      <w:tr>
        <w:tc>
          <w:tcPr>
            <w:tcW w:type="dxa" w:w="2160"/>
            <w:shd w:val="clear" w:color="auto" w:fill="F2F2F2"/>
          </w:tcPr>
          <w:p>
            <w:r>
              <w:rPr>
                <w:rFonts w:ascii="맑은 고딕" w:hAnsi="맑은 고딕" w:eastAsia="맑은 고딕"/>
                <w:b w:val="0"/>
                <w:sz w:val="20"/>
              </w:rPr>
              <w:t>운영자금 및 예비비</w:t>
            </w:r>
          </w:p>
        </w:tc>
        <w:tc>
          <w:tcPr>
            <w:tcW w:type="dxa" w:w="2160"/>
            <w:shd w:val="clear" w:color="auto" w:fill="F2F2F2"/>
          </w:tcPr>
          <w:p>
            <w:r>
              <w:rPr>
                <w:rFonts w:ascii="맑은 고딕" w:hAnsi="맑은 고딕" w:eastAsia="맑은 고딕"/>
                <w:b w:val="0"/>
                <w:sz w:val="20"/>
              </w:rPr>
              <w:t>8</w:t>
            </w:r>
          </w:p>
        </w:tc>
        <w:tc>
          <w:tcPr>
            <w:tcW w:type="dxa" w:w="2160"/>
            <w:shd w:val="clear" w:color="auto" w:fill="F2F2F2"/>
          </w:tcPr>
          <w:p>
            <w:r>
              <w:rPr>
                <w:rFonts w:ascii="맑은 고딕" w:hAnsi="맑은 고딕" w:eastAsia="맑은 고딕"/>
                <w:b w:val="0"/>
                <w:sz w:val="20"/>
              </w:rPr>
              <w:t>10%</w:t>
            </w:r>
          </w:p>
        </w:tc>
        <w:tc>
          <w:tcPr>
            <w:tcW w:type="dxa" w:w="2160"/>
            <w:shd w:val="clear" w:color="auto" w:fill="F2F2F2"/>
          </w:tcPr>
          <w:p>
            <w:r>
              <w:rPr>
                <w:rFonts w:ascii="맑은 고딕" w:hAnsi="맑은 고딕" w:eastAsia="맑은 고딕"/>
                <w:b w:val="0"/>
                <w:sz w:val="20"/>
              </w:rPr>
              <w:t>ISMS 인증 취득 등 보안 인프라 투자, 일반 운영비</w:t>
            </w:r>
          </w:p>
        </w:tc>
      </w:tr>
      <w:tr>
        <w:tc>
          <w:tcPr>
            <w:tcW w:type="dxa" w:w="2160"/>
          </w:tcPr>
          <w:p>
            <w:r>
              <w:rPr>
                <w:rFonts w:ascii="맑은 고딕" w:hAnsi="맑은 고딕" w:eastAsia="맑은 고딕"/>
                <w:b w:val="0"/>
                <w:sz w:val="20"/>
              </w:rPr>
              <w:t>합계</w:t>
            </w:r>
          </w:p>
        </w:tc>
        <w:tc>
          <w:tcPr>
            <w:tcW w:type="dxa" w:w="2160"/>
          </w:tcPr>
          <w:p>
            <w:r>
              <w:rPr>
                <w:rFonts w:ascii="맑은 고딕" w:hAnsi="맑은 고딕" w:eastAsia="맑은 고딕"/>
                <w:b w:val="0"/>
                <w:sz w:val="20"/>
              </w:rPr>
              <w:t>80</w:t>
            </w:r>
          </w:p>
        </w:tc>
        <w:tc>
          <w:tcPr>
            <w:tcW w:type="dxa" w:w="2160"/>
          </w:tcPr>
          <w:p>
            <w:r>
              <w:rPr>
                <w:rFonts w:ascii="맑은 고딕" w:hAnsi="맑은 고딕" w:eastAsia="맑은 고딕"/>
                <w:b w:val="0"/>
                <w:sz w:val="20"/>
              </w:rPr>
              <w:t>100%</w:t>
            </w:r>
          </w:p>
        </w:tc>
        <w:tc>
          <w:tcPr>
            <w:tcW w:type="dxa" w:w="2160"/>
          </w:tcPr>
          <w:p>
            <w:r>
              <w:rPr>
                <w:rFonts w:ascii="맑은 고딕" w:hAnsi="맑은 고딕" w:eastAsia="맑은 고딕"/>
                <w:b w:val="0"/>
                <w:sz w:val="20"/>
              </w:rPr>
              <w:t>-</w:t>
            </w:r>
          </w:p>
        </w:tc>
      </w:tr>
    </w:tbl>
    <w:p/>
    <w:p>
      <w:r>
        <w:rPr>
          <w:rFonts w:ascii="맑은 고딕" w:hAnsi="맑은 고딕" w:eastAsia="맑은 고딕"/>
          <w:b/>
          <w:color w:val="1F3864"/>
          <w:sz w:val="26"/>
        </w:rPr>
        <w:t>10. Cap Table(지분 구조) 현황</w:t>
      </w:r>
    </w:p>
    <w:p>
      <w:pPr>
        <w:spacing w:line="312" w:lineRule="auto" w:after="160"/>
      </w:pPr>
      <w:r>
        <w:rPr>
          <w:rFonts w:ascii="맑은 고딕" w:hAnsi="맑은 고딕" w:eastAsia="맑은 고딕"/>
          <w:b w:val="0"/>
          <w:sz w:val="22"/>
        </w:rPr>
        <w:t>본 장에서는 금번 라운드 협의의 기초가 되는 현재 지분 구조와 Series B 라운드 완료를 가정한 예상 지분 변동 내역을 정리한다. 아래 수치는 신규 투자자 지분율 15.1%, 유치금액 80억원, 포스트머니 밸류에이션 530억원을 전제로 한 예시 산정치이며, 실제 배정 비율은 텀시트 및 본계약 체결 과정에서 변경될 수 있다.</w:t>
      </w:r>
    </w:p>
    <w:p>
      <w:pPr>
        <w:spacing w:line="312" w:lineRule="auto" w:after="160"/>
      </w:pPr>
      <w:r>
        <w:rPr>
          <w:rFonts w:ascii="맑은 고딕" w:hAnsi="맑은 고딕" w:eastAsia="맑은 고딕"/>
          <w:b w:val="0"/>
          <w:sz w:val="22"/>
        </w:rPr>
        <w:t>현재 주주 구성은 창업자 및 경영진(대표이사 김도현 외 2인)이 42.0%로 최대주주 지위를 유지하고 있으며, 시리즈 A 투자자(가칭 브릿지벤처스)가 28.0%, 설립 초기 참여한 엔젤투자자 그룹이 20.0%, 임직원 스톡옵션(ESOP) 풀이 10.0%를 각각 보유하고 있다.</w:t>
      </w:r>
    </w:p>
    <w:p>
      <w:pPr>
        <w:spacing w:line="312" w:lineRule="auto" w:after="160"/>
      </w:pPr>
      <w:r>
        <w:rPr>
          <w:rFonts w:ascii="맑은 고딕" w:hAnsi="맑은 고딕" w:eastAsia="맑은 고딕"/>
          <w:b w:val="0"/>
          <w:sz w:val="22"/>
        </w:rPr>
        <w:t>Series B 라운드가 계획대로 완료될 경우, 기존 주주 지분은 신규 발행 물량만큼 비례 희석(pro-rata dilution)되어 창업자 및 경영진 약 35.7%, 시리즈 A 투자자 약 23.8%, 엔젤투자자 그룹 약 16.9%, ESOP 풀 약 8.5%로 조정되며, 신규 투자자가 약 15.1%를 신규 취득하게 된다.</w:t>
      </w:r>
    </w:p>
    <w:p>
      <w:pPr>
        <w:spacing w:line="312" w:lineRule="auto" w:after="160"/>
      </w:pPr>
      <w:r>
        <w:rPr>
          <w:rFonts w:ascii="맑은 고딕" w:hAnsi="맑은 고딕" w:eastAsia="맑은 고딕"/>
          <w:b w:val="0"/>
          <w:sz w:val="22"/>
        </w:rPr>
        <w:t>창업자 및 경영진의 지분율은 희석 이후에도 35.7%로 단일 최대주주 지위를 유지할 것으로 예상되며, 이는 경영권 안정성 측면에서 투자자들이 통상 긍정적으로 평가하는 수준이다. ESOP 풀은 향후 개발본부·영업팀 등 핵심 인력 채용 확대에 따라 이사회 승인을 거쳐 추가 확대될 수 있다.</w:t>
      </w:r>
    </w:p>
    <w:p>
      <w:pPr>
        <w:spacing w:line="312" w:lineRule="auto" w:after="160"/>
      </w:pPr>
      <w:r>
        <w:rPr>
          <w:rFonts w:ascii="맑은 고딕" w:hAnsi="맑은 고딕" w:eastAsia="맑은 고딕"/>
          <w:b w:val="0"/>
          <w:sz w:val="22"/>
        </w:rPr>
        <w:t>법무팀(팀장 한지원)은 신주 발행 관련 정관 변경, 주주간 계약서(SHA) 개정, 이사회 및 주주총회 의사록 작성 등 제반 법률 절차를 검토·진행하고 있으며, 세부 지분 이전 내역 및 주주명부는 NDA 체결 이후 실사 자료로 별도 제공될 예정이다.</w:t>
      </w:r>
    </w:p>
    <w:p>
      <w:pPr>
        <w:spacing w:line="312" w:lineRule="auto" w:after="160"/>
      </w:pPr>
      <w:r>
        <w:rPr>
          <w:rFonts w:ascii="맑은 고딕" w:hAnsi="맑은 고딕" w:eastAsia="맑은 고딕"/>
          <w:b w:val="0"/>
          <w:sz w:val="22"/>
        </w:rPr>
        <w:t>아래 표는 현재 지분 구조와 Series B 완료 후 예상 지분 구조를 비교한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주주 구분</w:t>
            </w:r>
          </w:p>
        </w:tc>
        <w:tc>
          <w:tcPr>
            <w:tcW w:type="dxa" w:w="2160"/>
            <w:shd w:val="clear" w:color="auto" w:fill="1F3864"/>
          </w:tcPr>
          <w:p>
            <w:pPr>
              <w:jc w:val="center"/>
            </w:pPr>
            <w:r>
              <w:rPr>
                <w:rFonts w:ascii="맑은 고딕" w:hAnsi="맑은 고딕" w:eastAsia="맑은 고딕"/>
                <w:b/>
                <w:color w:val="FFFFFF"/>
                <w:sz w:val="20"/>
              </w:rPr>
              <w:t>현재 지분율</w:t>
            </w:r>
          </w:p>
        </w:tc>
        <w:tc>
          <w:tcPr>
            <w:tcW w:type="dxa" w:w="2160"/>
            <w:shd w:val="clear" w:color="auto" w:fill="1F3864"/>
          </w:tcPr>
          <w:p>
            <w:pPr>
              <w:jc w:val="center"/>
            </w:pPr>
            <w:r>
              <w:rPr>
                <w:rFonts w:ascii="맑은 고딕" w:hAnsi="맑은 고딕" w:eastAsia="맑은 고딕"/>
                <w:b/>
                <w:color w:val="FFFFFF"/>
                <w:sz w:val="20"/>
              </w:rPr>
              <w:t>Series B 이후(예상)</w:t>
            </w:r>
          </w:p>
        </w:tc>
        <w:tc>
          <w:tcPr>
            <w:tcW w:type="dxa" w:w="2160"/>
            <w:shd w:val="clear" w:color="auto" w:fill="1F3864"/>
          </w:tcPr>
          <w:p>
            <w:pPr>
              <w:jc w:val="center"/>
            </w:pPr>
            <w:r>
              <w:rPr>
                <w:rFonts w:ascii="맑은 고딕" w:hAnsi="맑은 고딕" w:eastAsia="맑은 고딕"/>
                <w:b/>
                <w:color w:val="FFFFFF"/>
                <w:sz w:val="20"/>
              </w:rPr>
              <w:t>비고</w:t>
            </w:r>
          </w:p>
        </w:tc>
      </w:tr>
      <w:tr>
        <w:tc>
          <w:tcPr>
            <w:tcW w:type="dxa" w:w="2160"/>
          </w:tcPr>
          <w:p>
            <w:r>
              <w:rPr>
                <w:rFonts w:ascii="맑은 고딕" w:hAnsi="맑은 고딕" w:eastAsia="맑은 고딕"/>
                <w:b w:val="0"/>
                <w:sz w:val="20"/>
              </w:rPr>
              <w:t>창업자 및 경영진(김도현 외 2인)</w:t>
            </w:r>
          </w:p>
        </w:tc>
        <w:tc>
          <w:tcPr>
            <w:tcW w:type="dxa" w:w="2160"/>
          </w:tcPr>
          <w:p>
            <w:r>
              <w:rPr>
                <w:rFonts w:ascii="맑은 고딕" w:hAnsi="맑은 고딕" w:eastAsia="맑은 고딕"/>
                <w:b w:val="0"/>
                <w:sz w:val="20"/>
              </w:rPr>
              <w:t>42.0%</w:t>
            </w:r>
          </w:p>
        </w:tc>
        <w:tc>
          <w:tcPr>
            <w:tcW w:type="dxa" w:w="2160"/>
          </w:tcPr>
          <w:p>
            <w:r>
              <w:rPr>
                <w:rFonts w:ascii="맑은 고딕" w:hAnsi="맑은 고딕" w:eastAsia="맑은 고딕"/>
                <w:b w:val="0"/>
                <w:sz w:val="20"/>
              </w:rPr>
              <w:t>35.7%</w:t>
            </w:r>
          </w:p>
        </w:tc>
        <w:tc>
          <w:tcPr>
            <w:tcW w:type="dxa" w:w="2160"/>
          </w:tcPr>
          <w:p>
            <w:r>
              <w:rPr>
                <w:rFonts w:ascii="맑은 고딕" w:hAnsi="맑은 고딕" w:eastAsia="맑은 고딕"/>
                <w:b w:val="0"/>
                <w:sz w:val="20"/>
              </w:rPr>
              <w:t>보통주</w:t>
            </w:r>
          </w:p>
        </w:tc>
      </w:tr>
      <w:tr>
        <w:tc>
          <w:tcPr>
            <w:tcW w:type="dxa" w:w="2160"/>
            <w:shd w:val="clear" w:color="auto" w:fill="F2F2F2"/>
          </w:tcPr>
          <w:p>
            <w:r>
              <w:rPr>
                <w:rFonts w:ascii="맑은 고딕" w:hAnsi="맑은 고딕" w:eastAsia="맑은 고딕"/>
                <w:b w:val="0"/>
                <w:sz w:val="20"/>
              </w:rPr>
              <w:t>시리즈A 투자자(가칭 브릿지벤처스)</w:t>
            </w:r>
          </w:p>
        </w:tc>
        <w:tc>
          <w:tcPr>
            <w:tcW w:type="dxa" w:w="2160"/>
            <w:shd w:val="clear" w:color="auto" w:fill="F2F2F2"/>
          </w:tcPr>
          <w:p>
            <w:r>
              <w:rPr>
                <w:rFonts w:ascii="맑은 고딕" w:hAnsi="맑은 고딕" w:eastAsia="맑은 고딕"/>
                <w:b w:val="0"/>
                <w:sz w:val="20"/>
              </w:rPr>
              <w:t>28.0%</w:t>
            </w:r>
          </w:p>
        </w:tc>
        <w:tc>
          <w:tcPr>
            <w:tcW w:type="dxa" w:w="2160"/>
            <w:shd w:val="clear" w:color="auto" w:fill="F2F2F2"/>
          </w:tcPr>
          <w:p>
            <w:r>
              <w:rPr>
                <w:rFonts w:ascii="맑은 고딕" w:hAnsi="맑은 고딕" w:eastAsia="맑은 고딕"/>
                <w:b w:val="0"/>
                <w:sz w:val="20"/>
              </w:rPr>
              <w:t>23.8%</w:t>
            </w:r>
          </w:p>
        </w:tc>
        <w:tc>
          <w:tcPr>
            <w:tcW w:type="dxa" w:w="2160"/>
            <w:shd w:val="clear" w:color="auto" w:fill="F2F2F2"/>
          </w:tcPr>
          <w:p>
            <w:r>
              <w:rPr>
                <w:rFonts w:ascii="맑은 고딕" w:hAnsi="맑은 고딕" w:eastAsia="맑은 고딕"/>
                <w:b w:val="0"/>
                <w:sz w:val="20"/>
              </w:rPr>
              <w:t>RCPS</w:t>
            </w:r>
          </w:p>
        </w:tc>
      </w:tr>
      <w:tr>
        <w:tc>
          <w:tcPr>
            <w:tcW w:type="dxa" w:w="2160"/>
          </w:tcPr>
          <w:p>
            <w:r>
              <w:rPr>
                <w:rFonts w:ascii="맑은 고딕" w:hAnsi="맑은 고딕" w:eastAsia="맑은 고딕"/>
                <w:b w:val="0"/>
                <w:sz w:val="20"/>
              </w:rPr>
              <w:t>초기 엔젤투자자 그룹</w:t>
            </w:r>
          </w:p>
        </w:tc>
        <w:tc>
          <w:tcPr>
            <w:tcW w:type="dxa" w:w="2160"/>
          </w:tcPr>
          <w:p>
            <w:r>
              <w:rPr>
                <w:rFonts w:ascii="맑은 고딕" w:hAnsi="맑은 고딕" w:eastAsia="맑은 고딕"/>
                <w:b w:val="0"/>
                <w:sz w:val="20"/>
              </w:rPr>
              <w:t>20.0%</w:t>
            </w:r>
          </w:p>
        </w:tc>
        <w:tc>
          <w:tcPr>
            <w:tcW w:type="dxa" w:w="2160"/>
          </w:tcPr>
          <w:p>
            <w:r>
              <w:rPr>
                <w:rFonts w:ascii="맑은 고딕" w:hAnsi="맑은 고딕" w:eastAsia="맑은 고딕"/>
                <w:b w:val="0"/>
                <w:sz w:val="20"/>
              </w:rPr>
              <w:t>16.9%</w:t>
            </w:r>
          </w:p>
        </w:tc>
        <w:tc>
          <w:tcPr>
            <w:tcW w:type="dxa" w:w="2160"/>
          </w:tcPr>
          <w:p>
            <w:r>
              <w:rPr>
                <w:rFonts w:ascii="맑은 고딕" w:hAnsi="맑은 고딕" w:eastAsia="맑은 고딕"/>
                <w:b w:val="0"/>
                <w:sz w:val="20"/>
              </w:rPr>
              <w:t>보통주</w:t>
            </w:r>
          </w:p>
        </w:tc>
      </w:tr>
      <w:tr>
        <w:tc>
          <w:tcPr>
            <w:tcW w:type="dxa" w:w="2160"/>
            <w:shd w:val="clear" w:color="auto" w:fill="F2F2F2"/>
          </w:tcPr>
          <w:p>
            <w:r>
              <w:rPr>
                <w:rFonts w:ascii="맑은 고딕" w:hAnsi="맑은 고딕" w:eastAsia="맑은 고딕"/>
                <w:b w:val="0"/>
                <w:sz w:val="20"/>
              </w:rPr>
              <w:t>임직원 스톡옵션(ESOP) 풀</w:t>
            </w:r>
          </w:p>
        </w:tc>
        <w:tc>
          <w:tcPr>
            <w:tcW w:type="dxa" w:w="2160"/>
            <w:shd w:val="clear" w:color="auto" w:fill="F2F2F2"/>
          </w:tcPr>
          <w:p>
            <w:r>
              <w:rPr>
                <w:rFonts w:ascii="맑은 고딕" w:hAnsi="맑은 고딕" w:eastAsia="맑은 고딕"/>
                <w:b w:val="0"/>
                <w:sz w:val="20"/>
              </w:rPr>
              <w:t>10.0%</w:t>
            </w:r>
          </w:p>
        </w:tc>
        <w:tc>
          <w:tcPr>
            <w:tcW w:type="dxa" w:w="2160"/>
            <w:shd w:val="clear" w:color="auto" w:fill="F2F2F2"/>
          </w:tcPr>
          <w:p>
            <w:r>
              <w:rPr>
                <w:rFonts w:ascii="맑은 고딕" w:hAnsi="맑은 고딕" w:eastAsia="맑은 고딕"/>
                <w:b w:val="0"/>
                <w:sz w:val="20"/>
              </w:rPr>
              <w:t>8.5%</w:t>
            </w:r>
          </w:p>
        </w:tc>
        <w:tc>
          <w:tcPr>
            <w:tcW w:type="dxa" w:w="2160"/>
            <w:shd w:val="clear" w:color="auto" w:fill="F2F2F2"/>
          </w:tcPr>
          <w:p>
            <w:r>
              <w:rPr>
                <w:rFonts w:ascii="맑은 고딕" w:hAnsi="맑은 고딕" w:eastAsia="맑은 고딕"/>
                <w:b w:val="0"/>
                <w:sz w:val="20"/>
              </w:rPr>
              <w:t>부여분 및 미부여분 포함</w:t>
            </w:r>
          </w:p>
        </w:tc>
      </w:tr>
      <w:tr>
        <w:tc>
          <w:tcPr>
            <w:tcW w:type="dxa" w:w="2160"/>
          </w:tcPr>
          <w:p>
            <w:r>
              <w:rPr>
                <w:rFonts w:ascii="맑은 고딕" w:hAnsi="맑은 고딕" w:eastAsia="맑은 고딕"/>
                <w:b w:val="0"/>
                <w:sz w:val="20"/>
              </w:rPr>
              <w:t>신규 투자자(Series B)</w:t>
            </w:r>
          </w:p>
        </w:tc>
        <w:tc>
          <w:tcPr>
            <w:tcW w:type="dxa" w:w="2160"/>
          </w:tcPr>
          <w:p>
            <w:r>
              <w:rPr>
                <w:rFonts w:ascii="맑은 고딕" w:hAnsi="맑은 고딕" w:eastAsia="맑은 고딕"/>
                <w:b w:val="0"/>
                <w:sz w:val="20"/>
              </w:rPr>
              <w:t>-</w:t>
            </w:r>
          </w:p>
        </w:tc>
        <w:tc>
          <w:tcPr>
            <w:tcW w:type="dxa" w:w="2160"/>
          </w:tcPr>
          <w:p>
            <w:r>
              <w:rPr>
                <w:rFonts w:ascii="맑은 고딕" w:hAnsi="맑은 고딕" w:eastAsia="맑은 고딕"/>
                <w:b w:val="0"/>
                <w:sz w:val="20"/>
              </w:rPr>
              <w:t>15.1%</w:t>
            </w:r>
          </w:p>
        </w:tc>
        <w:tc>
          <w:tcPr>
            <w:tcW w:type="dxa" w:w="2160"/>
          </w:tcPr>
          <w:p>
            <w:r>
              <w:rPr>
                <w:rFonts w:ascii="맑은 고딕" w:hAnsi="맑은 고딕" w:eastAsia="맑은 고딕"/>
                <w:b w:val="0"/>
                <w:sz w:val="20"/>
              </w:rPr>
              <w:t>RCPS 검토중</w:t>
            </w:r>
          </w:p>
        </w:tc>
      </w:tr>
      <w:tr>
        <w:tc>
          <w:tcPr>
            <w:tcW w:type="dxa" w:w="2160"/>
            <w:shd w:val="clear" w:color="auto" w:fill="F2F2F2"/>
          </w:tcPr>
          <w:p>
            <w:r>
              <w:rPr>
                <w:rFonts w:ascii="맑은 고딕" w:hAnsi="맑은 고딕" w:eastAsia="맑은 고딕"/>
                <w:b w:val="0"/>
                <w:sz w:val="20"/>
              </w:rPr>
              <w:t>합계</w:t>
            </w:r>
          </w:p>
        </w:tc>
        <w:tc>
          <w:tcPr>
            <w:tcW w:type="dxa" w:w="2160"/>
            <w:shd w:val="clear" w:color="auto" w:fill="F2F2F2"/>
          </w:tcPr>
          <w:p>
            <w:r>
              <w:rPr>
                <w:rFonts w:ascii="맑은 고딕" w:hAnsi="맑은 고딕" w:eastAsia="맑은 고딕"/>
                <w:b w:val="0"/>
                <w:sz w:val="20"/>
              </w:rPr>
              <w:t>100.0%</w:t>
            </w:r>
          </w:p>
        </w:tc>
        <w:tc>
          <w:tcPr>
            <w:tcW w:type="dxa" w:w="2160"/>
            <w:shd w:val="clear" w:color="auto" w:fill="F2F2F2"/>
          </w:tcPr>
          <w:p>
            <w:r>
              <w:rPr>
                <w:rFonts w:ascii="맑은 고딕" w:hAnsi="맑은 고딕" w:eastAsia="맑은 고딕"/>
                <w:b w:val="0"/>
                <w:sz w:val="20"/>
              </w:rPr>
              <w:t>100.0%</w:t>
            </w:r>
          </w:p>
        </w:tc>
        <w:tc>
          <w:tcPr>
            <w:tcW w:type="dxa" w:w="216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11. 제품 로드맵 상세(2027~2029)</w:t>
      </w:r>
    </w:p>
    <w:p>
      <w:pPr>
        <w:spacing w:line="312" w:lineRule="auto" w:after="160"/>
      </w:pPr>
      <w:r>
        <w:rPr>
          <w:rFonts w:ascii="맑은 고딕" w:hAnsi="맑은 고딕" w:eastAsia="맑은 고딕"/>
          <w:b w:val="0"/>
          <w:sz w:val="22"/>
        </w:rPr>
        <w:t>당사는 네오보드 3.0 리뉴얼(2026년 4분기 출시 목표) 이후에도 3개년 단위의 제품 로드맵을 수립하여 국내외 시장 확대와 제품 경쟁력 강화를 동시에 추진할 계획이다. 로드맵은 매년 이사회 보고를 통해 시장 상황에 맞게 조정되며, 아래 내용은 2026년 8월 현재 기준의 계획이다.</w:t>
      </w:r>
    </w:p>
    <w:p>
      <w:pPr>
        <w:spacing w:line="312" w:lineRule="auto" w:after="160"/>
      </w:pPr>
      <w:r>
        <w:rPr>
          <w:rFonts w:ascii="맑은 고딕" w:hAnsi="맑은 고딕" w:eastAsia="맑은 고딕"/>
          <w:b w:val="0"/>
          <w:sz w:val="22"/>
        </w:rPr>
        <w:t>2027년에는 네오보드 3.0의 정식 안정화와 함께 일본 로컬라이징 버전을 정식 출시할 계획이다. 아울러 모바일 앱에 오프라인 모드(네트워크 불안정 환경에서의 임시 저장 및 자동 동기화)를 추가하여 현장직·외근직 사용자의 편의성을 높일 예정이다.</w:t>
      </w:r>
    </w:p>
    <w:p>
      <w:pPr>
        <w:spacing w:line="312" w:lineRule="auto" w:after="160"/>
      </w:pPr>
      <w:r>
        <w:rPr>
          <w:rFonts w:ascii="맑은 고딕" w:hAnsi="맑은 고딕" w:eastAsia="맑은 고딕"/>
          <w:b w:val="0"/>
          <w:sz w:val="22"/>
        </w:rPr>
        <w:t>2028년에는 AI 요약 기능을 별도 유료 부가기능(Add-on)으로 전환하여 수익화를 본격화하고, 서드파티 개발사가 참여하는 워크플로우 마켓플레이스를 오픈할 계획이다. 아울러 일본 시장 성과를 바탕으로 대만 등 추가 아시아 시장 진출 타당성 검토를 병행한다.</w:t>
      </w:r>
    </w:p>
    <w:p>
      <w:pPr>
        <w:spacing w:line="312" w:lineRule="auto" w:after="160"/>
      </w:pPr>
      <w:r>
        <w:rPr>
          <w:rFonts w:ascii="맑은 고딕" w:hAnsi="맑은 고딕" w:eastAsia="맑은 고딕"/>
          <w:b w:val="0"/>
          <w:sz w:val="22"/>
        </w:rPr>
        <w:t>2029년에는 대기업 및 공공·금융권 고객을 위한 엔터프라이즈 플랜을 출시하여 SSO(Single Sign-On) 및 SCIM 기반 계정 프로비저닝을 지원하고, ISMS 인증을 바탕으로 한 공공·금융 특화 보안 패키지를 선보일 계획이다. 아울러 일본 이외 추가 아시아 거점 설립 여부를 이사회 논의를 거쳐 결정할 예정이다.</w:t>
      </w:r>
    </w:p>
    <w:p>
      <w:pPr>
        <w:spacing w:line="312" w:lineRule="auto" w:after="160"/>
      </w:pPr>
      <w:r>
        <w:rPr>
          <w:rFonts w:ascii="맑은 고딕" w:hAnsi="맑은 고딕" w:eastAsia="맑은 고딕"/>
          <w:b w:val="0"/>
          <w:sz w:val="22"/>
        </w:rPr>
        <w:t>로드맵상 핵심 지표 목표는 아래 표와 같으며, 이는 9장의 자금 사용 계획 및 14장의 3개년 성장 전략과 연계하여 수립되었다. 실제 출시 일정은 개발 진행 상황 및 시장 반응에 따라 변경될 수 있다.</w:t>
      </w:r>
    </w:p>
    <w:p>
      <w:pPr>
        <w:spacing w:line="312" w:lineRule="auto" w:after="160"/>
      </w:pPr>
      <w:r>
        <w:rPr>
          <w:rFonts w:ascii="맑은 고딕" w:hAnsi="맑은 고딕" w:eastAsia="맑은 고딕"/>
          <w:b w:val="0"/>
          <w:sz w:val="22"/>
        </w:rPr>
        <w:t>제품 로드맵의 실행은 CTO 강민석이 총괄하며, AI팀·플랫폼팀·백엔드팀·프론트팀 간 분기별 로드맵 점검 회의를 통해 우선순위를 조정하고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연도</w:t>
            </w:r>
          </w:p>
        </w:tc>
        <w:tc>
          <w:tcPr>
            <w:tcW w:type="dxa" w:w="2880"/>
            <w:shd w:val="clear" w:color="auto" w:fill="1F3864"/>
          </w:tcPr>
          <w:p>
            <w:pPr>
              <w:jc w:val="center"/>
            </w:pPr>
            <w:r>
              <w:rPr>
                <w:rFonts w:ascii="맑은 고딕" w:hAnsi="맑은 고딕" w:eastAsia="맑은 고딕"/>
                <w:b/>
                <w:color w:val="FFFFFF"/>
                <w:sz w:val="20"/>
              </w:rPr>
              <w:t>주요 출시/목표</w:t>
            </w:r>
          </w:p>
        </w:tc>
        <w:tc>
          <w:tcPr>
            <w:tcW w:type="dxa" w:w="2880"/>
            <w:shd w:val="clear" w:color="auto" w:fill="1F3864"/>
          </w:tcPr>
          <w:p>
            <w:pPr>
              <w:jc w:val="center"/>
            </w:pPr>
            <w:r>
              <w:rPr>
                <w:rFonts w:ascii="맑은 고딕" w:hAnsi="맑은 고딕" w:eastAsia="맑은 고딕"/>
                <w:b/>
                <w:color w:val="FFFFFF"/>
                <w:sz w:val="20"/>
              </w:rPr>
              <w:t>핵심 지표 목표</w:t>
            </w:r>
          </w:p>
        </w:tc>
      </w:tr>
      <w:tr>
        <w:tc>
          <w:tcPr>
            <w:tcW w:type="dxa" w:w="2880"/>
          </w:tcPr>
          <w:p>
            <w:r>
              <w:rPr>
                <w:rFonts w:ascii="맑은 고딕" w:hAnsi="맑은 고딕" w:eastAsia="맑은 고딕"/>
                <w:b w:val="0"/>
                <w:sz w:val="20"/>
              </w:rPr>
              <w:t>2027</w:t>
            </w:r>
          </w:p>
        </w:tc>
        <w:tc>
          <w:tcPr>
            <w:tcW w:type="dxa" w:w="2880"/>
          </w:tcPr>
          <w:p>
            <w:r>
              <w:rPr>
                <w:rFonts w:ascii="맑은 고딕" w:hAnsi="맑은 고딕" w:eastAsia="맑은 고딕"/>
                <w:b w:val="0"/>
                <w:sz w:val="20"/>
              </w:rPr>
              <w:t>네오보드 3.0 정식 안정화, 일본 로컬라이징 버전 출시, 모바일 오프라인 모드</w:t>
            </w:r>
          </w:p>
        </w:tc>
        <w:tc>
          <w:tcPr>
            <w:tcW w:type="dxa" w:w="2880"/>
          </w:tcPr>
          <w:p>
            <w:r>
              <w:rPr>
                <w:rFonts w:ascii="맑은 고딕" w:hAnsi="맑은 고딕" w:eastAsia="맑은 고딕"/>
                <w:b w:val="0"/>
                <w:sz w:val="20"/>
              </w:rPr>
              <w:t>일본 유료고객 30개사, 국내 매출 100억원</w:t>
            </w:r>
          </w:p>
        </w:tc>
      </w:tr>
      <w:tr>
        <w:tc>
          <w:tcPr>
            <w:tcW w:type="dxa" w:w="2880"/>
            <w:shd w:val="clear" w:color="auto" w:fill="F2F2F2"/>
          </w:tcPr>
          <w:p>
            <w:r>
              <w:rPr>
                <w:rFonts w:ascii="맑은 고딕" w:hAnsi="맑은 고딕" w:eastAsia="맑은 고딕"/>
                <w:b w:val="0"/>
                <w:sz w:val="20"/>
              </w:rPr>
              <w:t>2028</w:t>
            </w:r>
          </w:p>
        </w:tc>
        <w:tc>
          <w:tcPr>
            <w:tcW w:type="dxa" w:w="2880"/>
            <w:shd w:val="clear" w:color="auto" w:fill="F2F2F2"/>
          </w:tcPr>
          <w:p>
            <w:r>
              <w:rPr>
                <w:rFonts w:ascii="맑은 고딕" w:hAnsi="맑은 고딕" w:eastAsia="맑은 고딕"/>
                <w:b w:val="0"/>
                <w:sz w:val="20"/>
              </w:rPr>
              <w:t>AI 요약 유료 Add-on 전환, 워크플로우 마켓플레이스 오픈, 대만 진출 타당성 검토</w:t>
            </w:r>
          </w:p>
        </w:tc>
        <w:tc>
          <w:tcPr>
            <w:tcW w:type="dxa" w:w="2880"/>
            <w:shd w:val="clear" w:color="auto" w:fill="F2F2F2"/>
          </w:tcPr>
          <w:p>
            <w:r>
              <w:rPr>
                <w:rFonts w:ascii="맑은 고딕" w:hAnsi="맑은 고딕" w:eastAsia="맑은 고딕"/>
                <w:b w:val="0"/>
                <w:sz w:val="20"/>
              </w:rPr>
              <w:t>해외 매출비중 15%, 유료고객 550개사</w:t>
            </w:r>
          </w:p>
        </w:tc>
      </w:tr>
      <w:tr>
        <w:tc>
          <w:tcPr>
            <w:tcW w:type="dxa" w:w="2880"/>
          </w:tcPr>
          <w:p>
            <w:r>
              <w:rPr>
                <w:rFonts w:ascii="맑은 고딕" w:hAnsi="맑은 고딕" w:eastAsia="맑은 고딕"/>
                <w:b w:val="0"/>
                <w:sz w:val="20"/>
              </w:rPr>
              <w:t>2029</w:t>
            </w:r>
          </w:p>
        </w:tc>
        <w:tc>
          <w:tcPr>
            <w:tcW w:type="dxa" w:w="2880"/>
          </w:tcPr>
          <w:p>
            <w:r>
              <w:rPr>
                <w:rFonts w:ascii="맑은 고딕" w:hAnsi="맑은 고딕" w:eastAsia="맑은 고딕"/>
                <w:b w:val="0"/>
                <w:sz w:val="20"/>
              </w:rPr>
              <w:t>엔터프라이즈 플랜(SSO/SCIM) 출시, 공공·금융 특화 보안 패키지, 추가 아시아 거점 검토</w:t>
            </w:r>
          </w:p>
        </w:tc>
        <w:tc>
          <w:tcPr>
            <w:tcW w:type="dxa" w:w="2880"/>
          </w:tcPr>
          <w:p>
            <w:r>
              <w:rPr>
                <w:rFonts w:ascii="맑은 고딕" w:hAnsi="맑은 고딕" w:eastAsia="맑은 고딕"/>
                <w:b w:val="0"/>
                <w:sz w:val="20"/>
              </w:rPr>
              <w:t>매출 200억원, 유료고객 700개사, 해외비중 25%</w:t>
            </w:r>
          </w:p>
        </w:tc>
      </w:tr>
    </w:tbl>
    <w:p/>
    <w:p>
      <w:r>
        <w:rPr>
          <w:rFonts w:ascii="맑은 고딕" w:hAnsi="맑은 고딕" w:eastAsia="맑은 고딕"/>
          <w:b/>
          <w:color w:val="1F3864"/>
          <w:sz w:val="26"/>
        </w:rPr>
        <w:t>12. 핵심 팀 소개</w:t>
      </w:r>
    </w:p>
    <w:p>
      <w:pPr>
        <w:spacing w:line="312" w:lineRule="auto" w:after="160"/>
      </w:pPr>
      <w:r>
        <w:rPr>
          <w:rFonts w:ascii="맑은 고딕" w:hAnsi="맑은 고딕" w:eastAsia="맑은 고딕"/>
          <w:b w:val="0"/>
          <w:sz w:val="22"/>
        </w:rPr>
        <w:t>㈜네오웍스의 핵심 경영진은 각 분야에서 실무 경험을 갖춘 인력으로 구성되어 있으며, 창업 초기 멤버와 성장 단계에서 합류한 전문 인력이 균형을 이루고 있다. 대표이사 김도현은 2016년 창업 이래 회사를 이끌어 왔으며 B2B 영업 및 SaaS 사업 전략 분야에서 15년 이상의 경력을 보유하고 있다. CTO 강민석은 대규모 트래픽 플랫폼 개발 경력 12년을 바탕으로 개발본부 20명(플랫폼팀·백엔드팀·프론트팀·AI팀)을 총괄하며 제품 기술 전략을 수립하고 있다.</w:t>
      </w:r>
    </w:p>
    <w:p>
      <w:pPr>
        <w:spacing w:line="312" w:lineRule="auto" w:after="160"/>
      </w:pPr>
      <w:r>
        <w:rPr>
          <w:rFonts w:ascii="맑은 고딕" w:hAnsi="맑은 고딕" w:eastAsia="맑은 고딕"/>
          <w:b w:val="0"/>
          <w:sz w:val="22"/>
        </w:rPr>
        <w:t>재무회계팀장 최영재는 회계법인 출신으로 재무·투자 전략 분야에서 10년 이상의 경력을 갖추고 있으며 본 투자유치 자료 작성 및 투자 실무를 총괄한다. 전략기획팀장 이수민은 전략컨설팅 업계 출신으로 사업전략 수립 및 신사업(일본 진출 등) 기획을 담당하며, 본 자료의 검토자로 참여하였다. 법무팀장 한지원은 변호사 자격을 보유하고 있으며 계약·지식재산·투자계약 검토를 전담한다. IT보안팀장 서준혁은 보안엔지니어링 경력 9년을 바탕으로 ISMS 인증 취득 및 정보보호 관리체계를 총괄한다.</w:t>
      </w:r>
    </w:p>
    <w:p>
      <w:pPr>
        <w:spacing w:line="312" w:lineRule="auto" w:after="160"/>
      </w:pPr>
      <w:r>
        <w:rPr>
          <w:rFonts w:ascii="맑은 고딕" w:hAnsi="맑은 고딕" w:eastAsia="맑은 고딕"/>
          <w:b w:val="0"/>
          <w:sz w:val="22"/>
        </w:rPr>
        <w:t>이 외에도 영업팀장 오세훈은 국내 B2B SaaS 영업 경력 8년을 바탕으로 8명 규모의 영업 조직을 이끌며 국내외 신규 고객 확보를 담당하고, 인사팀장 정하늘은 채용 및 조직문화를 담당하며 이번 투자유치 이후 예정된 개발·영업 인력 확충을 준비하고 있다. CS팀장 배유나는 4명 규모의 고객지원 조직을 운영하며 앞서 소개한 로고 리텐션 95% 달성에 기여하고 있다.</w:t>
      </w:r>
    </w:p>
    <w:p>
      <w:pPr>
        <w:spacing w:line="312" w:lineRule="auto" w:after="160"/>
      </w:pPr>
      <w:r>
        <w:rPr>
          <w:rFonts w:ascii="맑은 고딕" w:hAnsi="맑은 고딕" w:eastAsia="맑은 고딕"/>
          <w:b w:val="0"/>
          <w:sz w:val="22"/>
        </w:rPr>
        <w:t>경영진 외에도 회사는 외부 자문 네트워크를 활용하고 있다. 국내 SaaS 업계 출신 사외이사 1인이 이사회에 참여하여 사업 전략에 대한 자문을 제공하고 있으며, 법률·회계 자문은 각각 외부 법무법인 및 회계법인과 자문 계약을 체결하여 운영하고 있다.</w:t>
      </w:r>
    </w:p>
    <w:p>
      <w:pPr>
        <w:spacing w:line="312" w:lineRule="auto" w:after="160"/>
      </w:pPr>
      <w:r>
        <w:rPr>
          <w:rFonts w:ascii="맑은 고딕" w:hAnsi="맑은 고딕" w:eastAsia="맑은 고딕"/>
          <w:b w:val="0"/>
          <w:sz w:val="22"/>
        </w:rPr>
        <w:t>금번 투자유치 이후에는 개발본부(AI팀·백엔드팀 중심)와 영업팀(일본 진출 대응 인력) 위주로 인력을 확충할 계획이며, 인사팀은 2026년 하반기부터 2027년까지 순차적으로 채용을 진행할 예정이다.</w:t>
      </w:r>
    </w:p>
    <w:p>
      <w:pPr>
        <w:spacing w:line="312" w:lineRule="auto" w:after="160"/>
      </w:pPr>
      <w:r>
        <w:rPr>
          <w:rFonts w:ascii="맑은 고딕" w:hAnsi="맑은 고딕" w:eastAsia="맑은 고딕"/>
          <w:b w:val="0"/>
          <w:sz w:val="22"/>
        </w:rPr>
        <w:t>경영진 개별 이력 및 상세 조직도는 아래 표에 요약하였으며, 전체 임직원 50명에 대한 부서별 상세 인력 현황은 13장에 정리하였고, 개별 인사 정보는 별도 자료(인사팀 제공)로 제공 가능하다.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이름</w:t>
            </w:r>
          </w:p>
        </w:tc>
        <w:tc>
          <w:tcPr>
            <w:tcW w:type="dxa" w:w="2160"/>
            <w:shd w:val="clear" w:color="auto" w:fill="1F3864"/>
          </w:tcPr>
          <w:p>
            <w:pPr>
              <w:jc w:val="center"/>
            </w:pPr>
            <w:r>
              <w:rPr>
                <w:rFonts w:ascii="맑은 고딕" w:hAnsi="맑은 고딕" w:eastAsia="맑은 고딕"/>
                <w:b/>
                <w:color w:val="FFFFFF"/>
                <w:sz w:val="20"/>
              </w:rPr>
              <w:t>직책</w:t>
            </w:r>
          </w:p>
        </w:tc>
        <w:tc>
          <w:tcPr>
            <w:tcW w:type="dxa" w:w="2160"/>
            <w:shd w:val="clear" w:color="auto" w:fill="1F3864"/>
          </w:tcPr>
          <w:p>
            <w:pPr>
              <w:jc w:val="center"/>
            </w:pPr>
            <w:r>
              <w:rPr>
                <w:rFonts w:ascii="맑은 고딕" w:hAnsi="맑은 고딕" w:eastAsia="맑은 고딕"/>
                <w:b/>
                <w:color w:val="FFFFFF"/>
                <w:sz w:val="20"/>
              </w:rPr>
              <w:t>담당 영역</w:t>
            </w:r>
          </w:p>
        </w:tc>
        <w:tc>
          <w:tcPr>
            <w:tcW w:type="dxa" w:w="2160"/>
            <w:shd w:val="clear" w:color="auto" w:fill="1F3864"/>
          </w:tcPr>
          <w:p>
            <w:pPr>
              <w:jc w:val="center"/>
            </w:pPr>
            <w:r>
              <w:rPr>
                <w:rFonts w:ascii="맑은 고딕" w:hAnsi="맑은 고딕" w:eastAsia="맑은 고딕"/>
                <w:b/>
                <w:color w:val="FFFFFF"/>
                <w:sz w:val="20"/>
              </w:rPr>
              <w:t>주요 경력</w:t>
            </w:r>
          </w:p>
        </w:tc>
      </w:tr>
      <w:tr>
        <w:tc>
          <w:tcPr>
            <w:tcW w:type="dxa" w:w="2160"/>
          </w:tcPr>
          <w:p>
            <w:r>
              <w:rPr>
                <w:rFonts w:ascii="맑은 고딕" w:hAnsi="맑은 고딕" w:eastAsia="맑은 고딕"/>
                <w:b w:val="0"/>
                <w:sz w:val="20"/>
              </w:rPr>
              <w:t>김도현</w:t>
            </w:r>
          </w:p>
        </w:tc>
        <w:tc>
          <w:tcPr>
            <w:tcW w:type="dxa" w:w="2160"/>
          </w:tcPr>
          <w:p>
            <w:r>
              <w:rPr>
                <w:rFonts w:ascii="맑은 고딕" w:hAnsi="맑은 고딕" w:eastAsia="맑은 고딕"/>
                <w:b w:val="0"/>
                <w:sz w:val="20"/>
              </w:rPr>
              <w:t>대표이사(CEO)</w:t>
            </w:r>
          </w:p>
        </w:tc>
        <w:tc>
          <w:tcPr>
            <w:tcW w:type="dxa" w:w="2160"/>
          </w:tcPr>
          <w:p>
            <w:r>
              <w:rPr>
                <w:rFonts w:ascii="맑은 고딕" w:hAnsi="맑은 고딕" w:eastAsia="맑은 고딕"/>
                <w:b w:val="0"/>
                <w:sz w:val="20"/>
              </w:rPr>
              <w:t>경영 총괄</w:t>
            </w:r>
          </w:p>
        </w:tc>
        <w:tc>
          <w:tcPr>
            <w:tcW w:type="dxa" w:w="2160"/>
          </w:tcPr>
          <w:p>
            <w:r>
              <w:rPr>
                <w:rFonts w:ascii="맑은 고딕" w:hAnsi="맑은 고딕" w:eastAsia="맑은 고딕"/>
                <w:b w:val="0"/>
                <w:sz w:val="20"/>
              </w:rPr>
              <w:t>2016년 창업, B2B 영업·SaaS 사업전략 경력 15년</w:t>
            </w:r>
          </w:p>
        </w:tc>
      </w:tr>
      <w:tr>
        <w:tc>
          <w:tcPr>
            <w:tcW w:type="dxa" w:w="2160"/>
            <w:shd w:val="clear" w:color="auto" w:fill="F2F2F2"/>
          </w:tcPr>
          <w:p>
            <w:r>
              <w:rPr>
                <w:rFonts w:ascii="맑은 고딕" w:hAnsi="맑은 고딕" w:eastAsia="맑은 고딕"/>
                <w:b w:val="0"/>
                <w:sz w:val="20"/>
              </w:rPr>
              <w:t>강민석</w:t>
            </w:r>
          </w:p>
        </w:tc>
        <w:tc>
          <w:tcPr>
            <w:tcW w:type="dxa" w:w="2160"/>
            <w:shd w:val="clear" w:color="auto" w:fill="F2F2F2"/>
          </w:tcPr>
          <w:p>
            <w:r>
              <w:rPr>
                <w:rFonts w:ascii="맑은 고딕" w:hAnsi="맑은 고딕" w:eastAsia="맑은 고딕"/>
                <w:b w:val="0"/>
                <w:sz w:val="20"/>
              </w:rPr>
              <w:t>CTO</w:t>
            </w:r>
          </w:p>
        </w:tc>
        <w:tc>
          <w:tcPr>
            <w:tcW w:type="dxa" w:w="2160"/>
            <w:shd w:val="clear" w:color="auto" w:fill="F2F2F2"/>
          </w:tcPr>
          <w:p>
            <w:r>
              <w:rPr>
                <w:rFonts w:ascii="맑은 고딕" w:hAnsi="맑은 고딕" w:eastAsia="맑은 고딕"/>
                <w:b w:val="0"/>
                <w:sz w:val="20"/>
              </w:rPr>
              <w:t>개발본부(20명) 총괄</w:t>
            </w:r>
          </w:p>
        </w:tc>
        <w:tc>
          <w:tcPr>
            <w:tcW w:type="dxa" w:w="2160"/>
            <w:shd w:val="clear" w:color="auto" w:fill="F2F2F2"/>
          </w:tcPr>
          <w:p>
            <w:r>
              <w:rPr>
                <w:rFonts w:ascii="맑은 고딕" w:hAnsi="맑은 고딕" w:eastAsia="맑은 고딕"/>
                <w:b w:val="0"/>
                <w:sz w:val="20"/>
              </w:rPr>
              <w:t>대규모 트래픽 플랫폼 개발 경력 12년</w:t>
            </w:r>
          </w:p>
        </w:tc>
      </w:tr>
      <w:tr>
        <w:tc>
          <w:tcPr>
            <w:tcW w:type="dxa" w:w="2160"/>
          </w:tcPr>
          <w:p>
            <w:r>
              <w:rPr>
                <w:rFonts w:ascii="맑은 고딕" w:hAnsi="맑은 고딕" w:eastAsia="맑은 고딕"/>
                <w:b w:val="0"/>
                <w:sz w:val="20"/>
              </w:rPr>
              <w:t>최영재</w:t>
            </w:r>
          </w:p>
        </w:tc>
        <w:tc>
          <w:tcPr>
            <w:tcW w:type="dxa" w:w="2160"/>
          </w:tcPr>
          <w:p>
            <w:r>
              <w:rPr>
                <w:rFonts w:ascii="맑은 고딕" w:hAnsi="맑은 고딕" w:eastAsia="맑은 고딕"/>
                <w:b w:val="0"/>
                <w:sz w:val="20"/>
              </w:rPr>
              <w:t>재무회계팀장(CFO 겸임)</w:t>
            </w:r>
          </w:p>
        </w:tc>
        <w:tc>
          <w:tcPr>
            <w:tcW w:type="dxa" w:w="2160"/>
          </w:tcPr>
          <w:p>
            <w:r>
              <w:rPr>
                <w:rFonts w:ascii="맑은 고딕" w:hAnsi="맑은 고딕" w:eastAsia="맑은 고딕"/>
                <w:b w:val="0"/>
                <w:sz w:val="20"/>
              </w:rPr>
              <w:t>재무·투자 총괄</w:t>
            </w:r>
          </w:p>
        </w:tc>
        <w:tc>
          <w:tcPr>
            <w:tcW w:type="dxa" w:w="2160"/>
          </w:tcPr>
          <w:p>
            <w:r>
              <w:rPr>
                <w:rFonts w:ascii="맑은 고딕" w:hAnsi="맑은 고딕" w:eastAsia="맑은 고딕"/>
                <w:b w:val="0"/>
                <w:sz w:val="20"/>
              </w:rPr>
              <w:t>회계법인 출신, 재무전략 경력 10년</w:t>
            </w:r>
          </w:p>
        </w:tc>
      </w:tr>
      <w:tr>
        <w:tc>
          <w:tcPr>
            <w:tcW w:type="dxa" w:w="2160"/>
            <w:shd w:val="clear" w:color="auto" w:fill="F2F2F2"/>
          </w:tcPr>
          <w:p>
            <w:r>
              <w:rPr>
                <w:rFonts w:ascii="맑은 고딕" w:hAnsi="맑은 고딕" w:eastAsia="맑은 고딕"/>
                <w:b w:val="0"/>
                <w:sz w:val="20"/>
              </w:rPr>
              <w:t>이수민</w:t>
            </w:r>
          </w:p>
        </w:tc>
        <w:tc>
          <w:tcPr>
            <w:tcW w:type="dxa" w:w="2160"/>
            <w:shd w:val="clear" w:color="auto" w:fill="F2F2F2"/>
          </w:tcPr>
          <w:p>
            <w:r>
              <w:rPr>
                <w:rFonts w:ascii="맑은 고딕" w:hAnsi="맑은 고딕" w:eastAsia="맑은 고딕"/>
                <w:b w:val="0"/>
                <w:sz w:val="20"/>
              </w:rPr>
              <w:t>전략기획팀장</w:t>
            </w:r>
          </w:p>
        </w:tc>
        <w:tc>
          <w:tcPr>
            <w:tcW w:type="dxa" w:w="2160"/>
            <w:shd w:val="clear" w:color="auto" w:fill="F2F2F2"/>
          </w:tcPr>
          <w:p>
            <w:r>
              <w:rPr>
                <w:rFonts w:ascii="맑은 고딕" w:hAnsi="맑은 고딕" w:eastAsia="맑은 고딕"/>
                <w:b w:val="0"/>
                <w:sz w:val="20"/>
              </w:rPr>
              <w:t>사업전략·신사업 기획</w:t>
            </w:r>
          </w:p>
        </w:tc>
        <w:tc>
          <w:tcPr>
            <w:tcW w:type="dxa" w:w="2160"/>
            <w:shd w:val="clear" w:color="auto" w:fill="F2F2F2"/>
          </w:tcPr>
          <w:p>
            <w:r>
              <w:rPr>
                <w:rFonts w:ascii="맑은 고딕" w:hAnsi="맑은 고딕" w:eastAsia="맑은 고딕"/>
                <w:b w:val="0"/>
                <w:sz w:val="20"/>
              </w:rPr>
              <w:t>전략컨설팅 업계 출신</w:t>
            </w:r>
          </w:p>
        </w:tc>
      </w:tr>
      <w:tr>
        <w:tc>
          <w:tcPr>
            <w:tcW w:type="dxa" w:w="2160"/>
          </w:tcPr>
          <w:p>
            <w:r>
              <w:rPr>
                <w:rFonts w:ascii="맑은 고딕" w:hAnsi="맑은 고딕" w:eastAsia="맑은 고딕"/>
                <w:b w:val="0"/>
                <w:sz w:val="20"/>
              </w:rPr>
              <w:t>한지원</w:t>
            </w:r>
          </w:p>
        </w:tc>
        <w:tc>
          <w:tcPr>
            <w:tcW w:type="dxa" w:w="2160"/>
          </w:tcPr>
          <w:p>
            <w:r>
              <w:rPr>
                <w:rFonts w:ascii="맑은 고딕" w:hAnsi="맑은 고딕" w:eastAsia="맑은 고딕"/>
                <w:b w:val="0"/>
                <w:sz w:val="20"/>
              </w:rPr>
              <w:t>법무팀장</w:t>
            </w:r>
          </w:p>
        </w:tc>
        <w:tc>
          <w:tcPr>
            <w:tcW w:type="dxa" w:w="2160"/>
          </w:tcPr>
          <w:p>
            <w:r>
              <w:rPr>
                <w:rFonts w:ascii="맑은 고딕" w:hAnsi="맑은 고딕" w:eastAsia="맑은 고딕"/>
                <w:b w:val="0"/>
                <w:sz w:val="20"/>
              </w:rPr>
              <w:t>법무·컴플라이언스</w:t>
            </w:r>
          </w:p>
        </w:tc>
        <w:tc>
          <w:tcPr>
            <w:tcW w:type="dxa" w:w="2160"/>
          </w:tcPr>
          <w:p>
            <w:r>
              <w:rPr>
                <w:rFonts w:ascii="맑은 고딕" w:hAnsi="맑은 고딕" w:eastAsia="맑은 고딕"/>
                <w:b w:val="0"/>
                <w:sz w:val="20"/>
              </w:rPr>
              <w:t>변호사, 계약·지식재산 전문</w:t>
            </w:r>
          </w:p>
        </w:tc>
      </w:tr>
      <w:tr>
        <w:tc>
          <w:tcPr>
            <w:tcW w:type="dxa" w:w="2160"/>
            <w:shd w:val="clear" w:color="auto" w:fill="F2F2F2"/>
          </w:tcPr>
          <w:p>
            <w:r>
              <w:rPr>
                <w:rFonts w:ascii="맑은 고딕" w:hAnsi="맑은 고딕" w:eastAsia="맑은 고딕"/>
                <w:b w:val="0"/>
                <w:sz w:val="20"/>
              </w:rPr>
              <w:t>서준혁</w:t>
            </w:r>
          </w:p>
        </w:tc>
        <w:tc>
          <w:tcPr>
            <w:tcW w:type="dxa" w:w="2160"/>
            <w:shd w:val="clear" w:color="auto" w:fill="F2F2F2"/>
          </w:tcPr>
          <w:p>
            <w:r>
              <w:rPr>
                <w:rFonts w:ascii="맑은 고딕" w:hAnsi="맑은 고딕" w:eastAsia="맑은 고딕"/>
                <w:b w:val="0"/>
                <w:sz w:val="20"/>
              </w:rPr>
              <w:t>IT보안팀장</w:t>
            </w:r>
          </w:p>
        </w:tc>
        <w:tc>
          <w:tcPr>
            <w:tcW w:type="dxa" w:w="2160"/>
            <w:shd w:val="clear" w:color="auto" w:fill="F2F2F2"/>
          </w:tcPr>
          <w:p>
            <w:r>
              <w:rPr>
                <w:rFonts w:ascii="맑은 고딕" w:hAnsi="맑은 고딕" w:eastAsia="맑은 고딕"/>
                <w:b w:val="0"/>
                <w:sz w:val="20"/>
              </w:rPr>
              <w:t>정보보안·ISMS</w:t>
            </w:r>
          </w:p>
        </w:tc>
        <w:tc>
          <w:tcPr>
            <w:tcW w:type="dxa" w:w="2160"/>
            <w:shd w:val="clear" w:color="auto" w:fill="F2F2F2"/>
          </w:tcPr>
          <w:p>
            <w:r>
              <w:rPr>
                <w:rFonts w:ascii="맑은 고딕" w:hAnsi="맑은 고딕" w:eastAsia="맑은 고딕"/>
                <w:b w:val="0"/>
                <w:sz w:val="20"/>
              </w:rPr>
              <w:t>보안엔지니어링 경력 9년</w:t>
            </w:r>
          </w:p>
        </w:tc>
      </w:tr>
      <w:tr>
        <w:tc>
          <w:tcPr>
            <w:tcW w:type="dxa" w:w="2160"/>
          </w:tcPr>
          <w:p>
            <w:r>
              <w:rPr>
                <w:rFonts w:ascii="맑은 고딕" w:hAnsi="맑은 고딕" w:eastAsia="맑은 고딕"/>
                <w:b w:val="0"/>
                <w:sz w:val="20"/>
              </w:rPr>
              <w:t>오세훈</w:t>
            </w:r>
          </w:p>
        </w:tc>
        <w:tc>
          <w:tcPr>
            <w:tcW w:type="dxa" w:w="2160"/>
          </w:tcPr>
          <w:p>
            <w:r>
              <w:rPr>
                <w:rFonts w:ascii="맑은 고딕" w:hAnsi="맑은 고딕" w:eastAsia="맑은 고딕"/>
                <w:b w:val="0"/>
                <w:sz w:val="20"/>
              </w:rPr>
              <w:t>영업팀장</w:t>
            </w:r>
          </w:p>
        </w:tc>
        <w:tc>
          <w:tcPr>
            <w:tcW w:type="dxa" w:w="2160"/>
          </w:tcPr>
          <w:p>
            <w:r>
              <w:rPr>
                <w:rFonts w:ascii="맑은 고딕" w:hAnsi="맑은 고딕" w:eastAsia="맑은 고딕"/>
                <w:b w:val="0"/>
                <w:sz w:val="20"/>
              </w:rPr>
              <w:t>국내외 영업(8명)</w:t>
            </w:r>
          </w:p>
        </w:tc>
        <w:tc>
          <w:tcPr>
            <w:tcW w:type="dxa" w:w="2160"/>
          </w:tcPr>
          <w:p>
            <w:r>
              <w:rPr>
                <w:rFonts w:ascii="맑은 고딕" w:hAnsi="맑은 고딕" w:eastAsia="맑은 고딕"/>
                <w:b w:val="0"/>
                <w:sz w:val="20"/>
              </w:rPr>
              <w:t>B2B SaaS 영업 경력 8년</w:t>
            </w:r>
          </w:p>
        </w:tc>
      </w:tr>
      <w:tr>
        <w:tc>
          <w:tcPr>
            <w:tcW w:type="dxa" w:w="2160"/>
            <w:shd w:val="clear" w:color="auto" w:fill="F2F2F2"/>
          </w:tcPr>
          <w:p>
            <w:r>
              <w:rPr>
                <w:rFonts w:ascii="맑은 고딕" w:hAnsi="맑은 고딕" w:eastAsia="맑은 고딕"/>
                <w:b w:val="0"/>
                <w:sz w:val="20"/>
              </w:rPr>
              <w:t>배유나</w:t>
            </w:r>
          </w:p>
        </w:tc>
        <w:tc>
          <w:tcPr>
            <w:tcW w:type="dxa" w:w="2160"/>
            <w:shd w:val="clear" w:color="auto" w:fill="F2F2F2"/>
          </w:tcPr>
          <w:p>
            <w:r>
              <w:rPr>
                <w:rFonts w:ascii="맑은 고딕" w:hAnsi="맑은 고딕" w:eastAsia="맑은 고딕"/>
                <w:b w:val="0"/>
                <w:sz w:val="20"/>
              </w:rPr>
              <w:t>CS팀장</w:t>
            </w:r>
          </w:p>
        </w:tc>
        <w:tc>
          <w:tcPr>
            <w:tcW w:type="dxa" w:w="2160"/>
            <w:shd w:val="clear" w:color="auto" w:fill="F2F2F2"/>
          </w:tcPr>
          <w:p>
            <w:r>
              <w:rPr>
                <w:rFonts w:ascii="맑은 고딕" w:hAnsi="맑은 고딕" w:eastAsia="맑은 고딕"/>
                <w:b w:val="0"/>
                <w:sz w:val="20"/>
              </w:rPr>
              <w:t>고객지원(4명)</w:t>
            </w:r>
          </w:p>
        </w:tc>
        <w:tc>
          <w:tcPr>
            <w:tcW w:type="dxa" w:w="2160"/>
            <w:shd w:val="clear" w:color="auto" w:fill="F2F2F2"/>
          </w:tcPr>
          <w:p>
            <w:r>
              <w:rPr>
                <w:rFonts w:ascii="맑은 고딕" w:hAnsi="맑은 고딕" w:eastAsia="맑은 고딕"/>
                <w:b w:val="0"/>
                <w:sz w:val="20"/>
              </w:rPr>
              <w:t>SaaS 고객성공(CS) 경력 7년</w:t>
            </w:r>
          </w:p>
        </w:tc>
      </w:tr>
    </w:tbl>
    <w:p/>
    <w:p>
      <w:r>
        <w:rPr>
          <w:rFonts w:ascii="맑은 고딕" w:hAnsi="맑은 고딕" w:eastAsia="맑은 고딕"/>
          <w:b/>
          <w:color w:val="1F3864"/>
          <w:sz w:val="26"/>
        </w:rPr>
        <w:t>13. 팀 조직도 상세(부서별 인력 구성)</w:t>
      </w:r>
    </w:p>
    <w:p>
      <w:pPr>
        <w:spacing w:line="312" w:lineRule="auto" w:after="160"/>
      </w:pPr>
      <w:r>
        <w:rPr>
          <w:rFonts w:ascii="맑은 고딕" w:hAnsi="맑은 고딕" w:eastAsia="맑은 고딕"/>
          <w:b w:val="0"/>
          <w:sz w:val="22"/>
        </w:rPr>
        <w:t>㈜네오웍스는 2026년 8월 현재 총 50명의 임직원이 8개 부서에 소속되어 있으며, 개발본부/R&amp;D가 20명(전체의 40%)으로 가장 큰 비중을 차지하고 영업팀이 8명으로 그 뒤를 잇는다. 아래 표는 부서별 인원, 팀장, 세부 조직 구성을 정리한 것이다.</w:t>
      </w:r>
    </w:p>
    <w:p>
      <w:pPr>
        <w:spacing w:line="312" w:lineRule="auto" w:after="160"/>
      </w:pPr>
      <w:r>
        <w:rPr>
          <w:rFonts w:ascii="맑은 고딕" w:hAnsi="맑은 고딕" w:eastAsia="맑은 고딕"/>
          <w:b w:val="0"/>
          <w:sz w:val="22"/>
        </w:rPr>
        <w:t>경영기획실은 대표이사 직속 조직으로 전략기획팀장 이수민을 포함해 전략기획 담당 2명과 비서실 담당 1명, 총 3명으로 구성된다. 개발본부/R&amp;D는 CTO 강민석 산하에 플랫폼팀 6명, 백엔드팀 6명, 프론트팀 5명, AI팀 3명으로 세분화되어 있으며, 금번 투자유치 자금 중 R&amp;D 확대분(28억원)은 주로 AI팀과 백엔드팀 인력 충원에 사용될 예정이다.</w:t>
      </w:r>
    </w:p>
    <w:p>
      <w:pPr>
        <w:spacing w:line="312" w:lineRule="auto" w:after="160"/>
      </w:pPr>
      <w:r>
        <w:rPr>
          <w:rFonts w:ascii="맑은 고딕" w:hAnsi="맑은 고딕" w:eastAsia="맑은 고딕"/>
          <w:b w:val="0"/>
          <w:sz w:val="22"/>
        </w:rPr>
        <w:t>영업팀은 팀장 오세훈 산하에 국내영업 담당 5명과 해외영업(일본 대응) 담당 3명으로 구성되어 있으며, 일본 진출 프로젝트(PRJ-2026-07) 진행에 따라 해외영업 인력은 향후 순차적으로 확대될 계획이다. 재무회계팀은 팀장 최영재 산하에 회계 2명, 재무기획 2명, 세무 1명으로 구성되어 있다.</w:t>
      </w:r>
    </w:p>
    <w:p>
      <w:pPr>
        <w:spacing w:line="312" w:lineRule="auto" w:after="160"/>
      </w:pPr>
      <w:r>
        <w:rPr>
          <w:rFonts w:ascii="맑은 고딕" w:hAnsi="맑은 고딕" w:eastAsia="맑은 고딕"/>
          <w:b w:val="0"/>
          <w:sz w:val="22"/>
        </w:rPr>
        <w:t>인사팀은 팀장 정하늘 산하에 채용 담당 2명, 조직문화 담당 2명으로 구성되며, 법무팀은 팀장 한지원을 포함해 계약검토 1명, 지식재산 1명으로 구성된 소규모 전문 조직이다. IT보안팀은 팀장 서준혁 산하에 보안엔지니어링 2명, ISMS 인증 대응 전담 2명으로 구성되어 있으며, CS팀은 팀장 배유나 산하에 온보딩 2명, 기술지원 2명으로 구성된다.</w:t>
      </w:r>
    </w:p>
    <w:p>
      <w:pPr>
        <w:spacing w:line="312" w:lineRule="auto" w:after="160"/>
      </w:pPr>
      <w:r>
        <w:rPr>
          <w:rFonts w:ascii="맑은 고딕" w:hAnsi="맑은 고딕" w:eastAsia="맑은 고딕"/>
          <w:b w:val="0"/>
          <w:sz w:val="22"/>
        </w:rPr>
        <w:t>부서 간 협업 체계로는 매주 전사 스탠드업 회의, 격주 부서장 회의(경영기획실 주관), 분기별 전사 타운홀 미팅을 운영하고 있으며, 신규 프로젝트(PRJ 코드 부여 대상)는 관련 부서가 태스크포스(TF) 형태로 참여하는 방식으로 운영된다.</w:t>
      </w:r>
    </w:p>
    <w:p>
      <w:pPr>
        <w:spacing w:line="312" w:lineRule="auto" w:after="160"/>
      </w:pPr>
      <w:r>
        <w:rPr>
          <w:rFonts w:ascii="맑은 고딕" w:hAnsi="맑은 고딕" w:eastAsia="맑은 고딕"/>
          <w:b w:val="0"/>
          <w:sz w:val="22"/>
        </w:rPr>
        <w:t>아래 표는 부서별 인력 현황을 요약한 것이며, 합계는 50명으로 2장에서 제시한 전사 인력 규모와 일치한다.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부서</w:t>
            </w:r>
          </w:p>
        </w:tc>
        <w:tc>
          <w:tcPr>
            <w:tcW w:type="dxa" w:w="2160"/>
            <w:shd w:val="clear" w:color="auto" w:fill="1F3864"/>
          </w:tcPr>
          <w:p>
            <w:pPr>
              <w:jc w:val="center"/>
            </w:pPr>
            <w:r>
              <w:rPr>
                <w:rFonts w:ascii="맑은 고딕" w:hAnsi="맑은 고딕" w:eastAsia="맑은 고딕"/>
                <w:b/>
                <w:color w:val="FFFFFF"/>
                <w:sz w:val="20"/>
              </w:rPr>
              <w:t>인원(명)</w:t>
            </w:r>
          </w:p>
        </w:tc>
        <w:tc>
          <w:tcPr>
            <w:tcW w:type="dxa" w:w="2160"/>
            <w:shd w:val="clear" w:color="auto" w:fill="1F3864"/>
          </w:tcPr>
          <w:p>
            <w:pPr>
              <w:jc w:val="center"/>
            </w:pPr>
            <w:r>
              <w:rPr>
                <w:rFonts w:ascii="맑은 고딕" w:hAnsi="맑은 고딕" w:eastAsia="맑은 고딕"/>
                <w:b/>
                <w:color w:val="FFFFFF"/>
                <w:sz w:val="20"/>
              </w:rPr>
              <w:t>팀장</w:t>
            </w:r>
          </w:p>
        </w:tc>
        <w:tc>
          <w:tcPr>
            <w:tcW w:type="dxa" w:w="2160"/>
            <w:shd w:val="clear" w:color="auto" w:fill="1F3864"/>
          </w:tcPr>
          <w:p>
            <w:pPr>
              <w:jc w:val="center"/>
            </w:pPr>
            <w:r>
              <w:rPr>
                <w:rFonts w:ascii="맑은 고딕" w:hAnsi="맑은 고딕" w:eastAsia="맑은 고딕"/>
                <w:b/>
                <w:color w:val="FFFFFF"/>
                <w:sz w:val="20"/>
              </w:rPr>
              <w:t>세부 구성</w:t>
            </w:r>
          </w:p>
        </w:tc>
      </w:tr>
      <w:tr>
        <w:tc>
          <w:tcPr>
            <w:tcW w:type="dxa" w:w="2160"/>
          </w:tcPr>
          <w:p>
            <w:r>
              <w:rPr>
                <w:rFonts w:ascii="맑은 고딕" w:hAnsi="맑은 고딕" w:eastAsia="맑은 고딕"/>
                <w:b w:val="0"/>
                <w:sz w:val="20"/>
              </w:rPr>
              <w:t>경영기획실</w:t>
            </w:r>
          </w:p>
        </w:tc>
        <w:tc>
          <w:tcPr>
            <w:tcW w:type="dxa" w:w="2160"/>
          </w:tcPr>
          <w:p>
            <w:r>
              <w:rPr>
                <w:rFonts w:ascii="맑은 고딕" w:hAnsi="맑은 고딕" w:eastAsia="맑은 고딕"/>
                <w:b w:val="0"/>
                <w:sz w:val="20"/>
              </w:rPr>
              <w:t>3</w:t>
            </w:r>
          </w:p>
        </w:tc>
        <w:tc>
          <w:tcPr>
            <w:tcW w:type="dxa" w:w="2160"/>
          </w:tcPr>
          <w:p>
            <w:r>
              <w:rPr>
                <w:rFonts w:ascii="맑은 고딕" w:hAnsi="맑은 고딕" w:eastAsia="맑은 고딕"/>
                <w:b w:val="0"/>
                <w:sz w:val="20"/>
              </w:rPr>
              <w:t>이수민(전략기획팀장, 대표이사 직속)</w:t>
            </w:r>
          </w:p>
        </w:tc>
        <w:tc>
          <w:tcPr>
            <w:tcW w:type="dxa" w:w="2160"/>
          </w:tcPr>
          <w:p>
            <w:r>
              <w:rPr>
                <w:rFonts w:ascii="맑은 고딕" w:hAnsi="맑은 고딕" w:eastAsia="맑은 고딕"/>
                <w:b w:val="0"/>
                <w:sz w:val="20"/>
              </w:rPr>
              <w:t>전략기획 2명, 비서실 1명</w:t>
            </w:r>
          </w:p>
        </w:tc>
      </w:tr>
      <w:tr>
        <w:tc>
          <w:tcPr>
            <w:tcW w:type="dxa" w:w="2160"/>
            <w:shd w:val="clear" w:color="auto" w:fill="F2F2F2"/>
          </w:tcPr>
          <w:p>
            <w:r>
              <w:rPr>
                <w:rFonts w:ascii="맑은 고딕" w:hAnsi="맑은 고딕" w:eastAsia="맑은 고딕"/>
                <w:b w:val="0"/>
                <w:sz w:val="20"/>
              </w:rPr>
              <w:t>개발본부/R&amp;D</w:t>
            </w:r>
          </w:p>
        </w:tc>
        <w:tc>
          <w:tcPr>
            <w:tcW w:type="dxa" w:w="2160"/>
            <w:shd w:val="clear" w:color="auto" w:fill="F2F2F2"/>
          </w:tcPr>
          <w:p>
            <w:r>
              <w:rPr>
                <w:rFonts w:ascii="맑은 고딕" w:hAnsi="맑은 고딕" w:eastAsia="맑은 고딕"/>
                <w:b w:val="0"/>
                <w:sz w:val="20"/>
              </w:rPr>
              <w:t>20</w:t>
            </w:r>
          </w:p>
        </w:tc>
        <w:tc>
          <w:tcPr>
            <w:tcW w:type="dxa" w:w="2160"/>
            <w:shd w:val="clear" w:color="auto" w:fill="F2F2F2"/>
          </w:tcPr>
          <w:p>
            <w:r>
              <w:rPr>
                <w:rFonts w:ascii="맑은 고딕" w:hAnsi="맑은 고딕" w:eastAsia="맑은 고딕"/>
                <w:b w:val="0"/>
                <w:sz w:val="20"/>
              </w:rPr>
              <w:t>강민석(CTO)</w:t>
            </w:r>
          </w:p>
        </w:tc>
        <w:tc>
          <w:tcPr>
            <w:tcW w:type="dxa" w:w="2160"/>
            <w:shd w:val="clear" w:color="auto" w:fill="F2F2F2"/>
          </w:tcPr>
          <w:p>
            <w:r>
              <w:rPr>
                <w:rFonts w:ascii="맑은 고딕" w:hAnsi="맑은 고딕" w:eastAsia="맑은 고딕"/>
                <w:b w:val="0"/>
                <w:sz w:val="20"/>
              </w:rPr>
              <w:t>플랫폼팀 6, 백엔드팀 6, 프론트팀 5, AI팀 3</w:t>
            </w:r>
          </w:p>
        </w:tc>
      </w:tr>
      <w:tr>
        <w:tc>
          <w:tcPr>
            <w:tcW w:type="dxa" w:w="2160"/>
          </w:tcPr>
          <w:p>
            <w:r>
              <w:rPr>
                <w:rFonts w:ascii="맑은 고딕" w:hAnsi="맑은 고딕" w:eastAsia="맑은 고딕"/>
                <w:b w:val="0"/>
                <w:sz w:val="20"/>
              </w:rPr>
              <w:t>영업팀</w:t>
            </w:r>
          </w:p>
        </w:tc>
        <w:tc>
          <w:tcPr>
            <w:tcW w:type="dxa" w:w="2160"/>
          </w:tcPr>
          <w:p>
            <w:r>
              <w:rPr>
                <w:rFonts w:ascii="맑은 고딕" w:hAnsi="맑은 고딕" w:eastAsia="맑은 고딕"/>
                <w:b w:val="0"/>
                <w:sz w:val="20"/>
              </w:rPr>
              <w:t>8</w:t>
            </w:r>
          </w:p>
        </w:tc>
        <w:tc>
          <w:tcPr>
            <w:tcW w:type="dxa" w:w="2160"/>
          </w:tcPr>
          <w:p>
            <w:r>
              <w:rPr>
                <w:rFonts w:ascii="맑은 고딕" w:hAnsi="맑은 고딕" w:eastAsia="맑은 고딕"/>
                <w:b w:val="0"/>
                <w:sz w:val="20"/>
              </w:rPr>
              <w:t>오세훈</w:t>
            </w:r>
          </w:p>
        </w:tc>
        <w:tc>
          <w:tcPr>
            <w:tcW w:type="dxa" w:w="2160"/>
          </w:tcPr>
          <w:p>
            <w:r>
              <w:rPr>
                <w:rFonts w:ascii="맑은 고딕" w:hAnsi="맑은 고딕" w:eastAsia="맑은 고딕"/>
                <w:b w:val="0"/>
                <w:sz w:val="20"/>
              </w:rPr>
              <w:t>국내영업 5, 해외영업(일본) 3</w:t>
            </w:r>
          </w:p>
        </w:tc>
      </w:tr>
      <w:tr>
        <w:tc>
          <w:tcPr>
            <w:tcW w:type="dxa" w:w="2160"/>
            <w:shd w:val="clear" w:color="auto" w:fill="F2F2F2"/>
          </w:tcPr>
          <w:p>
            <w:r>
              <w:rPr>
                <w:rFonts w:ascii="맑은 고딕" w:hAnsi="맑은 고딕" w:eastAsia="맑은 고딕"/>
                <w:b w:val="0"/>
                <w:sz w:val="20"/>
              </w:rPr>
              <w:t>재무회계팀</w:t>
            </w:r>
          </w:p>
        </w:tc>
        <w:tc>
          <w:tcPr>
            <w:tcW w:type="dxa" w:w="2160"/>
            <w:shd w:val="clear" w:color="auto" w:fill="F2F2F2"/>
          </w:tcPr>
          <w:p>
            <w:r>
              <w:rPr>
                <w:rFonts w:ascii="맑은 고딕" w:hAnsi="맑은 고딕" w:eastAsia="맑은 고딕"/>
                <w:b w:val="0"/>
                <w:sz w:val="20"/>
              </w:rPr>
              <w:t>5</w:t>
            </w:r>
          </w:p>
        </w:tc>
        <w:tc>
          <w:tcPr>
            <w:tcW w:type="dxa" w:w="2160"/>
            <w:shd w:val="clear" w:color="auto" w:fill="F2F2F2"/>
          </w:tcPr>
          <w:p>
            <w:r>
              <w:rPr>
                <w:rFonts w:ascii="맑은 고딕" w:hAnsi="맑은 고딕" w:eastAsia="맑은 고딕"/>
                <w:b w:val="0"/>
                <w:sz w:val="20"/>
              </w:rPr>
              <w:t>최영재</w:t>
            </w:r>
          </w:p>
        </w:tc>
        <w:tc>
          <w:tcPr>
            <w:tcW w:type="dxa" w:w="2160"/>
            <w:shd w:val="clear" w:color="auto" w:fill="F2F2F2"/>
          </w:tcPr>
          <w:p>
            <w:r>
              <w:rPr>
                <w:rFonts w:ascii="맑은 고딕" w:hAnsi="맑은 고딕" w:eastAsia="맑은 고딕"/>
                <w:b w:val="0"/>
                <w:sz w:val="20"/>
              </w:rPr>
              <w:t>회계 2, 재무기획 2, 세무 1</w:t>
            </w:r>
          </w:p>
        </w:tc>
      </w:tr>
      <w:tr>
        <w:tc>
          <w:tcPr>
            <w:tcW w:type="dxa" w:w="2160"/>
          </w:tcPr>
          <w:p>
            <w:r>
              <w:rPr>
                <w:rFonts w:ascii="맑은 고딕" w:hAnsi="맑은 고딕" w:eastAsia="맑은 고딕"/>
                <w:b w:val="0"/>
                <w:sz w:val="20"/>
              </w:rPr>
              <w:t>인사팀</w:t>
            </w:r>
          </w:p>
        </w:tc>
        <w:tc>
          <w:tcPr>
            <w:tcW w:type="dxa" w:w="2160"/>
          </w:tcPr>
          <w:p>
            <w:r>
              <w:rPr>
                <w:rFonts w:ascii="맑은 고딕" w:hAnsi="맑은 고딕" w:eastAsia="맑은 고딕"/>
                <w:b w:val="0"/>
                <w:sz w:val="20"/>
              </w:rPr>
              <w:t>4</w:t>
            </w:r>
          </w:p>
        </w:tc>
        <w:tc>
          <w:tcPr>
            <w:tcW w:type="dxa" w:w="2160"/>
          </w:tcPr>
          <w:p>
            <w:r>
              <w:rPr>
                <w:rFonts w:ascii="맑은 고딕" w:hAnsi="맑은 고딕" w:eastAsia="맑은 고딕"/>
                <w:b w:val="0"/>
                <w:sz w:val="20"/>
              </w:rPr>
              <w:t>정하늘</w:t>
            </w:r>
          </w:p>
        </w:tc>
        <w:tc>
          <w:tcPr>
            <w:tcW w:type="dxa" w:w="2160"/>
          </w:tcPr>
          <w:p>
            <w:r>
              <w:rPr>
                <w:rFonts w:ascii="맑은 고딕" w:hAnsi="맑은 고딕" w:eastAsia="맑은 고딕"/>
                <w:b w:val="0"/>
                <w:sz w:val="20"/>
              </w:rPr>
              <w:t>채용 2, 조직문화 2</w:t>
            </w:r>
          </w:p>
        </w:tc>
      </w:tr>
      <w:tr>
        <w:tc>
          <w:tcPr>
            <w:tcW w:type="dxa" w:w="2160"/>
            <w:shd w:val="clear" w:color="auto" w:fill="F2F2F2"/>
          </w:tcPr>
          <w:p>
            <w:r>
              <w:rPr>
                <w:rFonts w:ascii="맑은 고딕" w:hAnsi="맑은 고딕" w:eastAsia="맑은 고딕"/>
                <w:b w:val="0"/>
                <w:sz w:val="20"/>
              </w:rPr>
              <w:t>법무팀</w:t>
            </w:r>
          </w:p>
        </w:tc>
        <w:tc>
          <w:tcPr>
            <w:tcW w:type="dxa" w:w="2160"/>
            <w:shd w:val="clear" w:color="auto" w:fill="F2F2F2"/>
          </w:tcPr>
          <w:p>
            <w:r>
              <w:rPr>
                <w:rFonts w:ascii="맑은 고딕" w:hAnsi="맑은 고딕" w:eastAsia="맑은 고딕"/>
                <w:b w:val="0"/>
                <w:sz w:val="20"/>
              </w:rPr>
              <w:t>2</w:t>
            </w:r>
          </w:p>
        </w:tc>
        <w:tc>
          <w:tcPr>
            <w:tcW w:type="dxa" w:w="2160"/>
            <w:shd w:val="clear" w:color="auto" w:fill="F2F2F2"/>
          </w:tcPr>
          <w:p>
            <w:r>
              <w:rPr>
                <w:rFonts w:ascii="맑은 고딕" w:hAnsi="맑은 고딕" w:eastAsia="맑은 고딕"/>
                <w:b w:val="0"/>
                <w:sz w:val="20"/>
              </w:rPr>
              <w:t>한지원</w:t>
            </w:r>
          </w:p>
        </w:tc>
        <w:tc>
          <w:tcPr>
            <w:tcW w:type="dxa" w:w="2160"/>
            <w:shd w:val="clear" w:color="auto" w:fill="F2F2F2"/>
          </w:tcPr>
          <w:p>
            <w:r>
              <w:rPr>
                <w:rFonts w:ascii="맑은 고딕" w:hAnsi="맑은 고딕" w:eastAsia="맑은 고딕"/>
                <w:b w:val="0"/>
                <w:sz w:val="20"/>
              </w:rPr>
              <w:t>계약검토 1, 지식재산 1</w:t>
            </w:r>
          </w:p>
        </w:tc>
      </w:tr>
      <w:tr>
        <w:tc>
          <w:tcPr>
            <w:tcW w:type="dxa" w:w="2160"/>
          </w:tcPr>
          <w:p>
            <w:r>
              <w:rPr>
                <w:rFonts w:ascii="맑은 고딕" w:hAnsi="맑은 고딕" w:eastAsia="맑은 고딕"/>
                <w:b w:val="0"/>
                <w:sz w:val="20"/>
              </w:rPr>
              <w:t>IT보안팀</w:t>
            </w:r>
          </w:p>
        </w:tc>
        <w:tc>
          <w:tcPr>
            <w:tcW w:type="dxa" w:w="2160"/>
          </w:tcPr>
          <w:p>
            <w:r>
              <w:rPr>
                <w:rFonts w:ascii="맑은 고딕" w:hAnsi="맑은 고딕" w:eastAsia="맑은 고딕"/>
                <w:b w:val="0"/>
                <w:sz w:val="20"/>
              </w:rPr>
              <w:t>4</w:t>
            </w:r>
          </w:p>
        </w:tc>
        <w:tc>
          <w:tcPr>
            <w:tcW w:type="dxa" w:w="2160"/>
          </w:tcPr>
          <w:p>
            <w:r>
              <w:rPr>
                <w:rFonts w:ascii="맑은 고딕" w:hAnsi="맑은 고딕" w:eastAsia="맑은 고딕"/>
                <w:b w:val="0"/>
                <w:sz w:val="20"/>
              </w:rPr>
              <w:t>서준혁</w:t>
            </w:r>
          </w:p>
        </w:tc>
        <w:tc>
          <w:tcPr>
            <w:tcW w:type="dxa" w:w="2160"/>
          </w:tcPr>
          <w:p>
            <w:r>
              <w:rPr>
                <w:rFonts w:ascii="맑은 고딕" w:hAnsi="맑은 고딕" w:eastAsia="맑은 고딕"/>
                <w:b w:val="0"/>
                <w:sz w:val="20"/>
              </w:rPr>
              <w:t>보안엔지니어링 2, ISMS 인증대응 2</w:t>
            </w:r>
          </w:p>
        </w:tc>
      </w:tr>
      <w:tr>
        <w:tc>
          <w:tcPr>
            <w:tcW w:type="dxa" w:w="2160"/>
            <w:shd w:val="clear" w:color="auto" w:fill="F2F2F2"/>
          </w:tcPr>
          <w:p>
            <w:r>
              <w:rPr>
                <w:rFonts w:ascii="맑은 고딕" w:hAnsi="맑은 고딕" w:eastAsia="맑은 고딕"/>
                <w:b w:val="0"/>
                <w:sz w:val="20"/>
              </w:rPr>
              <w:t>CS팀</w:t>
            </w:r>
          </w:p>
        </w:tc>
        <w:tc>
          <w:tcPr>
            <w:tcW w:type="dxa" w:w="2160"/>
            <w:shd w:val="clear" w:color="auto" w:fill="F2F2F2"/>
          </w:tcPr>
          <w:p>
            <w:r>
              <w:rPr>
                <w:rFonts w:ascii="맑은 고딕" w:hAnsi="맑은 고딕" w:eastAsia="맑은 고딕"/>
                <w:b w:val="0"/>
                <w:sz w:val="20"/>
              </w:rPr>
              <w:t>4</w:t>
            </w:r>
          </w:p>
        </w:tc>
        <w:tc>
          <w:tcPr>
            <w:tcW w:type="dxa" w:w="2160"/>
            <w:shd w:val="clear" w:color="auto" w:fill="F2F2F2"/>
          </w:tcPr>
          <w:p>
            <w:r>
              <w:rPr>
                <w:rFonts w:ascii="맑은 고딕" w:hAnsi="맑은 고딕" w:eastAsia="맑은 고딕"/>
                <w:b w:val="0"/>
                <w:sz w:val="20"/>
              </w:rPr>
              <w:t>배유나</w:t>
            </w:r>
          </w:p>
        </w:tc>
        <w:tc>
          <w:tcPr>
            <w:tcW w:type="dxa" w:w="2160"/>
            <w:shd w:val="clear" w:color="auto" w:fill="F2F2F2"/>
          </w:tcPr>
          <w:p>
            <w:r>
              <w:rPr>
                <w:rFonts w:ascii="맑은 고딕" w:hAnsi="맑은 고딕" w:eastAsia="맑은 고딕"/>
                <w:b w:val="0"/>
                <w:sz w:val="20"/>
              </w:rPr>
              <w:t>온보딩 2, 기술지원 2</w:t>
            </w:r>
          </w:p>
        </w:tc>
      </w:tr>
      <w:tr>
        <w:tc>
          <w:tcPr>
            <w:tcW w:type="dxa" w:w="2160"/>
          </w:tcPr>
          <w:p>
            <w:r>
              <w:rPr>
                <w:rFonts w:ascii="맑은 고딕" w:hAnsi="맑은 고딕" w:eastAsia="맑은 고딕"/>
                <w:b w:val="0"/>
                <w:sz w:val="20"/>
              </w:rPr>
              <w:t>합계</w:t>
            </w:r>
          </w:p>
        </w:tc>
        <w:tc>
          <w:tcPr>
            <w:tcW w:type="dxa" w:w="2160"/>
          </w:tcPr>
          <w:p>
            <w:r>
              <w:rPr>
                <w:rFonts w:ascii="맑은 고딕" w:hAnsi="맑은 고딕" w:eastAsia="맑은 고딕"/>
                <w:b w:val="0"/>
                <w:sz w:val="20"/>
              </w:rPr>
              <w:t>50</w:t>
            </w:r>
          </w:p>
        </w:tc>
        <w:tc>
          <w:tcPr>
            <w:tcW w:type="dxa" w:w="2160"/>
          </w:tcPr>
          <w:p>
            <w:r>
              <w:rPr>
                <w:rFonts w:ascii="맑은 고딕" w:hAnsi="맑은 고딕" w:eastAsia="맑은 고딕"/>
                <w:b w:val="0"/>
                <w:sz w:val="20"/>
              </w:rPr>
              <w:t>-</w:t>
            </w:r>
          </w:p>
        </w:tc>
        <w:tc>
          <w:tcPr>
            <w:tcW w:type="dxa" w:w="2160"/>
          </w:tcPr>
          <w:p>
            <w:r>
              <w:rPr>
                <w:rFonts w:ascii="맑은 고딕" w:hAnsi="맑은 고딕" w:eastAsia="맑은 고딕"/>
                <w:b w:val="0"/>
                <w:sz w:val="20"/>
              </w:rPr>
              <w:t>-</w:t>
            </w:r>
          </w:p>
        </w:tc>
      </w:tr>
    </w:tbl>
    <w:p/>
    <w:p>
      <w:r>
        <w:rPr>
          <w:rFonts w:ascii="맑은 고딕" w:hAnsi="맑은 고딕" w:eastAsia="맑은 고딕"/>
          <w:b/>
          <w:color w:val="1F3864"/>
          <w:sz w:val="26"/>
        </w:rPr>
        <w:t>14. 향후 3개년 성장 전략 및 리스크 요인</w:t>
      </w:r>
    </w:p>
    <w:p>
      <w:pPr>
        <w:spacing w:line="312" w:lineRule="auto" w:after="160"/>
      </w:pPr>
      <w:r>
        <w:rPr>
          <w:rFonts w:ascii="맑은 고딕" w:hAnsi="맑은 고딕" w:eastAsia="맑은 고딕"/>
          <w:b w:val="0"/>
          <w:sz w:val="22"/>
        </w:rPr>
        <w:t>향후 3개년(2027~2029년) 성장 전략은 크게 세 가지 축으로 구성된다. 첫째, 국내 시장에서는 네오보드 3.0 리뉴얼과 AI 요약 기능을 통한 ARPU 상승 및 상위 요금제 전환율 제고를 추진한다. 둘째, 해외 시장에서는 일본 진출을 통해 신규 매출원을 확보하고, 2028년 이후에는 추가 아시아 시장(대만, 동남아 등) 진출 가능성을 검토한다. 셋째, ISMS 인증 취득을 발판으로 금융·공공기관 등 보안 요건이 높은 고객군으로 영업 범위를 확대한다.</w:t>
      </w:r>
    </w:p>
    <w:p>
      <w:pPr>
        <w:spacing w:line="312" w:lineRule="auto" w:after="160"/>
      </w:pPr>
      <w:r>
        <w:rPr>
          <w:rFonts w:ascii="맑은 고딕" w:hAnsi="맑은 고딕" w:eastAsia="맑은 고딕"/>
          <w:b w:val="0"/>
          <w:sz w:val="22"/>
        </w:rPr>
        <w:t>연도별로는 2027년에는 네오보드 3.0 정식 안착 및 일본 현지법인 초기 영업 개시, 2028년에는 일본 매출 본격 기여 및 AI 요약 기능의 유료 부가기능(Add-on)화, 2029년에는 국내외 매출 균형(해외 매출 비중 25% 내외 목표) 달성을 단계별 목표로 설정하고 있다. 세부 연도별 제품 출시 계획은 11장 로드맵에 정리하였다.</w:t>
      </w:r>
    </w:p>
    <w:p>
      <w:pPr>
        <w:spacing w:line="312" w:lineRule="auto" w:after="160"/>
      </w:pPr>
      <w:r>
        <w:rPr>
          <w:rFonts w:ascii="맑은 고딕" w:hAnsi="맑은 고딕" w:eastAsia="맑은 고딕"/>
          <w:b w:val="0"/>
          <w:sz w:val="22"/>
        </w:rPr>
        <w:t>재무 목표로는 2027년 매출 100억원 이상, 2029년 매출 200억원 내외, 영업이익률 15% 이상 달성을 설정하고 있다. 이는 국내 매출 성장(연평균 20% 내외)과 일본 법인 매출 기여(2028년부터 본격화 예상)를 합산한 추정치이며, 유료 고객사 수는 2029년까지 700개사 이상으로 확대하는 것을 목표로 한다.</w:t>
      </w:r>
    </w:p>
    <w:p>
      <w:pPr>
        <w:spacing w:line="312" w:lineRule="auto" w:after="160"/>
      </w:pPr>
      <w:r>
        <w:rPr>
          <w:rFonts w:ascii="맑은 고딕" w:hAnsi="맑은 고딕" w:eastAsia="맑은 고딕"/>
          <w:b w:val="0"/>
          <w:sz w:val="22"/>
        </w:rPr>
        <w:t>경쟁 대응 전략으로는 5장에서 비교한 바와 같이 팀싱크 대비 열위에 있는 보안 인증 격차를 ISMS 조기 취득으로 해소하고, 콜라보허브 대비 우위에 있는 올인원 기능 완성도를 지속적으로 강화하여 중견기업 고객군에서의 입지를 공고히 할 계획이다.</w:t>
      </w:r>
    </w:p>
    <w:p>
      <w:pPr>
        <w:spacing w:line="312" w:lineRule="auto" w:after="160"/>
      </w:pPr>
      <w:r>
        <w:rPr>
          <w:rFonts w:ascii="맑은 고딕" w:hAnsi="맑은 고딕" w:eastAsia="맑은 고딕"/>
          <w:b w:val="0"/>
          <w:sz w:val="22"/>
        </w:rPr>
        <w:t>주요 리스크 요인으로는 일본 시장 현지화 지연 및 환율 변동, 국내 B2B SaaS 시장 경쟁 심화, AI 기능 개발 인력 확보 지연 가능성, ISMS 인증 일정 지연 가능성, 그리고 거시경제 변동에 따른 고객사 IT 예산 축소 가능성 등이 있다. 이 중 일본 시장 리스크가 가장 크게 평가되는데, 이는 이번 유치자금의 40%가 해당 프로젝트에 배분되기 때문이다.</w:t>
      </w:r>
    </w:p>
    <w:p>
      <w:pPr>
        <w:spacing w:line="312" w:lineRule="auto" w:after="160"/>
      </w:pPr>
      <w:r>
        <w:rPr>
          <w:rFonts w:ascii="맑은 고딕" w:hAnsi="맑은 고딕" w:eastAsia="맑은 고딕"/>
          <w:b w:val="0"/>
          <w:sz w:val="22"/>
        </w:rPr>
        <w:t>이에 대한 대응 방안으로는 법무팀·IT보안팀 협업을 통한 현지 규제 대응 체계 구축, ISMS 인증 취득을 통한 보안 신뢰도 제고, 개발본부 채용 확대(금번 유치자금 중 R&amp;D 배분분 활용), 일본 현지 파트너사와의 협력을 통한 초기 진입 리스크 분산, 그리고 필요시 외화 선물환 계약 등을 통한 환리스크 관리를 계획하고 있다. 아울러 재무회계팀은 분기별로 프로젝트별 예산 집행률과 매출 기여도를 점검하여 필요 시 자금 배분 계획을 조정할 방침이다.</w:t>
      </w:r>
    </w:p>
    <w:p>
      <w:pPr>
        <w:spacing w:line="312" w:lineRule="auto" w:after="160"/>
      </w:pPr>
      <w:r>
        <w:rPr>
          <w:rFonts w:ascii="맑은 고딕" w:hAnsi="맑은 고딕" w:eastAsia="맑은 고딕"/>
          <w:b w:val="0"/>
          <w:sz w:val="22"/>
        </w:rPr>
        <w:t>리스크 및 컴플라이언스 관리 전반에 대한 세부 현황(ISMS 인증 진행상황 포함)은 15장에서 별도로 다룬다.</w:t>
      </w:r>
    </w:p>
    <w:p>
      <w:pPr>
        <w:spacing w:line="312" w:lineRule="auto" w:after="160"/>
      </w:pPr>
      <w:r>
        <w:rPr>
          <w:rFonts w:ascii="맑은 고딕" w:hAnsi="맑은 고딕" w:eastAsia="맑은 고딕"/>
          <w:b w:val="0"/>
          <w:sz w:val="22"/>
        </w:rPr>
        <w:t>종합적으로, 최근 3개년간의 안정적인 매출 성장과 수익성 개선 추세, 견고한 고객 유지 지표(NRR 118%, 로고 리텐션 95%), 명확한 자금 사용 계획, 그리고 체계적으로 수립된 제품 로드맵과 조직 확충 계획을 바탕으로 판단할 때, 금번 Series B 투자유치를 통해 국내외 성장 동력을 안정적으로 확보할 수 있을 것으로 전망된다.</w:t>
      </w:r>
    </w:p>
    <w:p>
      <w:r>
        <w:rPr>
          <w:rFonts w:ascii="맑은 고딕" w:hAnsi="맑은 고딕" w:eastAsia="맑은 고딕"/>
          <w:b/>
          <w:color w:val="1F3864"/>
          <w:sz w:val="26"/>
        </w:rPr>
        <w:t>15. 리스크 및 컴플라이언스 (ISMS 인증 진행상황 포함)</w:t>
      </w:r>
    </w:p>
    <w:p>
      <w:pPr>
        <w:spacing w:line="312" w:lineRule="auto" w:after="160"/>
      </w:pPr>
      <w:r>
        <w:rPr>
          <w:rFonts w:ascii="맑은 고딕" w:hAnsi="맑은 고딕" w:eastAsia="맑은 고딕"/>
          <w:b w:val="0"/>
          <w:sz w:val="22"/>
        </w:rPr>
        <w:t>당사는 정보보호 관리체계 강화를 위해 IT보안팀(팀장 서준혁) 주도로 ISMS(정보보호 관리체계) 인증 취득 프로젝트(PRJ-2026-02)를 추진하고 있다. 이는 자체적인 보안 수준 제고 목적뿐 아니라, 4장 및 5장에서 언급한 바와 같이 금융·공공기관 등 보안 요건이 높은 고객군으로의 영업 확대를 위한 전제 조건이기도 하다.</w:t>
      </w:r>
    </w:p>
    <w:p>
      <w:pPr>
        <w:spacing w:line="312" w:lineRule="auto" w:after="160"/>
      </w:pPr>
      <w:r>
        <w:rPr>
          <w:rFonts w:ascii="맑은 고딕" w:hAnsi="맑은 고딕" w:eastAsia="맑은 고딕"/>
          <w:b w:val="0"/>
          <w:sz w:val="22"/>
        </w:rPr>
        <w:t>ISMS 인증은 정책 수립, 위험관리, 관리체계 운영, 인증심사 신청, 인증서 획득의 5단계로 진행되며, 2026년 8월 현재 1단계(정책 수립)는 완료되었고 2단계(위험관리) 및 3단계(관리체계 운영)는 각각 약 70%, 55% 수준으로 진행 중이다. 인증기관 심사 신청은 2026년 4분기, 인증서 획득은 2027년 1분기를 목표로 하고 있다.</w:t>
      </w:r>
    </w:p>
    <w:p>
      <w:pPr>
        <w:spacing w:line="312" w:lineRule="auto" w:after="160"/>
      </w:pPr>
      <w:r>
        <w:rPr>
          <w:rFonts w:ascii="맑은 고딕" w:hAnsi="맑은 고딕" w:eastAsia="맑은 고딕"/>
          <w:b w:val="0"/>
          <w:sz w:val="22"/>
        </w:rPr>
        <w:t>정보보호 관리체계 구축과 별도로, 개인정보보호 관리체계에 대한 자체 점검도 병행하고 있으며, 외부 전문업체를 통한 정기 모의해킹(연 2회)과 임직원 대상 정보보호 교육(분기 1회)을 운영하고 있다. 아울러 전 임직원 대상 접근권한은 최소권한 원칙에 따라 반기별로 재검토하고 있다.</w:t>
      </w:r>
    </w:p>
    <w:p>
      <w:pPr>
        <w:spacing w:line="312" w:lineRule="auto" w:after="160"/>
      </w:pPr>
      <w:r>
        <w:rPr>
          <w:rFonts w:ascii="맑은 고딕" w:hAnsi="맑은 고딕" w:eastAsia="맑은 고딕"/>
          <w:b w:val="0"/>
          <w:sz w:val="22"/>
        </w:rPr>
        <w:t>주요 컴플라이언스 리스크로는 ISMS 인증 일정 지연 가능성, 일본 진출에 따른 현지 개인정보·데이터 관련 규제 대응 필요성, 그리고 고객사와의 계약상 보안 조항(SLA, 데이터 처리방침 등) 이행 관리 부담 증가 등이 있다. 특히 인증 일정이 지연될 경우 금융·공공 고객군 영업 확대 계획(14장)에도 연쇄적인 영향이 있을 수 있어, 이사회는 분기별로 진행상황을 보고받고 있다.</w:t>
      </w:r>
    </w:p>
    <w:p>
      <w:pPr>
        <w:spacing w:line="312" w:lineRule="auto" w:after="160"/>
      </w:pPr>
      <w:r>
        <w:rPr>
          <w:rFonts w:ascii="맑은 고딕" w:hAnsi="맑은 고딕" w:eastAsia="맑은 고딕"/>
          <w:b w:val="0"/>
          <w:sz w:val="22"/>
        </w:rPr>
        <w:t>법무팀(팀장 한지원)은 국내 개인정보보호법 및 관련 고시 준수 여부를 정기적으로 점검하고 있으며, 일본 진출과 관련해서는 현지 데이터 관련 규제에 대한 법률 자문을 별도로 진행할 예정이다. IT보안팀과 법무팀은 분기 1회 합동 컴플라이언스 점검 회의를 운영하고 있다.</w:t>
      </w:r>
    </w:p>
    <w:p>
      <w:pPr>
        <w:spacing w:line="312" w:lineRule="auto" w:after="160"/>
      </w:pPr>
      <w:r>
        <w:rPr>
          <w:rFonts w:ascii="맑은 고딕" w:hAnsi="맑은 고딕" w:eastAsia="맑은 고딕"/>
          <w:b w:val="0"/>
          <w:sz w:val="22"/>
        </w:rPr>
        <w:t>아래 표는 ISMS 인증 취득 프로젝트의 단계별 진행상황과 목표 시기를 정리한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단계</w:t>
            </w:r>
          </w:p>
        </w:tc>
        <w:tc>
          <w:tcPr>
            <w:tcW w:type="dxa" w:w="2160"/>
            <w:shd w:val="clear" w:color="auto" w:fill="1F3864"/>
          </w:tcPr>
          <w:p>
            <w:pPr>
              <w:jc w:val="center"/>
            </w:pPr>
            <w:r>
              <w:rPr>
                <w:rFonts w:ascii="맑은 고딕" w:hAnsi="맑은 고딕" w:eastAsia="맑은 고딕"/>
                <w:b/>
                <w:color w:val="FFFFFF"/>
                <w:sz w:val="20"/>
              </w:rPr>
              <w:t>세부 내용</w:t>
            </w:r>
          </w:p>
        </w:tc>
        <w:tc>
          <w:tcPr>
            <w:tcW w:type="dxa" w:w="2160"/>
            <w:shd w:val="clear" w:color="auto" w:fill="1F3864"/>
          </w:tcPr>
          <w:p>
            <w:pPr>
              <w:jc w:val="center"/>
            </w:pPr>
            <w:r>
              <w:rPr>
                <w:rFonts w:ascii="맑은 고딕" w:hAnsi="맑은 고딕" w:eastAsia="맑은 고딕"/>
                <w:b/>
                <w:color w:val="FFFFFF"/>
                <w:sz w:val="20"/>
              </w:rPr>
              <w:t>진행상황</w:t>
            </w:r>
          </w:p>
        </w:tc>
        <w:tc>
          <w:tcPr>
            <w:tcW w:type="dxa" w:w="2160"/>
            <w:shd w:val="clear" w:color="auto" w:fill="1F3864"/>
          </w:tcPr>
          <w:p>
            <w:pPr>
              <w:jc w:val="center"/>
            </w:pPr>
            <w:r>
              <w:rPr>
                <w:rFonts w:ascii="맑은 고딕" w:hAnsi="맑은 고딕" w:eastAsia="맑은 고딕"/>
                <w:b/>
                <w:color w:val="FFFFFF"/>
                <w:sz w:val="20"/>
              </w:rPr>
              <w:t>목표 시기</w:t>
            </w:r>
          </w:p>
        </w:tc>
      </w:tr>
      <w:tr>
        <w:tc>
          <w:tcPr>
            <w:tcW w:type="dxa" w:w="2160"/>
          </w:tcPr>
          <w:p>
            <w:r>
              <w:rPr>
                <w:rFonts w:ascii="맑은 고딕" w:hAnsi="맑은 고딕" w:eastAsia="맑은 고딕"/>
                <w:b w:val="0"/>
                <w:sz w:val="20"/>
              </w:rPr>
              <w:t>1단계: 정책 수립</w:t>
            </w:r>
          </w:p>
        </w:tc>
        <w:tc>
          <w:tcPr>
            <w:tcW w:type="dxa" w:w="2160"/>
          </w:tcPr>
          <w:p>
            <w:r>
              <w:rPr>
                <w:rFonts w:ascii="맑은 고딕" w:hAnsi="맑은 고딕" w:eastAsia="맑은 고딕"/>
                <w:b w:val="0"/>
                <w:sz w:val="20"/>
              </w:rPr>
              <w:t>정보보호 정책·지침 제·개정</w:t>
            </w:r>
          </w:p>
        </w:tc>
        <w:tc>
          <w:tcPr>
            <w:tcW w:type="dxa" w:w="2160"/>
          </w:tcPr>
          <w:p>
            <w:r>
              <w:rPr>
                <w:rFonts w:ascii="맑은 고딕" w:hAnsi="맑은 고딕" w:eastAsia="맑은 고딕"/>
                <w:b w:val="0"/>
                <w:sz w:val="20"/>
              </w:rPr>
              <w:t>완료</w:t>
            </w:r>
          </w:p>
        </w:tc>
        <w:tc>
          <w:tcPr>
            <w:tcW w:type="dxa" w:w="2160"/>
          </w:tcPr>
          <w:p>
            <w:r>
              <w:rPr>
                <w:rFonts w:ascii="맑은 고딕" w:hAnsi="맑은 고딕" w:eastAsia="맑은 고딕"/>
                <w:b w:val="0"/>
                <w:sz w:val="20"/>
              </w:rPr>
              <w:t>2026년 2분기</w:t>
            </w:r>
          </w:p>
        </w:tc>
      </w:tr>
      <w:tr>
        <w:tc>
          <w:tcPr>
            <w:tcW w:type="dxa" w:w="2160"/>
            <w:shd w:val="clear" w:color="auto" w:fill="F2F2F2"/>
          </w:tcPr>
          <w:p>
            <w:r>
              <w:rPr>
                <w:rFonts w:ascii="맑은 고딕" w:hAnsi="맑은 고딕" w:eastAsia="맑은 고딕"/>
                <w:b w:val="0"/>
                <w:sz w:val="20"/>
              </w:rPr>
              <w:t>2단계: 위험관리</w:t>
            </w:r>
          </w:p>
        </w:tc>
        <w:tc>
          <w:tcPr>
            <w:tcW w:type="dxa" w:w="2160"/>
            <w:shd w:val="clear" w:color="auto" w:fill="F2F2F2"/>
          </w:tcPr>
          <w:p>
            <w:r>
              <w:rPr>
                <w:rFonts w:ascii="맑은 고딕" w:hAnsi="맑은 고딕" w:eastAsia="맑은 고딕"/>
                <w:b w:val="0"/>
                <w:sz w:val="20"/>
              </w:rPr>
              <w:t>자산식별 및 위험평가, 취약점 점검</w:t>
            </w:r>
          </w:p>
        </w:tc>
        <w:tc>
          <w:tcPr>
            <w:tcW w:type="dxa" w:w="2160"/>
            <w:shd w:val="clear" w:color="auto" w:fill="F2F2F2"/>
          </w:tcPr>
          <w:p>
            <w:r>
              <w:rPr>
                <w:rFonts w:ascii="맑은 고딕" w:hAnsi="맑은 고딕" w:eastAsia="맑은 고딕"/>
                <w:b w:val="0"/>
                <w:sz w:val="20"/>
              </w:rPr>
              <w:t>진행중(약 70%)</w:t>
            </w:r>
          </w:p>
        </w:tc>
        <w:tc>
          <w:tcPr>
            <w:tcW w:type="dxa" w:w="2160"/>
            <w:shd w:val="clear" w:color="auto" w:fill="F2F2F2"/>
          </w:tcPr>
          <w:p>
            <w:r>
              <w:rPr>
                <w:rFonts w:ascii="맑은 고딕" w:hAnsi="맑은 고딕" w:eastAsia="맑은 고딕"/>
                <w:b w:val="0"/>
                <w:sz w:val="20"/>
              </w:rPr>
              <w:t>2026년 3분기</w:t>
            </w:r>
          </w:p>
        </w:tc>
      </w:tr>
      <w:tr>
        <w:tc>
          <w:tcPr>
            <w:tcW w:type="dxa" w:w="2160"/>
          </w:tcPr>
          <w:p>
            <w:r>
              <w:rPr>
                <w:rFonts w:ascii="맑은 고딕" w:hAnsi="맑은 고딕" w:eastAsia="맑은 고딕"/>
                <w:b w:val="0"/>
                <w:sz w:val="20"/>
              </w:rPr>
              <w:t>3단계: 관리체계 운영</w:t>
            </w:r>
          </w:p>
        </w:tc>
        <w:tc>
          <w:tcPr>
            <w:tcW w:type="dxa" w:w="2160"/>
          </w:tcPr>
          <w:p>
            <w:r>
              <w:rPr>
                <w:rFonts w:ascii="맑은 고딕" w:hAnsi="맑은 고딕" w:eastAsia="맑은 고딕"/>
                <w:b w:val="0"/>
                <w:sz w:val="20"/>
              </w:rPr>
              <w:t>접근통제, 물리보안, 침해대응 체계 구축</w:t>
            </w:r>
          </w:p>
        </w:tc>
        <w:tc>
          <w:tcPr>
            <w:tcW w:type="dxa" w:w="2160"/>
          </w:tcPr>
          <w:p>
            <w:r>
              <w:rPr>
                <w:rFonts w:ascii="맑은 고딕" w:hAnsi="맑은 고딕" w:eastAsia="맑은 고딕"/>
                <w:b w:val="0"/>
                <w:sz w:val="20"/>
              </w:rPr>
              <w:t>진행중(약 55%)</w:t>
            </w:r>
          </w:p>
        </w:tc>
        <w:tc>
          <w:tcPr>
            <w:tcW w:type="dxa" w:w="2160"/>
          </w:tcPr>
          <w:p>
            <w:r>
              <w:rPr>
                <w:rFonts w:ascii="맑은 고딕" w:hAnsi="맑은 고딕" w:eastAsia="맑은 고딕"/>
                <w:b w:val="0"/>
                <w:sz w:val="20"/>
              </w:rPr>
              <w:t>2026년 3분기</w:t>
            </w:r>
          </w:p>
        </w:tc>
      </w:tr>
      <w:tr>
        <w:tc>
          <w:tcPr>
            <w:tcW w:type="dxa" w:w="2160"/>
            <w:shd w:val="clear" w:color="auto" w:fill="F2F2F2"/>
          </w:tcPr>
          <w:p>
            <w:r>
              <w:rPr>
                <w:rFonts w:ascii="맑은 고딕" w:hAnsi="맑은 고딕" w:eastAsia="맑은 고딕"/>
                <w:b w:val="0"/>
                <w:sz w:val="20"/>
              </w:rPr>
              <w:t>4단계: 인증심사 신청</w:t>
            </w:r>
          </w:p>
        </w:tc>
        <w:tc>
          <w:tcPr>
            <w:tcW w:type="dxa" w:w="2160"/>
            <w:shd w:val="clear" w:color="auto" w:fill="F2F2F2"/>
          </w:tcPr>
          <w:p>
            <w:r>
              <w:rPr>
                <w:rFonts w:ascii="맑은 고딕" w:hAnsi="맑은 고딕" w:eastAsia="맑은 고딕"/>
                <w:b w:val="0"/>
                <w:sz w:val="20"/>
              </w:rPr>
              <w:t>인증기관 심사 신청 및 현장심사 대응</w:t>
            </w:r>
          </w:p>
        </w:tc>
        <w:tc>
          <w:tcPr>
            <w:tcW w:type="dxa" w:w="2160"/>
            <w:shd w:val="clear" w:color="auto" w:fill="F2F2F2"/>
          </w:tcPr>
          <w:p>
            <w:r>
              <w:rPr>
                <w:rFonts w:ascii="맑은 고딕" w:hAnsi="맑은 고딕" w:eastAsia="맑은 고딕"/>
                <w:b w:val="0"/>
                <w:sz w:val="20"/>
              </w:rPr>
              <w:t>예정</w:t>
            </w:r>
          </w:p>
        </w:tc>
        <w:tc>
          <w:tcPr>
            <w:tcW w:type="dxa" w:w="2160"/>
            <w:shd w:val="clear" w:color="auto" w:fill="F2F2F2"/>
          </w:tcPr>
          <w:p>
            <w:r>
              <w:rPr>
                <w:rFonts w:ascii="맑은 고딕" w:hAnsi="맑은 고딕" w:eastAsia="맑은 고딕"/>
                <w:b w:val="0"/>
                <w:sz w:val="20"/>
              </w:rPr>
              <w:t>2026년 4분기</w:t>
            </w:r>
          </w:p>
        </w:tc>
      </w:tr>
      <w:tr>
        <w:tc>
          <w:tcPr>
            <w:tcW w:type="dxa" w:w="2160"/>
          </w:tcPr>
          <w:p>
            <w:r>
              <w:rPr>
                <w:rFonts w:ascii="맑은 고딕" w:hAnsi="맑은 고딕" w:eastAsia="맑은 고딕"/>
                <w:b w:val="0"/>
                <w:sz w:val="20"/>
              </w:rPr>
              <w:t>5단계: 인증서 획득</w:t>
            </w:r>
          </w:p>
        </w:tc>
        <w:tc>
          <w:tcPr>
            <w:tcW w:type="dxa" w:w="2160"/>
          </w:tcPr>
          <w:p>
            <w:r>
              <w:rPr>
                <w:rFonts w:ascii="맑은 고딕" w:hAnsi="맑은 고딕" w:eastAsia="맑은 고딕"/>
                <w:b w:val="0"/>
                <w:sz w:val="20"/>
              </w:rPr>
              <w:t>ISMS 인증서 발급</w:t>
            </w:r>
          </w:p>
        </w:tc>
        <w:tc>
          <w:tcPr>
            <w:tcW w:type="dxa" w:w="2160"/>
          </w:tcPr>
          <w:p>
            <w:r>
              <w:rPr>
                <w:rFonts w:ascii="맑은 고딕" w:hAnsi="맑은 고딕" w:eastAsia="맑은 고딕"/>
                <w:b w:val="0"/>
                <w:sz w:val="20"/>
              </w:rPr>
              <w:t>예정</w:t>
            </w:r>
          </w:p>
        </w:tc>
        <w:tc>
          <w:tcPr>
            <w:tcW w:type="dxa" w:w="2160"/>
          </w:tcPr>
          <w:p>
            <w:r>
              <w:rPr>
                <w:rFonts w:ascii="맑은 고딕" w:hAnsi="맑은 고딕" w:eastAsia="맑은 고딕"/>
                <w:b w:val="0"/>
                <w:sz w:val="20"/>
              </w:rPr>
              <w:t>2027년 1분기</w:t>
            </w:r>
          </w:p>
        </w:tc>
      </w:tr>
    </w:tbl>
    <w:p/>
    <w:p>
      <w:r>
        <w:rPr>
          <w:rFonts w:ascii="맑은 고딕" w:hAnsi="맑은 고딕" w:eastAsia="맑은 고딕"/>
          <w:b/>
          <w:color w:val="1F3864"/>
          <w:sz w:val="26"/>
        </w:rPr>
        <w:t>16. 부록: 재무제표 요약(재무상태표)</w:t>
      </w:r>
    </w:p>
    <w:p>
      <w:pPr>
        <w:spacing w:line="312" w:lineRule="auto" w:after="160"/>
      </w:pPr>
      <w:r>
        <w:rPr>
          <w:rFonts w:ascii="맑은 고딕" w:hAnsi="맑은 고딕" w:eastAsia="맑은 고딕"/>
          <w:b w:val="0"/>
          <w:sz w:val="22"/>
        </w:rPr>
        <w:t>본 부록은 7장에서 제시한 손익 지표(매출액, 영업이익, 순이익 등)를 보완하기 위해 재무상태표(대차대조표) 핵심 항목을 간략히 요약한 것이다. 상세 재무제표 및 외부감사보고서는 NDA 체결 이후 실사 자료로 별도 제공되며, 아래 수치는 내부 관리회계 기준의 잠정치로 결산 확정 과정에서 일부 조정될 수 있다.</w:t>
      </w:r>
    </w:p>
    <w:p>
      <w:pPr>
        <w:spacing w:line="312" w:lineRule="auto" w:after="160"/>
      </w:pPr>
      <w:r>
        <w:rPr>
          <w:rFonts w:ascii="맑은 고딕" w:hAnsi="맑은 고딕" w:eastAsia="맑은 고딕"/>
          <w:b w:val="0"/>
          <w:sz w:val="22"/>
        </w:rPr>
        <w:t>2026년 6월말 기준 자산총계는 약 68.2억원으로 2025년말(61.5억원) 대비 증가하였으며, 이 중 유동자산이 52.5억원으로 대부분을 차지한다. 유동자산은 주로 현금성자산과 매출채권으로 구성되어 있으며, 7장에서 언급한 바와 같이 2026년 6월말 현금성자산은 약 22억원 수준이다.</w:t>
      </w:r>
    </w:p>
    <w:p>
      <w:pPr>
        <w:spacing w:line="312" w:lineRule="auto" w:after="160"/>
      </w:pPr>
      <w:r>
        <w:rPr>
          <w:rFonts w:ascii="맑은 고딕" w:hAnsi="맑은 고딕" w:eastAsia="맑은 고딕"/>
          <w:b w:val="0"/>
          <w:sz w:val="22"/>
        </w:rPr>
        <w:t>부채총계는 2025년말 24.0억원에서 2026년 6월말 25.8억원으로 소폭 증가하였으며, 이 중 유동부채가 19.2억원으로 대부분을 차지한다. 부채는 주로 매입채무 및 선수수익(선수 구독료)으로 구성되어 있어, SaaS 기업 특성상 통상적인 수준으로 파악된다.</w:t>
      </w:r>
    </w:p>
    <w:p>
      <w:pPr>
        <w:spacing w:line="312" w:lineRule="auto" w:after="160"/>
      </w:pPr>
      <w:r>
        <w:rPr>
          <w:rFonts w:ascii="맑은 고딕" w:hAnsi="맑은 고딕" w:eastAsia="맑은 고딕"/>
          <w:b w:val="0"/>
          <w:sz w:val="22"/>
        </w:rPr>
        <w:t>자본총계는 2025년말 37.5억원에서 2026년 6월말 42.4억원으로 증가하였으며, 이는 당기순이익 누적에 기인한다. 부채비율(부채총계/자본총계)은 2025년말 64.0%에서 2026년 6월말 60.8%로 개선되어 재무 건전성이 유지되고 있는 것으로 평가된다.</w:t>
      </w:r>
    </w:p>
    <w:p>
      <w:pPr>
        <w:spacing w:line="312" w:lineRule="auto" w:after="160"/>
      </w:pPr>
      <w:r>
        <w:rPr>
          <w:rFonts w:ascii="맑은 고딕" w:hAnsi="맑은 고딕" w:eastAsia="맑은 고딕"/>
          <w:b w:val="0"/>
          <w:sz w:val="22"/>
        </w:rPr>
        <w:t>아래 표는 재무상태표 핵심 항목을 2025년말 및 2026년 6월말 기준으로 비교한 것이다. 재무회계팀(팀장 최영재)은 결산 확정 이후 상세 재무제표를 투자자에게 별도 제공할 예정이다.</w:t>
      </w:r>
    </w:p>
    <w:p>
      <w:pPr>
        <w:spacing w:line="312" w:lineRule="auto" w:after="160"/>
      </w:pPr>
      <w:r>
        <w:rPr>
          <w:rFonts w:ascii="맑은 고딕" w:hAnsi="맑은 고딕" w:eastAsia="맑은 고딕"/>
          <w:b w:val="0"/>
          <w:sz w:val="22"/>
        </w:rPr>
        <w:t>본 문서는 대외비로 분류되며, 배포 대상(경영진 및 이사회) 외 사외 반출 및 제3자 공유를 금한다.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2025년말(억원)</w:t>
            </w:r>
          </w:p>
        </w:tc>
        <w:tc>
          <w:tcPr>
            <w:tcW w:type="dxa" w:w="2880"/>
            <w:shd w:val="clear" w:color="auto" w:fill="1F3864"/>
          </w:tcPr>
          <w:p>
            <w:pPr>
              <w:jc w:val="center"/>
            </w:pPr>
            <w:r>
              <w:rPr>
                <w:rFonts w:ascii="맑은 고딕" w:hAnsi="맑은 고딕" w:eastAsia="맑은 고딕"/>
                <w:b/>
                <w:color w:val="FFFFFF"/>
                <w:sz w:val="20"/>
              </w:rPr>
              <w:t>2026년 6월말(억원)</w:t>
            </w:r>
          </w:p>
        </w:tc>
      </w:tr>
      <w:tr>
        <w:tc>
          <w:tcPr>
            <w:tcW w:type="dxa" w:w="2880"/>
          </w:tcPr>
          <w:p>
            <w:r>
              <w:rPr>
                <w:rFonts w:ascii="맑은 고딕" w:hAnsi="맑은 고딕" w:eastAsia="맑은 고딕"/>
                <w:b w:val="0"/>
                <w:sz w:val="20"/>
              </w:rPr>
              <w:t>자산총계</w:t>
            </w:r>
          </w:p>
        </w:tc>
        <w:tc>
          <w:tcPr>
            <w:tcW w:type="dxa" w:w="2880"/>
          </w:tcPr>
          <w:p>
            <w:r>
              <w:rPr>
                <w:rFonts w:ascii="맑은 고딕" w:hAnsi="맑은 고딕" w:eastAsia="맑은 고딕"/>
                <w:b w:val="0"/>
                <w:sz w:val="20"/>
              </w:rPr>
              <w:t>61.5</w:t>
            </w:r>
          </w:p>
        </w:tc>
        <w:tc>
          <w:tcPr>
            <w:tcW w:type="dxa" w:w="2880"/>
          </w:tcPr>
          <w:p>
            <w:r>
              <w:rPr>
                <w:rFonts w:ascii="맑은 고딕" w:hAnsi="맑은 고딕" w:eastAsia="맑은 고딕"/>
                <w:b w:val="0"/>
                <w:sz w:val="20"/>
              </w:rPr>
              <w:t>68.2</w:t>
            </w:r>
          </w:p>
        </w:tc>
      </w:tr>
      <w:tr>
        <w:tc>
          <w:tcPr>
            <w:tcW w:type="dxa" w:w="2880"/>
            <w:shd w:val="clear" w:color="auto" w:fill="F2F2F2"/>
          </w:tcPr>
          <w:p>
            <w:r>
              <w:rPr>
                <w:rFonts w:ascii="맑은 고딕" w:hAnsi="맑은 고딕" w:eastAsia="맑은 고딕"/>
                <w:b w:val="0"/>
                <w:sz w:val="20"/>
              </w:rPr>
              <w:t xml:space="preserve">  유동자산</w:t>
            </w:r>
          </w:p>
        </w:tc>
        <w:tc>
          <w:tcPr>
            <w:tcW w:type="dxa" w:w="2880"/>
            <w:shd w:val="clear" w:color="auto" w:fill="F2F2F2"/>
          </w:tcPr>
          <w:p>
            <w:r>
              <w:rPr>
                <w:rFonts w:ascii="맑은 고딕" w:hAnsi="맑은 고딕" w:eastAsia="맑은 고딕"/>
                <w:b w:val="0"/>
                <w:sz w:val="20"/>
              </w:rPr>
              <w:t>48.0</w:t>
            </w:r>
          </w:p>
        </w:tc>
        <w:tc>
          <w:tcPr>
            <w:tcW w:type="dxa" w:w="2880"/>
            <w:shd w:val="clear" w:color="auto" w:fill="F2F2F2"/>
          </w:tcPr>
          <w:p>
            <w:r>
              <w:rPr>
                <w:rFonts w:ascii="맑은 고딕" w:hAnsi="맑은 고딕" w:eastAsia="맑은 고딕"/>
                <w:b w:val="0"/>
                <w:sz w:val="20"/>
              </w:rPr>
              <w:t>52.5</w:t>
            </w:r>
          </w:p>
        </w:tc>
      </w:tr>
      <w:tr>
        <w:tc>
          <w:tcPr>
            <w:tcW w:type="dxa" w:w="2880"/>
          </w:tcPr>
          <w:p>
            <w:r>
              <w:rPr>
                <w:rFonts w:ascii="맑은 고딕" w:hAnsi="맑은 고딕" w:eastAsia="맑은 고딕"/>
                <w:b w:val="0"/>
                <w:sz w:val="20"/>
              </w:rPr>
              <w:t xml:space="preserve">  비유동자산</w:t>
            </w:r>
          </w:p>
        </w:tc>
        <w:tc>
          <w:tcPr>
            <w:tcW w:type="dxa" w:w="2880"/>
          </w:tcPr>
          <w:p>
            <w:r>
              <w:rPr>
                <w:rFonts w:ascii="맑은 고딕" w:hAnsi="맑은 고딕" w:eastAsia="맑은 고딕"/>
                <w:b w:val="0"/>
                <w:sz w:val="20"/>
              </w:rPr>
              <w:t>13.5</w:t>
            </w:r>
          </w:p>
        </w:tc>
        <w:tc>
          <w:tcPr>
            <w:tcW w:type="dxa" w:w="2880"/>
          </w:tcPr>
          <w:p>
            <w:r>
              <w:rPr>
                <w:rFonts w:ascii="맑은 고딕" w:hAnsi="맑은 고딕" w:eastAsia="맑은 고딕"/>
                <w:b w:val="0"/>
                <w:sz w:val="20"/>
              </w:rPr>
              <w:t>15.7</w:t>
            </w:r>
          </w:p>
        </w:tc>
      </w:tr>
      <w:tr>
        <w:tc>
          <w:tcPr>
            <w:tcW w:type="dxa" w:w="2880"/>
            <w:shd w:val="clear" w:color="auto" w:fill="F2F2F2"/>
          </w:tcPr>
          <w:p>
            <w:r>
              <w:rPr>
                <w:rFonts w:ascii="맑은 고딕" w:hAnsi="맑은 고딕" w:eastAsia="맑은 고딕"/>
                <w:b w:val="0"/>
                <w:sz w:val="20"/>
              </w:rPr>
              <w:t>부채총계</w:t>
            </w:r>
          </w:p>
        </w:tc>
        <w:tc>
          <w:tcPr>
            <w:tcW w:type="dxa" w:w="2880"/>
            <w:shd w:val="clear" w:color="auto" w:fill="F2F2F2"/>
          </w:tcPr>
          <w:p>
            <w:r>
              <w:rPr>
                <w:rFonts w:ascii="맑은 고딕" w:hAnsi="맑은 고딕" w:eastAsia="맑은 고딕"/>
                <w:b w:val="0"/>
                <w:sz w:val="20"/>
              </w:rPr>
              <w:t>24.0</w:t>
            </w:r>
          </w:p>
        </w:tc>
        <w:tc>
          <w:tcPr>
            <w:tcW w:type="dxa" w:w="2880"/>
            <w:shd w:val="clear" w:color="auto" w:fill="F2F2F2"/>
          </w:tcPr>
          <w:p>
            <w:r>
              <w:rPr>
                <w:rFonts w:ascii="맑은 고딕" w:hAnsi="맑은 고딕" w:eastAsia="맑은 고딕"/>
                <w:b w:val="0"/>
                <w:sz w:val="20"/>
              </w:rPr>
              <w:t>25.8</w:t>
            </w:r>
          </w:p>
        </w:tc>
      </w:tr>
      <w:tr>
        <w:tc>
          <w:tcPr>
            <w:tcW w:type="dxa" w:w="2880"/>
          </w:tcPr>
          <w:p>
            <w:r>
              <w:rPr>
                <w:rFonts w:ascii="맑은 고딕" w:hAnsi="맑은 고딕" w:eastAsia="맑은 고딕"/>
                <w:b w:val="0"/>
                <w:sz w:val="20"/>
              </w:rPr>
              <w:t xml:space="preserve">  유동부채</w:t>
            </w:r>
          </w:p>
        </w:tc>
        <w:tc>
          <w:tcPr>
            <w:tcW w:type="dxa" w:w="2880"/>
          </w:tcPr>
          <w:p>
            <w:r>
              <w:rPr>
                <w:rFonts w:ascii="맑은 고딕" w:hAnsi="맑은 고딕" w:eastAsia="맑은 고딕"/>
                <w:b w:val="0"/>
                <w:sz w:val="20"/>
              </w:rPr>
              <w:t>18.0</w:t>
            </w:r>
          </w:p>
        </w:tc>
        <w:tc>
          <w:tcPr>
            <w:tcW w:type="dxa" w:w="2880"/>
          </w:tcPr>
          <w:p>
            <w:r>
              <w:rPr>
                <w:rFonts w:ascii="맑은 고딕" w:hAnsi="맑은 고딕" w:eastAsia="맑은 고딕"/>
                <w:b w:val="0"/>
                <w:sz w:val="20"/>
              </w:rPr>
              <w:t>19.2</w:t>
            </w:r>
          </w:p>
        </w:tc>
      </w:tr>
      <w:tr>
        <w:tc>
          <w:tcPr>
            <w:tcW w:type="dxa" w:w="2880"/>
            <w:shd w:val="clear" w:color="auto" w:fill="F2F2F2"/>
          </w:tcPr>
          <w:p>
            <w:r>
              <w:rPr>
                <w:rFonts w:ascii="맑은 고딕" w:hAnsi="맑은 고딕" w:eastAsia="맑은 고딕"/>
                <w:b w:val="0"/>
                <w:sz w:val="20"/>
              </w:rPr>
              <w:t xml:space="preserve">  비유동부채</w:t>
            </w:r>
          </w:p>
        </w:tc>
        <w:tc>
          <w:tcPr>
            <w:tcW w:type="dxa" w:w="2880"/>
            <w:shd w:val="clear" w:color="auto" w:fill="F2F2F2"/>
          </w:tcPr>
          <w:p>
            <w:r>
              <w:rPr>
                <w:rFonts w:ascii="맑은 고딕" w:hAnsi="맑은 고딕" w:eastAsia="맑은 고딕"/>
                <w:b w:val="0"/>
                <w:sz w:val="20"/>
              </w:rPr>
              <w:t>6.0</w:t>
            </w:r>
          </w:p>
        </w:tc>
        <w:tc>
          <w:tcPr>
            <w:tcW w:type="dxa" w:w="2880"/>
            <w:shd w:val="clear" w:color="auto" w:fill="F2F2F2"/>
          </w:tcPr>
          <w:p>
            <w:r>
              <w:rPr>
                <w:rFonts w:ascii="맑은 고딕" w:hAnsi="맑은 고딕" w:eastAsia="맑은 고딕"/>
                <w:b w:val="0"/>
                <w:sz w:val="20"/>
              </w:rPr>
              <w:t>6.6</w:t>
            </w:r>
          </w:p>
        </w:tc>
      </w:tr>
      <w:tr>
        <w:tc>
          <w:tcPr>
            <w:tcW w:type="dxa" w:w="2880"/>
          </w:tcPr>
          <w:p>
            <w:r>
              <w:rPr>
                <w:rFonts w:ascii="맑은 고딕" w:hAnsi="맑은 고딕" w:eastAsia="맑은 고딕"/>
                <w:b w:val="0"/>
                <w:sz w:val="20"/>
              </w:rPr>
              <w:t>자본총계</w:t>
            </w:r>
          </w:p>
        </w:tc>
        <w:tc>
          <w:tcPr>
            <w:tcW w:type="dxa" w:w="2880"/>
          </w:tcPr>
          <w:p>
            <w:r>
              <w:rPr>
                <w:rFonts w:ascii="맑은 고딕" w:hAnsi="맑은 고딕" w:eastAsia="맑은 고딕"/>
                <w:b w:val="0"/>
                <w:sz w:val="20"/>
              </w:rPr>
              <w:t>37.5</w:t>
            </w:r>
          </w:p>
        </w:tc>
        <w:tc>
          <w:tcPr>
            <w:tcW w:type="dxa" w:w="2880"/>
          </w:tcPr>
          <w:p>
            <w:r>
              <w:rPr>
                <w:rFonts w:ascii="맑은 고딕" w:hAnsi="맑은 고딕" w:eastAsia="맑은 고딕"/>
                <w:b w:val="0"/>
                <w:sz w:val="20"/>
              </w:rPr>
              <w:t>42.4</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재무회계팀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