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작성</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이서연</w:t>
            </w:r>
          </w:p>
        </w:tc>
        <w:tc>
          <w:tcPr>
            <w:tcW w:type="dxa" w:w="1200"/>
          </w:tcPr>
          <w:p>
            <w:pPr>
              <w:jc w:val="center"/>
            </w:pPr>
            <w:r>
              <w:rPr>
                <w:rFonts w:ascii="맑은 고딕" w:hAnsi="맑은 고딕" w:eastAsia="맑은 고딕"/>
                <w:b w:val="0"/>
                <w:sz w:val="18"/>
              </w:rPr>
              <w:t>강민석</w:t>
            </w:r>
          </w:p>
        </w:tc>
        <w:tc>
          <w:tcPr>
            <w:tcW w:type="dxa" w:w="1200"/>
          </w:tcPr>
          <w:p>
            <w:pPr>
              <w:jc w:val="center"/>
            </w:pPr>
            <w:r>
              <w:rPr>
                <w:rFonts w:ascii="맑은 고딕" w:hAnsi="맑은 고딕" w:eastAsia="맑은 고딕"/>
                <w:b w:val="0"/>
                <w:sz w:val="18"/>
              </w:rPr>
              <w:t>강민석</w:t>
            </w:r>
          </w:p>
        </w:tc>
      </w:tr>
    </w:tbl>
    <w:p/>
    <w:p>
      <w:pPr>
        <w:pBdr>
          <w:bottom w:val="single" w:sz="18" w:space="4" w:color="1F3864"/>
        </w:pBdr>
      </w:pPr>
      <w:r>
        <w:rPr>
          <w:rFonts w:ascii="맑은 고딕" w:hAnsi="맑은 고딕" w:eastAsia="맑은 고딕"/>
          <w:b/>
          <w:color w:val="1F3864"/>
          <w:sz w:val="36"/>
        </w:rPr>
        <w:t>AI 요약 기능 기술 기획서 (PRJ-2026-05) v2 확장판</w:t>
      </w:r>
    </w:p>
    <w:p>
      <w:r>
        <w:rPr>
          <w:rFonts w:ascii="맑은 고딕" w:hAnsi="맑은 고딕" w:eastAsia="맑은 고딕"/>
          <w:b w:val="0"/>
          <w:color w:val="595959"/>
          <w:sz w:val="18"/>
        </w:rPr>
        <w:t>문서번호: NW-DEV-2026-011    작성일: 2026-08-10    작성자: AI팀장 이서연    배포범위: 개발본부 한정</w:t>
      </w:r>
    </w:p>
    <w:p/>
    <w:p>
      <w:r>
        <w:rPr>
          <w:rFonts w:ascii="맑은 고딕" w:hAnsi="맑은 고딕" w:eastAsia="맑은 고딕"/>
          <w:b/>
          <w:color w:val="1F3864"/>
          <w:sz w:val="26"/>
        </w:rPr>
        <w:t>1. 배경 및 목표</w:t>
      </w:r>
    </w:p>
    <w:p>
      <w:pPr>
        <w:spacing w:line="312" w:lineRule="auto" w:after="160"/>
      </w:pPr>
      <w:r>
        <w:rPr>
          <w:rFonts w:ascii="맑은 고딕" w:hAnsi="맑은 고딕" w:eastAsia="맑은 고딕"/>
          <w:b w:val="0"/>
          <w:sz w:val="22"/>
        </w:rPr>
        <w:t>네오보드를 이용하는 고객사 조직 수가 320개, MAU 4.1만 명 규모로 확대되면서 하나의 보드에 누적되는 카드, 댓글, 첨부 회의노트의 양도 함께 증가하고 있다. 2026년 2분기 고객 인터뷰(28개사) 결과 '보드 내용이 많아 신규 참여자가 맥락을 파악하는 데 시간이 오래 걸린다'는 응답이 61%로 가장 높은 불편 사항으로 확인되었으며, 경쟁 협업 툴(노션 AI, 콘플루언스 인텔리전스 등)이 이미 문서/보드 자동 요약 기능을 상용화한 상태여서 기능 격차가 영업 실패 사유로 3건 보고된 바 있다.</w:t>
      </w:r>
    </w:p>
    <w:p>
      <w:pPr>
        <w:spacing w:line="312" w:lineRule="auto" w:after="160"/>
      </w:pPr>
      <w:r>
        <w:rPr>
          <w:rFonts w:ascii="맑은 고딕" w:hAnsi="맑은 고딕" w:eastAsia="맑은 고딕"/>
          <w:b w:val="0"/>
          <w:sz w:val="22"/>
        </w:rPr>
        <w:t>이에 개발본부는 2026년 8월 PRJ-2026-05 「AI 요약 기능」을 착수하였다. 본 프로젝트는 보드/카드 콘텐츠와 회의노트를 사용자가 요청하는 즉시 핵심 내용, 결정사항, 액션아이템 3단으로 요약하여 제공하는 것을 목표로 하며, AI팀이 개발을 전담하고 백엔드팀이 Board Service와의 연동을, 프론트팀이 요약 결과 UI를 담당한다. 아울러 별도 진행 중인 PRJ-2026-07(일본 진출 프로젝트)과의 연계를 고려하여 초기 설계 단계부터 다국어(한국어/일본어) 요약 요건을 함께 검토한다.</w:t>
      </w:r>
    </w:p>
    <w:p>
      <w:pPr>
        <w:spacing w:line="312" w:lineRule="auto" w:after="160"/>
      </w:pPr>
      <w:r>
        <w:rPr>
          <w:rFonts w:ascii="맑은 고딕" w:hAnsi="맑은 고딕" w:eastAsia="맑은 고딕"/>
          <w:b w:val="0"/>
          <w:sz w:val="22"/>
        </w:rPr>
        <w:t>본 기술기획서의 목적은 요약 기능 구현에 필요한 모델 선정 방식을 후보 비교를 통해 확정하고, 파인튜닝/프롬프트 전략, 데이터 파이프라인, 서빙 인프라, 성능 목표치, 평가 방법론, 점진적 롤아웃 계획, 비용 구조, 다국어 대응, 프라이버시/보안 고려사항, 리스크 대응, 상세 개발 일정을 개발본부 내 합의된 단일 기준으로 문서화하는 것이다. v1(2026.08.03 배포) 대비 본 v2는 CTO 검토 회의(2026.08.07)에서 제기된 '인프라 실행 계획과 비용 근거가 부족하다'는 지적을 반영하여 관련 섹션을 대폭 보강하였다.</w:t>
      </w:r>
    </w:p>
    <w:p>
      <w:pPr>
        <w:spacing w:line="312" w:lineRule="auto" w:after="160"/>
      </w:pPr>
      <w:r>
        <w:rPr>
          <w:rFonts w:ascii="맑은 고딕" w:hAnsi="맑은 고딕" w:eastAsia="맑은 고딕"/>
          <w:b w:val="0"/>
          <w:sz w:val="22"/>
        </w:rPr>
        <w:t>프로젝트 목표는 다음 다섯 가지로 정리된다. 첫째, 사용자 체감 응답 지연 6초 이내로 요약 결과를 제공한다. 둘째, 사내 평가 벤치마크셋 기준 요약 품질(ROUGE-L 및 휴먼 평가)에서 목표 정확도를 달성한다. 셋째, 고객사당 월 평균 API 비용을 예산 상한 이내로 통제하면서 확장 가능한 아키텍처를 갖춘다. 넷째, 단계적 A/B 테스트를 통해 전체 트래픽 전환 전 품질과 안정성을 검증한다. 다섯째, 한국어와 일본어 두 언어에서 동등 수준의 요약 품질을 확보하여 PRJ-2026-07 일본 출시 일정에 기능 지연이 발생하지 않도록 한다. 목표 출시일은 2027년 1분기 GA이며, 2026년 4분기 베타를 우선 진행한다.</w:t>
      </w:r>
    </w:p>
    <w:p>
      <w:pPr>
        <w:spacing w:line="312" w:lineRule="auto" w:after="160"/>
      </w:pPr>
      <w:r>
        <w:rPr>
          <w:rFonts w:ascii="맑은 고딕" w:hAnsi="맑은 고딕" w:eastAsia="맑은 고딕"/>
          <w:b w:val="0"/>
          <w:sz w:val="22"/>
        </w:rPr>
        <w:t>본 문서의 독자는 개발본부 소속 AI팀, 백엔드팀, 프론트팀, 인프라팀, 그리고 검토/승인권자인 CTO 강민석이며, 배포 범위는 개발본부 한정으로 제한한다. 문서 내 비용 수치, GPU 자원 규모, 고객사 파일럿 명단 등은 대외비로 분류되므로 외부 공유를 금한다.</w:t>
      </w:r>
    </w:p>
    <w:p>
      <w:r>
        <w:rPr>
          <w:rFonts w:ascii="맑은 고딕" w:hAnsi="맑은 고딕" w:eastAsia="맑은 고딕"/>
          <w:b/>
          <w:color w:val="1F3864"/>
          <w:sz w:val="26"/>
        </w:rPr>
        <w:t>2. 모델 후보 비교</w:t>
      </w:r>
    </w:p>
    <w:p>
      <w:pPr>
        <w:spacing w:line="312" w:lineRule="auto" w:after="160"/>
      </w:pPr>
      <w:r>
        <w:rPr>
          <w:rFonts w:ascii="맑은 고딕" w:hAnsi="맑은 고딕" w:eastAsia="맑은 고딕"/>
          <w:b w:val="0"/>
          <w:sz w:val="22"/>
        </w:rPr>
        <w:t>AI팀은 2026년 7월 한 달간 5개 모델 후보에 대해 사내 파일럿 데이터셋(익명화된 보드 120건, 회의노트 80건)을 사용하여 비교 평가를 실시하였다. 평가축은 정확도(ROUGE-L 기준 및 3인 휴먼 평가 5점 척도 환산), 1,000건 처리 기준 예상 비용, 평균 응답 지연시간, 온프레미스/사내망 배포 가능 여부, 컨텍스트 윈도우 크기, 다국어(일본어) 지원 수준 6가지로 확대 설정하였다. 후보 A와 B는 오픈소스 모델을 자체 GPU 인스턴스(A100 4장)에 서빙한 결과이며, 후보 C~E는 각 벤더의 API 문서상 스펙과 파일럿 실측치를 병기하였다.</w:t>
      </w:r>
    </w:p>
    <w:p>
      <w:pPr>
        <w:spacing w:line="312" w:lineRule="auto" w:after="160"/>
      </w:pPr>
      <w:r>
        <w:rPr>
          <w:rFonts w:ascii="맑은 고딕" w:hAnsi="맑은 고딕" w:eastAsia="맑은 고딕"/>
          <w:b w:val="0"/>
          <w:sz w:val="22"/>
        </w:rPr>
        <w:t>비교 결과 순수 오픈소스 무파인튜닝 모델(후보 B)은 비용과 온프레미스 이점은 크지만 도메인 특화 요약 품질이 기준 미달이었고, 상용 API 단독(후보 C, D)은 정확도와 지연시간은 우수하나 온프레미스 요건을 충족하지 못해 규제산업 고객사 대응이 어려운 것으로 확인되었다. 일본어 요약 품질은 후보 D와 후보 C가 상대적으로 우수했으며, 후보 A(자체 파인튜닝)는 한국어 학습 데이터 비중이 높아 일본어 파일럿 점수가 낮게 나타나 10절 다국어 전략에서 별도 보완 계획을 수립하였다.</w:t>
      </w:r>
    </w:p>
    <w:p>
      <w:pPr>
        <w:spacing w:line="312" w:lineRule="auto" w:after="160"/>
      </w:pPr>
      <w:r>
        <w:rPr>
          <w:rFonts w:ascii="맑은 고딕" w:hAnsi="맑은 고딕" w:eastAsia="맑은 고딕"/>
          <w:b w:val="0"/>
          <w:sz w:val="22"/>
        </w:rPr>
        <w:t>표1에 정리된 바와 같이 컨텍스트 윈도우는 상용 API 계열(C, D, E)이 12만~20만 토큰 수준으로 대형 보드의 원문 전체 투입에 유리한 반면, 자체 호스팅 계열(A, B)은 GPU 메모리 제약상 3.2만 토큰으로 제한되어 맵-리듀스 방식이 필수적으로 요구된다. 이 결과는 3절 선정 근거와 6절 서빙 인프라 설계의 기초 자료로 활용되었다.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pPr>
              <w:jc w:val="center"/>
            </w:pPr>
            <w:r>
              <w:rPr>
                <w:rFonts w:ascii="맑은 고딕" w:hAnsi="맑은 고딕" w:eastAsia="맑은 고딕"/>
                <w:b/>
                <w:color w:val="FFFFFF"/>
                <w:sz w:val="20"/>
              </w:rPr>
              <w:t>후보</w:t>
            </w:r>
          </w:p>
        </w:tc>
        <w:tc>
          <w:tcPr>
            <w:tcW w:type="dxa" w:w="1234"/>
            <w:shd w:val="clear" w:color="auto" w:fill="1F3864"/>
          </w:tcPr>
          <w:p>
            <w:pPr>
              <w:jc w:val="center"/>
            </w:pPr>
            <w:r>
              <w:rPr>
                <w:rFonts w:ascii="맑은 고딕" w:hAnsi="맑은 고딕" w:eastAsia="맑은 고딕"/>
                <w:b/>
                <w:color w:val="FFFFFF"/>
                <w:sz w:val="20"/>
              </w:rPr>
              <w:t>정확도 (ROUGE-L/휴먼평가)</w:t>
            </w:r>
          </w:p>
        </w:tc>
        <w:tc>
          <w:tcPr>
            <w:tcW w:type="dxa" w:w="1234"/>
            <w:shd w:val="clear" w:color="auto" w:fill="1F3864"/>
          </w:tcPr>
          <w:p>
            <w:pPr>
              <w:jc w:val="center"/>
            </w:pPr>
            <w:r>
              <w:rPr>
                <w:rFonts w:ascii="맑은 고딕" w:hAnsi="맑은 고딕" w:eastAsia="맑은 고딕"/>
                <w:b/>
                <w:color w:val="FFFFFF"/>
                <w:sz w:val="20"/>
              </w:rPr>
              <w:t>비용 (1,000건 기준)</w:t>
            </w:r>
          </w:p>
        </w:tc>
        <w:tc>
          <w:tcPr>
            <w:tcW w:type="dxa" w:w="1234"/>
            <w:shd w:val="clear" w:color="auto" w:fill="1F3864"/>
          </w:tcPr>
          <w:p>
            <w:pPr>
              <w:jc w:val="center"/>
            </w:pPr>
            <w:r>
              <w:rPr>
                <w:rFonts w:ascii="맑은 고딕" w:hAnsi="맑은 고딕" w:eastAsia="맑은 고딕"/>
                <w:b/>
                <w:color w:val="FFFFFF"/>
                <w:sz w:val="20"/>
              </w:rPr>
              <w:t>지연시간 (평균)</w:t>
            </w:r>
          </w:p>
        </w:tc>
        <w:tc>
          <w:tcPr>
            <w:tcW w:type="dxa" w:w="1234"/>
            <w:shd w:val="clear" w:color="auto" w:fill="1F3864"/>
          </w:tcPr>
          <w:p>
            <w:pPr>
              <w:jc w:val="center"/>
            </w:pPr>
            <w:r>
              <w:rPr>
                <w:rFonts w:ascii="맑은 고딕" w:hAnsi="맑은 고딕" w:eastAsia="맑은 고딕"/>
                <w:b/>
                <w:color w:val="FFFFFF"/>
                <w:sz w:val="20"/>
              </w:rPr>
              <w:t>컨텍스트 윈도우</w:t>
            </w:r>
          </w:p>
        </w:tc>
        <w:tc>
          <w:tcPr>
            <w:tcW w:type="dxa" w:w="1234"/>
            <w:shd w:val="clear" w:color="auto" w:fill="1F3864"/>
          </w:tcPr>
          <w:p>
            <w:pPr>
              <w:jc w:val="center"/>
            </w:pPr>
            <w:r>
              <w:rPr>
                <w:rFonts w:ascii="맑은 고딕" w:hAnsi="맑은 고딕" w:eastAsia="맑은 고딕"/>
                <w:b/>
                <w:color w:val="FFFFFF"/>
                <w:sz w:val="20"/>
              </w:rPr>
              <w:t>일본어 지원</w:t>
            </w:r>
          </w:p>
        </w:tc>
        <w:tc>
          <w:tcPr>
            <w:tcW w:type="dxa" w:w="1234"/>
            <w:shd w:val="clear" w:color="auto" w:fill="1F3864"/>
          </w:tcPr>
          <w:p>
            <w:pPr>
              <w:jc w:val="center"/>
            </w:pPr>
            <w:r>
              <w:rPr>
                <w:rFonts w:ascii="맑은 고딕" w:hAnsi="맑은 고딕" w:eastAsia="맑은 고딕"/>
                <w:b/>
                <w:color w:val="FFFFFF"/>
                <w:sz w:val="20"/>
              </w:rPr>
              <w:t>온프레미스</w:t>
            </w:r>
          </w:p>
        </w:tc>
      </w:tr>
      <w:tr>
        <w:tc>
          <w:tcPr>
            <w:tcW w:type="dxa" w:w="1234"/>
          </w:tcPr>
          <w:p>
            <w:r>
              <w:rPr>
                <w:rFonts w:ascii="맑은 고딕" w:hAnsi="맑은 고딕" w:eastAsia="맑은 고딕"/>
                <w:b w:val="0"/>
                <w:sz w:val="20"/>
              </w:rPr>
              <w:t>A. 자체 파인튜닝 오픈소스 LLM (Llama 3 8B 기반 LoRA)</w:t>
            </w:r>
          </w:p>
        </w:tc>
        <w:tc>
          <w:tcPr>
            <w:tcW w:type="dxa" w:w="1234"/>
          </w:tcPr>
          <w:p>
            <w:r>
              <w:rPr>
                <w:rFonts w:ascii="맑은 고딕" w:hAnsi="맑은 고딕" w:eastAsia="맑은 고딕"/>
                <w:b w:val="0"/>
                <w:sz w:val="20"/>
              </w:rPr>
              <w:t>0.41 / 3.6점</w:t>
            </w:r>
          </w:p>
        </w:tc>
        <w:tc>
          <w:tcPr>
            <w:tcW w:type="dxa" w:w="1234"/>
          </w:tcPr>
          <w:p>
            <w:r>
              <w:rPr>
                <w:rFonts w:ascii="맑은 고딕" w:hAnsi="맑은 고딕" w:eastAsia="맑은 고딕"/>
                <w:b w:val="0"/>
                <w:sz w:val="20"/>
              </w:rPr>
              <w:t>약 9만원 (GPU 인스턴스 상각 포함)</w:t>
            </w:r>
          </w:p>
        </w:tc>
        <w:tc>
          <w:tcPr>
            <w:tcW w:type="dxa" w:w="1234"/>
          </w:tcPr>
          <w:p>
            <w:r>
              <w:rPr>
                <w:rFonts w:ascii="맑은 고딕" w:hAnsi="맑은 고딕" w:eastAsia="맑은 고딕"/>
                <w:b w:val="0"/>
                <w:sz w:val="20"/>
              </w:rPr>
              <w:t>3.2초</w:t>
            </w:r>
          </w:p>
        </w:tc>
        <w:tc>
          <w:tcPr>
            <w:tcW w:type="dxa" w:w="1234"/>
          </w:tcPr>
          <w:p>
            <w:r>
              <w:rPr>
                <w:rFonts w:ascii="맑은 고딕" w:hAnsi="맑은 고딕" w:eastAsia="맑은 고딕"/>
                <w:b w:val="0"/>
                <w:sz w:val="20"/>
              </w:rPr>
              <w:t>32,000 토큰</w:t>
            </w:r>
          </w:p>
        </w:tc>
        <w:tc>
          <w:tcPr>
            <w:tcW w:type="dxa" w:w="1234"/>
          </w:tcPr>
          <w:p>
            <w:r>
              <w:rPr>
                <w:rFonts w:ascii="맑은 고딕" w:hAnsi="맑은 고딕" w:eastAsia="맑은 고딕"/>
                <w:b w:val="0"/>
                <w:sz w:val="20"/>
              </w:rPr>
              <w:t>제한적 (파일럿 2.8점)</w:t>
            </w:r>
          </w:p>
        </w:tc>
        <w:tc>
          <w:tcPr>
            <w:tcW w:type="dxa" w:w="1234"/>
          </w:tcPr>
          <w:p>
            <w:r>
              <w:rPr>
                <w:rFonts w:ascii="맑은 고딕" w:hAnsi="맑은 고딕" w:eastAsia="맑은 고딕"/>
                <w:b w:val="0"/>
                <w:sz w:val="20"/>
              </w:rPr>
              <w:t>가능</w:t>
            </w:r>
          </w:p>
        </w:tc>
      </w:tr>
      <w:tr>
        <w:tc>
          <w:tcPr>
            <w:tcW w:type="dxa" w:w="1234"/>
            <w:shd w:val="clear" w:color="auto" w:fill="F2F2F2"/>
          </w:tcPr>
          <w:p>
            <w:r>
              <w:rPr>
                <w:rFonts w:ascii="맑은 고딕" w:hAnsi="맑은 고딕" w:eastAsia="맑은 고딕"/>
                <w:b w:val="0"/>
                <w:sz w:val="20"/>
              </w:rPr>
              <w:t>B. 오픈소스 LLM 활용, 무파인튜닝 (Llama 3 70B 자체 호스팅)</w:t>
            </w:r>
          </w:p>
        </w:tc>
        <w:tc>
          <w:tcPr>
            <w:tcW w:type="dxa" w:w="1234"/>
            <w:shd w:val="clear" w:color="auto" w:fill="F2F2F2"/>
          </w:tcPr>
          <w:p>
            <w:r>
              <w:rPr>
                <w:rFonts w:ascii="맑은 고딕" w:hAnsi="맑은 고딕" w:eastAsia="맑은 고딕"/>
                <w:b w:val="0"/>
                <w:sz w:val="20"/>
              </w:rPr>
              <w:t>0.33 / 3.1점</w:t>
            </w:r>
          </w:p>
        </w:tc>
        <w:tc>
          <w:tcPr>
            <w:tcW w:type="dxa" w:w="1234"/>
            <w:shd w:val="clear" w:color="auto" w:fill="F2F2F2"/>
          </w:tcPr>
          <w:p>
            <w:r>
              <w:rPr>
                <w:rFonts w:ascii="맑은 고딕" w:hAnsi="맑은 고딕" w:eastAsia="맑은 고딕"/>
                <w:b w:val="0"/>
                <w:sz w:val="20"/>
              </w:rPr>
              <w:t>약 21만원 (GPU 인스턴스 상각 포함)</w:t>
            </w:r>
          </w:p>
        </w:tc>
        <w:tc>
          <w:tcPr>
            <w:tcW w:type="dxa" w:w="1234"/>
            <w:shd w:val="clear" w:color="auto" w:fill="F2F2F2"/>
          </w:tcPr>
          <w:p>
            <w:r>
              <w:rPr>
                <w:rFonts w:ascii="맑은 고딕" w:hAnsi="맑은 고딕" w:eastAsia="맑은 고딕"/>
                <w:b w:val="0"/>
                <w:sz w:val="20"/>
              </w:rPr>
              <w:t>5.8초</w:t>
            </w:r>
          </w:p>
        </w:tc>
        <w:tc>
          <w:tcPr>
            <w:tcW w:type="dxa" w:w="1234"/>
            <w:shd w:val="clear" w:color="auto" w:fill="F2F2F2"/>
          </w:tcPr>
          <w:p>
            <w:r>
              <w:rPr>
                <w:rFonts w:ascii="맑은 고딕" w:hAnsi="맑은 고딕" w:eastAsia="맑은 고딕"/>
                <w:b w:val="0"/>
                <w:sz w:val="20"/>
              </w:rPr>
              <w:t>32,000 토큰</w:t>
            </w:r>
          </w:p>
        </w:tc>
        <w:tc>
          <w:tcPr>
            <w:tcW w:type="dxa" w:w="1234"/>
            <w:shd w:val="clear" w:color="auto" w:fill="F2F2F2"/>
          </w:tcPr>
          <w:p>
            <w:r>
              <w:rPr>
                <w:rFonts w:ascii="맑은 고딕" w:hAnsi="맑은 고딕" w:eastAsia="맑은 고딕"/>
                <w:b w:val="0"/>
                <w:sz w:val="20"/>
              </w:rPr>
              <w:t>제한적 (파일럿 2.6점)</w:t>
            </w:r>
          </w:p>
        </w:tc>
        <w:tc>
          <w:tcPr>
            <w:tcW w:type="dxa" w:w="1234"/>
            <w:shd w:val="clear" w:color="auto" w:fill="F2F2F2"/>
          </w:tcPr>
          <w:p>
            <w:r>
              <w:rPr>
                <w:rFonts w:ascii="맑은 고딕" w:hAnsi="맑은 고딕" w:eastAsia="맑은 고딕"/>
                <w:b w:val="0"/>
                <w:sz w:val="20"/>
              </w:rPr>
              <w:t>가능</w:t>
            </w:r>
          </w:p>
        </w:tc>
      </w:tr>
      <w:tr>
        <w:tc>
          <w:tcPr>
            <w:tcW w:type="dxa" w:w="1234"/>
          </w:tcPr>
          <w:p>
            <w:r>
              <w:rPr>
                <w:rFonts w:ascii="맑은 고딕" w:hAnsi="맑은 고딕" w:eastAsia="맑은 고딕"/>
                <w:b w:val="0"/>
                <w:sz w:val="20"/>
              </w:rPr>
              <w:t>C. 상용 API - OpenAI GPT-4o</w:t>
            </w:r>
          </w:p>
        </w:tc>
        <w:tc>
          <w:tcPr>
            <w:tcW w:type="dxa" w:w="1234"/>
          </w:tcPr>
          <w:p>
            <w:r>
              <w:rPr>
                <w:rFonts w:ascii="맑은 고딕" w:hAnsi="맑은 고딕" w:eastAsia="맑은 고딕"/>
                <w:b w:val="0"/>
                <w:sz w:val="20"/>
              </w:rPr>
              <w:t>0.47 / 4.3점</w:t>
            </w:r>
          </w:p>
        </w:tc>
        <w:tc>
          <w:tcPr>
            <w:tcW w:type="dxa" w:w="1234"/>
          </w:tcPr>
          <w:p>
            <w:r>
              <w:rPr>
                <w:rFonts w:ascii="맑은 고딕" w:hAnsi="맑은 고딕" w:eastAsia="맑은 고딕"/>
                <w:b w:val="0"/>
                <w:sz w:val="20"/>
              </w:rPr>
              <w:t>약 38만원</w:t>
            </w:r>
          </w:p>
        </w:tc>
        <w:tc>
          <w:tcPr>
            <w:tcW w:type="dxa" w:w="1234"/>
          </w:tcPr>
          <w:p>
            <w:r>
              <w:rPr>
                <w:rFonts w:ascii="맑은 고딕" w:hAnsi="맑은 고딕" w:eastAsia="맑은 고딕"/>
                <w:b w:val="0"/>
                <w:sz w:val="20"/>
              </w:rPr>
              <w:t>2.1초</w:t>
            </w:r>
          </w:p>
        </w:tc>
        <w:tc>
          <w:tcPr>
            <w:tcW w:type="dxa" w:w="1234"/>
          </w:tcPr>
          <w:p>
            <w:r>
              <w:rPr>
                <w:rFonts w:ascii="맑은 고딕" w:hAnsi="맑은 고딕" w:eastAsia="맑은 고딕"/>
                <w:b w:val="0"/>
                <w:sz w:val="20"/>
              </w:rPr>
              <w:t>128,000 토큰</w:t>
            </w:r>
          </w:p>
        </w:tc>
        <w:tc>
          <w:tcPr>
            <w:tcW w:type="dxa" w:w="1234"/>
          </w:tcPr>
          <w:p>
            <w:r>
              <w:rPr>
                <w:rFonts w:ascii="맑은 고딕" w:hAnsi="맑은 고딕" w:eastAsia="맑은 고딕"/>
                <w:b w:val="0"/>
                <w:sz w:val="20"/>
              </w:rPr>
              <w:t>우수 (파일럿 4.1점)</w:t>
            </w:r>
          </w:p>
        </w:tc>
        <w:tc>
          <w:tcPr>
            <w:tcW w:type="dxa" w:w="1234"/>
          </w:tcPr>
          <w:p>
            <w:r>
              <w:rPr>
                <w:rFonts w:ascii="맑은 고딕" w:hAnsi="맑은 고딕" w:eastAsia="맑은 고딕"/>
                <w:b w:val="0"/>
                <w:sz w:val="20"/>
              </w:rPr>
              <w:t>불가 (외부망 전송 필수)</w:t>
            </w:r>
          </w:p>
        </w:tc>
      </w:tr>
      <w:tr>
        <w:tc>
          <w:tcPr>
            <w:tcW w:type="dxa" w:w="1234"/>
            <w:shd w:val="clear" w:color="auto" w:fill="F2F2F2"/>
          </w:tcPr>
          <w:p>
            <w:r>
              <w:rPr>
                <w:rFonts w:ascii="맑은 고딕" w:hAnsi="맑은 고딕" w:eastAsia="맑은 고딕"/>
                <w:b w:val="0"/>
                <w:sz w:val="20"/>
              </w:rPr>
              <w:t>D. 상용 API - Anthropic Claude 3.5 Sonnet</w:t>
            </w:r>
          </w:p>
        </w:tc>
        <w:tc>
          <w:tcPr>
            <w:tcW w:type="dxa" w:w="1234"/>
            <w:shd w:val="clear" w:color="auto" w:fill="F2F2F2"/>
          </w:tcPr>
          <w:p>
            <w:r>
              <w:rPr>
                <w:rFonts w:ascii="맑은 고딕" w:hAnsi="맑은 고딕" w:eastAsia="맑은 고딕"/>
                <w:b w:val="0"/>
                <w:sz w:val="20"/>
              </w:rPr>
              <w:t>0.49 / 4.4점</w:t>
            </w:r>
          </w:p>
        </w:tc>
        <w:tc>
          <w:tcPr>
            <w:tcW w:type="dxa" w:w="1234"/>
            <w:shd w:val="clear" w:color="auto" w:fill="F2F2F2"/>
          </w:tcPr>
          <w:p>
            <w:r>
              <w:rPr>
                <w:rFonts w:ascii="맑은 고딕" w:hAnsi="맑은 고딕" w:eastAsia="맑은 고딕"/>
                <w:b w:val="0"/>
                <w:sz w:val="20"/>
              </w:rPr>
              <w:t>약 41만원</w:t>
            </w:r>
          </w:p>
        </w:tc>
        <w:tc>
          <w:tcPr>
            <w:tcW w:type="dxa" w:w="1234"/>
            <w:shd w:val="clear" w:color="auto" w:fill="F2F2F2"/>
          </w:tcPr>
          <w:p>
            <w:r>
              <w:rPr>
                <w:rFonts w:ascii="맑은 고딕" w:hAnsi="맑은 고딕" w:eastAsia="맑은 고딕"/>
                <w:b w:val="0"/>
                <w:sz w:val="20"/>
              </w:rPr>
              <w:t>2.4초</w:t>
            </w:r>
          </w:p>
        </w:tc>
        <w:tc>
          <w:tcPr>
            <w:tcW w:type="dxa" w:w="1234"/>
            <w:shd w:val="clear" w:color="auto" w:fill="F2F2F2"/>
          </w:tcPr>
          <w:p>
            <w:r>
              <w:rPr>
                <w:rFonts w:ascii="맑은 고딕" w:hAnsi="맑은 고딕" w:eastAsia="맑은 고딕"/>
                <w:b w:val="0"/>
                <w:sz w:val="20"/>
              </w:rPr>
              <w:t>200,000 토큰</w:t>
            </w:r>
          </w:p>
        </w:tc>
        <w:tc>
          <w:tcPr>
            <w:tcW w:type="dxa" w:w="1234"/>
            <w:shd w:val="clear" w:color="auto" w:fill="F2F2F2"/>
          </w:tcPr>
          <w:p>
            <w:r>
              <w:rPr>
                <w:rFonts w:ascii="맑은 고딕" w:hAnsi="맑은 고딕" w:eastAsia="맑은 고딕"/>
                <w:b w:val="0"/>
                <w:sz w:val="20"/>
              </w:rPr>
              <w:t>우수 (파일럿 4.2점)</w:t>
            </w:r>
          </w:p>
        </w:tc>
        <w:tc>
          <w:tcPr>
            <w:tcW w:type="dxa" w:w="1234"/>
            <w:shd w:val="clear" w:color="auto" w:fill="F2F2F2"/>
          </w:tcPr>
          <w:p>
            <w:r>
              <w:rPr>
                <w:rFonts w:ascii="맑은 고딕" w:hAnsi="맑은 고딕" w:eastAsia="맑은 고딕"/>
                <w:b w:val="0"/>
                <w:sz w:val="20"/>
              </w:rPr>
              <w:t>불가 (외부망 전송 필수, VPC 옵션 검토 중)</w:t>
            </w:r>
          </w:p>
        </w:tc>
      </w:tr>
      <w:tr>
        <w:tc>
          <w:tcPr>
            <w:tcW w:type="dxa" w:w="1234"/>
          </w:tcPr>
          <w:p>
            <w:r>
              <w:rPr>
                <w:rFonts w:ascii="맑은 고딕" w:hAnsi="맑은 고딕" w:eastAsia="맑은 고딕"/>
                <w:b w:val="0"/>
                <w:sz w:val="20"/>
              </w:rPr>
              <w:t>E. 국내 상용 API - 네이버 하이퍼클로바X</w:t>
            </w:r>
          </w:p>
        </w:tc>
        <w:tc>
          <w:tcPr>
            <w:tcW w:type="dxa" w:w="1234"/>
          </w:tcPr>
          <w:p>
            <w:r>
              <w:rPr>
                <w:rFonts w:ascii="맑은 고딕" w:hAnsi="맑은 고딕" w:eastAsia="맑은 고딕"/>
                <w:b w:val="0"/>
                <w:sz w:val="20"/>
              </w:rPr>
              <w:t>0.39 / 3.8점</w:t>
            </w:r>
          </w:p>
        </w:tc>
        <w:tc>
          <w:tcPr>
            <w:tcW w:type="dxa" w:w="1234"/>
          </w:tcPr>
          <w:p>
            <w:r>
              <w:rPr>
                <w:rFonts w:ascii="맑은 고딕" w:hAnsi="맑은 고딕" w:eastAsia="맑은 고딕"/>
                <w:b w:val="0"/>
                <w:sz w:val="20"/>
              </w:rPr>
              <w:t>약 26만원</w:t>
            </w:r>
          </w:p>
        </w:tc>
        <w:tc>
          <w:tcPr>
            <w:tcW w:type="dxa" w:w="1234"/>
          </w:tcPr>
          <w:p>
            <w:r>
              <w:rPr>
                <w:rFonts w:ascii="맑은 고딕" w:hAnsi="맑은 고딕" w:eastAsia="맑은 고딕"/>
                <w:b w:val="0"/>
                <w:sz w:val="20"/>
              </w:rPr>
              <w:t>2.9초</w:t>
            </w:r>
          </w:p>
        </w:tc>
        <w:tc>
          <w:tcPr>
            <w:tcW w:type="dxa" w:w="1234"/>
          </w:tcPr>
          <w:p>
            <w:r>
              <w:rPr>
                <w:rFonts w:ascii="맑은 고딕" w:hAnsi="맑은 고딕" w:eastAsia="맑은 고딕"/>
                <w:b w:val="0"/>
                <w:sz w:val="20"/>
              </w:rPr>
              <w:t>128,000 토큰</w:t>
            </w:r>
          </w:p>
        </w:tc>
        <w:tc>
          <w:tcPr>
            <w:tcW w:type="dxa" w:w="1234"/>
          </w:tcPr>
          <w:p>
            <w:r>
              <w:rPr>
                <w:rFonts w:ascii="맑은 고딕" w:hAnsi="맑은 고딕" w:eastAsia="맑은 고딕"/>
                <w:b w:val="0"/>
                <w:sz w:val="20"/>
              </w:rPr>
              <w:t>양호 (파일럿 3.7점)</w:t>
            </w:r>
          </w:p>
        </w:tc>
        <w:tc>
          <w:tcPr>
            <w:tcW w:type="dxa" w:w="1234"/>
          </w:tcPr>
          <w:p>
            <w:r>
              <w:rPr>
                <w:rFonts w:ascii="맑은 고딕" w:hAnsi="맑은 고딕" w:eastAsia="맑은 고딕"/>
                <w:b w:val="0"/>
                <w:sz w:val="20"/>
              </w:rPr>
              <w:t>일부 가능 (전용 리전 옵션 존재, 별도 계약 필요)</w:t>
            </w:r>
          </w:p>
        </w:tc>
      </w:tr>
    </w:tbl>
    <w:p/>
    <w:p>
      <w:r>
        <w:rPr>
          <w:rFonts w:ascii="맑은 고딕" w:hAnsi="맑은 고딕" w:eastAsia="맑은 고딕"/>
          <w:b/>
          <w:color w:val="1F3864"/>
          <w:sz w:val="26"/>
        </w:rPr>
        <w:t>3. 선정 모델 및 근거</w:t>
      </w:r>
    </w:p>
    <w:p>
      <w:pPr>
        <w:spacing w:line="312" w:lineRule="auto" w:after="160"/>
      </w:pPr>
      <w:r>
        <w:rPr>
          <w:rFonts w:ascii="맑은 고딕" w:hAnsi="맑은 고딕" w:eastAsia="맑은 고딕"/>
          <w:b w:val="0"/>
          <w:sz w:val="22"/>
        </w:rPr>
        <w:t>AI팀은 단일 모델 채택 대신 '민감도 기반 라우팅 하이브리드' 구조를 최종안으로 선정하였다. 보드 내용이 사내 보안 정책상 외부망 전송이 허용되는 일반 등급인 경우 후보 D(Claude 3.5 Sonnet API)로 우선 처리하여 정확도와 응답속도를 확보하고, 고객사가 온프레미스/민감정보 처리를 요구하거나 외부망 전송이 금지된 계약 조건인 경우 후보 A(자체 파인튜닝 Llama 3 8B)로 전환 처리한다.</w:t>
      </w:r>
    </w:p>
    <w:p>
      <w:pPr>
        <w:spacing w:line="312" w:lineRule="auto" w:after="160"/>
      </w:pPr>
      <w:r>
        <w:rPr>
          <w:rFonts w:ascii="맑은 고딕" w:hAnsi="맑은 고딕" w:eastAsia="맑은 고딕"/>
          <w:b w:val="0"/>
          <w:sz w:val="22"/>
        </w:rPr>
        <w:t>후보 D를 기본 경로로 선정한 근거는 세 가지다. 첫째, 5개 후보 중 정확도(ROUGE-L 0.49, 휴먼평가 4.4점)가 가장 높아 초기 사용자 신뢰 확보에 유리하다. 둘째, 파일럿 기간 중 안전성 관련 오출력(민감정보 재생성, 근거 없는 사실 서술) 빈도가 후보 C 대비 낮게 관측되어 12절에서 다룰 환각 리스크 완화 부담이 상대적으로 작았다. 셋째, 컨텍스트 윈도우가 20만 토큰으로 가장 커서 대형 보드를 맵-리듀스 없이 단일 호출로 처리 가능한 비율이 높아 지연시간과 비용 양쪽에 유리하다.</w:t>
      </w:r>
    </w:p>
    <w:p>
      <w:pPr>
        <w:spacing w:line="312" w:lineRule="auto" w:after="160"/>
      </w:pPr>
      <w:r>
        <w:rPr>
          <w:rFonts w:ascii="맑은 고딕" w:hAnsi="맑은 고딕" w:eastAsia="맑은 고딕"/>
          <w:b w:val="0"/>
          <w:sz w:val="22"/>
        </w:rPr>
        <w:t>후보 A를 온프레미스 경로로 병행 채택한 근거는, 현재 영업 파이프라인에 있는 금융권 고객사 2곳이 외부 LLM API 전송 금지를 계약 전제조건으로 요구하고 있어 상용 API 단일 구조로는 해당 세그먼트 영업이 불가능하기 때문이다. 사내 GPU 인스턴스(A100 4장, 기 구축된 NeoLM 서빙 인프라 재사용)에서 LoRA 파인튜닝 모델을 서빙함으로써 추가 인프라 투자 없이 온프레미스 요건을 충족할 수 있다.</w:t>
      </w:r>
    </w:p>
    <w:p>
      <w:pPr>
        <w:spacing w:line="312" w:lineRule="auto" w:after="160"/>
      </w:pPr>
      <w:r>
        <w:rPr>
          <w:rFonts w:ascii="맑은 고딕" w:hAnsi="맑은 고딕" w:eastAsia="맑은 고딕"/>
          <w:b w:val="0"/>
          <w:sz w:val="22"/>
        </w:rPr>
        <w:t>후보 B(무파인튜닝 오픈소스)와 후보 E(하이퍼클로바X)는 이번 1차 개발 범위에서는 제외한다. 후보 B는 파인튜닝 없이는 도메인 요약 품질이 목표치에 미달하였고, 후보 E는 정확도는 준수하나 온프레미스 옵션이 별도 계약과 리드타임을 요구하여 2027년 1분기 GA 일정에 맞추기 어렵다고 판단하였다. 다만 후보 E는 향후 국내 공공/금융 규제 강화 시, 그리고 10절에서 다루는 일본어 대응 대체 옵션으로서 재검토한다.</w:t>
      </w:r>
    </w:p>
    <w:p>
      <w:pPr>
        <w:spacing w:line="312" w:lineRule="auto" w:after="160"/>
      </w:pPr>
      <w:r>
        <w:rPr>
          <w:rFonts w:ascii="맑은 고딕" w:hAnsi="맑은 고딕" w:eastAsia="맑은 고딕"/>
          <w:b w:val="0"/>
          <w:sz w:val="22"/>
        </w:rPr>
        <w:t>CTO 강민석 검토 의견(2026.08.07 회의록 발췌): '하이브리드 라우팅 구조는 동의하나, 상용 API 경로 장애 시 폴백 로직과 온프레미스 경로의 GPU 증설 계획이 구체화되어야 승인 가능하다'는 코멘트가 있었으며, 이는 6절 서빙 인프라 및 9절 리스크 대응에 반영되었다.</w:t>
      </w:r>
    </w:p>
    <w:p>
      <w:r>
        <w:rPr>
          <w:rFonts w:ascii="맑은 고딕" w:hAnsi="맑은 고딕" w:eastAsia="맑은 고딕"/>
          <w:b/>
          <w:color w:val="1F3864"/>
          <w:sz w:val="26"/>
        </w:rPr>
        <w:t>4. 파인튜닝 및 프롬프트 전략</w:t>
      </w:r>
    </w:p>
    <w:p>
      <w:pPr>
        <w:spacing w:line="312" w:lineRule="auto" w:after="160"/>
      </w:pPr>
      <w:r>
        <w:rPr>
          <w:rFonts w:ascii="맑은 고딕" w:hAnsi="맑은 고딕" w:eastAsia="맑은 고딕"/>
          <w:b w:val="0"/>
          <w:sz w:val="22"/>
        </w:rPr>
        <w:t>상용 API 경로(후보 D)는 파인튜닝을 진행하지 않고 프롬프트 엔지니어링으로 품질을 확보한다. 시스템 프롬프트에 네오보드 도메인 컨텍스트(칸반/화이트보드 용어, 카드-댓글 구조)를 주입하고, '핵심 내용 3줄 - 결정사항 - 액션아이템(담당자/기한 포함)' 형식을 고정 출력 스키마로 강제한다. 파일럿 과정에서 few-shot 예시 2건을 포함했을 때 형식 준수율이 74%에서 96%로 개선되어 최종 프롬프트에 반영하였다. 원문이 컨텍스트 길이를 초과하는 대형 보드는 카드 단위로 1차 청크 요약 후 2차 통합 요약하는 맵-리듀스(Map-Reduce) 방식을 적용한다.</w:t>
      </w:r>
    </w:p>
    <w:p>
      <w:pPr>
        <w:spacing w:line="312" w:lineRule="auto" w:after="160"/>
      </w:pPr>
      <w:r>
        <w:rPr>
          <w:rFonts w:ascii="맑은 고딕" w:hAnsi="맑은 고딕" w:eastAsia="맑은 고딕"/>
          <w:b w:val="0"/>
          <w:sz w:val="22"/>
        </w:rPr>
        <w:t>온프레미스 경로(후보 A)는 Llama 3 8B 베이스 모델에 LoRA(Low-Rank Adaptation) 방식의 경량 파인튜닝을 적용한다. 전체 파라미터 재학습 대신 어댑터 레이어만 학습하여 사내 GPU 인스턴스에서도 학습/재학습이 가능하도록 하며, 학습 데이터 구성 및 정제 절차는 5절에서 상세히 다룬다. 파인튜닝 하이퍼파라미터는 LoRA rank 16, alpha 32, 학습률 2e-4, 에폭 3회를 기본값으로 하되, 매 재학습 시 검증셋 손실(validation loss)을 기준으로 조기 종료(early stopping)를 적용한다.</w:t>
      </w:r>
    </w:p>
    <w:p>
      <w:pPr>
        <w:spacing w:line="312" w:lineRule="auto" w:after="160"/>
      </w:pPr>
      <w:r>
        <w:rPr>
          <w:rFonts w:ascii="맑은 고딕" w:hAnsi="맑은 고딕" w:eastAsia="맑은 고딕"/>
          <w:b w:val="0"/>
          <w:sz w:val="22"/>
        </w:rPr>
        <w:t>두 경로 모두 환각 억제를 위해 RAG(Retrieval-Augmented Generation) 방식을 병행 적용한다. 요약 생성 전 원본 카드/댓글에서 관련 구간을 검색해 프롬프트 컨텍스트에 명시적으로 포함시키고, 모델 출력에는 근거 카드 ID를 함께 반환하도록 하여 사용자가 요약 결과를 원문과 대조 확인할 수 있게 한다. 검색 단계는 사내 벡터DB(Qdrant, 기 구축)를 활용하며, 임베딩 모델은 다국어 지원이 확인된 multilingual-e5-large를 채택하여 10절의 다국어 전략과 정합성을 맞춘다.</w:t>
      </w:r>
    </w:p>
    <w:p>
      <w:pPr>
        <w:spacing w:line="312" w:lineRule="auto" w:after="160"/>
      </w:pPr>
      <w:r>
        <w:rPr>
          <w:rFonts w:ascii="맑은 고딕" w:hAnsi="맑은 고딕" w:eastAsia="맑은 고딕"/>
          <w:b w:val="0"/>
          <w:sz w:val="22"/>
        </w:rPr>
        <w:t>파인튜닝 모델의 재학습 주기는 분기 1회를 기본으로 하되, 사용자 피드백(요약 결과에 대한 '도움됨/도움안됨' 평가) 누적치가 500건을 초과하는 시점에 추가 재학습을 트리거한다. 프롬프트 버전은 Git으로 형상관리하며 변경 시 7절의 벤치마크셋으로 회귀 테스트를 수행한 후 배포한다. 프롬프트 변경 이력은 별도 CHANGELOG로 관리하여 8절 A/B 테스트 시 어떤 버전이 어떤 결과를 냈는지 추적 가능하도록 한다.</w:t>
      </w:r>
    </w:p>
    <w:p>
      <w:r>
        <w:rPr>
          <w:rFonts w:ascii="맑은 고딕" w:hAnsi="맑은 고딕" w:eastAsia="맑은 고딕"/>
          <w:b/>
          <w:color w:val="1F3864"/>
          <w:sz w:val="26"/>
        </w:rPr>
        <w:t>5. 데이터 파이프라인 상세</w:t>
      </w:r>
    </w:p>
    <w:p>
      <w:pPr>
        <w:spacing w:line="312" w:lineRule="auto" w:after="160"/>
      </w:pPr>
      <w:r>
        <w:rPr>
          <w:rFonts w:ascii="맑은 고딕" w:hAnsi="맑은 고딕" w:eastAsia="맑은 고딕"/>
          <w:b w:val="0"/>
          <w:sz w:val="22"/>
        </w:rPr>
        <w:t>학습 및 평가 데이터는 수집-정제-익명화-라벨링-검수-적재의 6단계 파이프라인을 통해 구성한다. 1단계 수집에서는 파일럿 참여에 동의한 고객사(현재 14개사)의 보드 데이터를 Board Service API를 통해 배치로 추출하며, 동의하지 않은 고객사의 데이터는 파이프라인에 진입시키지 않도록 사전에 고객사 ID 화이트리스트를 적용한다. 회의노트는 별도로 사내에서 생성된 공개 가능 등급 문서 400건을 원천으로 활용한다.</w:t>
      </w:r>
    </w:p>
    <w:p>
      <w:pPr>
        <w:spacing w:line="312" w:lineRule="auto" w:after="160"/>
      </w:pPr>
      <w:r>
        <w:rPr>
          <w:rFonts w:ascii="맑은 고딕" w:hAnsi="맑은 고딕" w:eastAsia="맑은 고딕"/>
          <w:b w:val="0"/>
          <w:sz w:val="22"/>
        </w:rPr>
        <w:t>2단계 정제에서는 빈 카드, 봇 자동 생성 댓글, 시스템 로그성 텍스트를 제거하고, 카드 생성/수정 타임스탬프 기준으로 중복 스냅샷을 통합한다. 3단계 익명화에서는 정규식 기반 1차 필터(이메일, 전화번호, 사업자번호 패턴)와 개체명 인식(NER) 모델 기반 2차 필터(인명, 조직명, 주소)를 순차 적용하여 고유명사를 마스킹 토큰(예: [PERSON_1], [ORG_1])으로 치환한다. 익명화 정확도는 자체 검증셋 기준 재현율 97.2%, 정밀도 95.8%이며, 미탐지 잔여 위험에 대비해 4단계 이전에 보안팀 샘플 검수를 필수 게이트로 둔다.</w:t>
      </w:r>
    </w:p>
    <w:p>
      <w:pPr>
        <w:spacing w:line="312" w:lineRule="auto" w:after="160"/>
      </w:pPr>
      <w:r>
        <w:rPr>
          <w:rFonts w:ascii="맑은 고딕" w:hAnsi="맑은 고딕" w:eastAsia="맑은 고딕"/>
          <w:b w:val="0"/>
          <w:sz w:val="22"/>
        </w:rPr>
        <w:t>4단계 라벨링은 AI팀 3인과 고객지원팀 2인으로 구성된 라벨링 인력이 담당하며, 각 표본에 대해 독립적으로 정답 요약(Gold Standard)을 작성한 뒤 불일치 구간은 합의(adjudication) 세션을 거쳐 최종 확정한다. 라벨링 가이드라인은 '핵심 내용 3줄-결정사항-액션아이템' 스키마를 그대로 따르며, 라벨러 간 일치도(inter-annotator agreement)는 Cohen's Kappa 0.81을 유지 기준으로 관리한다. 5단계 검수에서는 보안팀이 익명화 처리 결과를 표본의 10%에 대해 재검수하고, 원본 대조를 통해 잔여 개인정보가 발견될 경우 해당 건은 폐기 후 재처리한다.</w:t>
      </w:r>
    </w:p>
    <w:p>
      <w:pPr>
        <w:spacing w:line="312" w:lineRule="auto" w:after="160"/>
      </w:pPr>
      <w:r>
        <w:rPr>
          <w:rFonts w:ascii="맑은 고딕" w:hAnsi="맑은 고딕" w:eastAsia="맑은 고딕"/>
          <w:b w:val="0"/>
          <w:sz w:val="22"/>
        </w:rPr>
        <w:t>6단계 적재에서는 검수를 통과한 데이터만 학습용 데이터 레이크(사내 S3 호환 스토리지, 접근권한 AI팀 한정)에 버전 태그와 함께 적재한다. 데이터 거버넌스 원칙으로는 다음 네 가지를 적용한다: (1) 원본 고객 데이터는 익명화 이전 상태로 학습 파이프라인 밖에 저장하지 않는다. (2) 모든 데이터셋 버전은 생성 일시, 원천, 익명화 처리 로그를 메타데이터로 남긴다. (3) 고객사가 파일럿 동의를 철회하는 경우 해당 고객사 유래 데이터를 학습 데이터셋과 이미 학습된 모델 체크포인트에서 식별하여 다음 재학습 주기에 제외한다. (4) 데이터 보관 기간은 최대 2년으로 하고, 만료된 데이터는 자동 폐기 배치 작업으로 삭제한다.</w:t>
      </w:r>
    </w:p>
    <w:p>
      <w:pPr>
        <w:spacing w:line="312" w:lineRule="auto" w:after="160"/>
      </w:pPr>
      <w:r>
        <w:rPr>
          <w:rFonts w:ascii="맑은 고딕" w:hAnsi="맑은 고딕" w:eastAsia="맑은 고딕"/>
          <w:b w:val="0"/>
          <w:sz w:val="22"/>
        </w:rPr>
        <w:t>학습 데이터 구성 현황은 사내 파일럿 참여 고객사 동의 하에 익명화된 보드-요약 쌍 약 1,500건과 사내 회의노트 400건을 합산하여 총 1,900건이며, 평가용 벤치마크셋(200건)은 학습셋과 완전히 분리된 홀드아웃(holdout) 표본으로 관리하여 데이터 누수(leakage)를 방지한다. 개인정보 및 고객사 기밀이 포함된 원본은 학습 데이터셋에서 전량 제외하며, 마스킹 처리 여부는 보안팀이 매 데이터셋 버전마다 샘플링 검수한다.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단계</w:t>
            </w:r>
          </w:p>
        </w:tc>
        <w:tc>
          <w:tcPr>
            <w:tcW w:type="dxa" w:w="2160"/>
            <w:shd w:val="clear" w:color="auto" w:fill="1F3864"/>
          </w:tcPr>
          <w:p>
            <w:pPr>
              <w:jc w:val="center"/>
            </w:pPr>
            <w:r>
              <w:rPr>
                <w:rFonts w:ascii="맑은 고딕" w:hAnsi="맑은 고딕" w:eastAsia="맑은 고딕"/>
                <w:b/>
                <w:color w:val="FFFFFF"/>
                <w:sz w:val="20"/>
              </w:rPr>
              <w:t>담당</w:t>
            </w:r>
          </w:p>
        </w:tc>
        <w:tc>
          <w:tcPr>
            <w:tcW w:type="dxa" w:w="2160"/>
            <w:shd w:val="clear" w:color="auto" w:fill="1F3864"/>
          </w:tcPr>
          <w:p>
            <w:pPr>
              <w:jc w:val="center"/>
            </w:pPr>
            <w:r>
              <w:rPr>
                <w:rFonts w:ascii="맑은 고딕" w:hAnsi="맑은 고딕" w:eastAsia="맑은 고딕"/>
                <w:b/>
                <w:color w:val="FFFFFF"/>
                <w:sz w:val="20"/>
              </w:rPr>
              <w:t>주요 작업</w:t>
            </w:r>
          </w:p>
        </w:tc>
        <w:tc>
          <w:tcPr>
            <w:tcW w:type="dxa" w:w="2160"/>
            <w:shd w:val="clear" w:color="auto" w:fill="1F3864"/>
          </w:tcPr>
          <w:p>
            <w:pPr>
              <w:jc w:val="center"/>
            </w:pPr>
            <w:r>
              <w:rPr>
                <w:rFonts w:ascii="맑은 고딕" w:hAnsi="맑은 고딕" w:eastAsia="맑은 고딕"/>
                <w:b/>
                <w:color w:val="FFFFFF"/>
                <w:sz w:val="20"/>
              </w:rPr>
              <w:t>품질 기준</w:t>
            </w:r>
          </w:p>
        </w:tc>
      </w:tr>
      <w:tr>
        <w:tc>
          <w:tcPr>
            <w:tcW w:type="dxa" w:w="2160"/>
          </w:tcPr>
          <w:p>
            <w:r>
              <w:rPr>
                <w:rFonts w:ascii="맑은 고딕" w:hAnsi="맑은 고딕" w:eastAsia="맑은 고딕"/>
                <w:b w:val="0"/>
                <w:sz w:val="20"/>
              </w:rPr>
              <w:t>1. 수집</w:t>
            </w:r>
          </w:p>
        </w:tc>
        <w:tc>
          <w:tcPr>
            <w:tcW w:type="dxa" w:w="2160"/>
          </w:tcPr>
          <w:p>
            <w:r>
              <w:rPr>
                <w:rFonts w:ascii="맑은 고딕" w:hAnsi="맑은 고딕" w:eastAsia="맑은 고딕"/>
                <w:b w:val="0"/>
                <w:sz w:val="20"/>
              </w:rPr>
              <w:t>AI팀 + 백엔드팀</w:t>
            </w:r>
          </w:p>
        </w:tc>
        <w:tc>
          <w:tcPr>
            <w:tcW w:type="dxa" w:w="2160"/>
          </w:tcPr>
          <w:p>
            <w:r>
              <w:rPr>
                <w:rFonts w:ascii="맑은 고딕" w:hAnsi="맑은 고딕" w:eastAsia="맑은 고딕"/>
                <w:b w:val="0"/>
                <w:sz w:val="20"/>
              </w:rPr>
              <w:t>동의 고객사 화이트리스트 기반 Board Service API 배치 추출</w:t>
            </w:r>
          </w:p>
        </w:tc>
        <w:tc>
          <w:tcPr>
            <w:tcW w:type="dxa" w:w="2160"/>
          </w:tcPr>
          <w:p>
            <w:r>
              <w:rPr>
                <w:rFonts w:ascii="맑은 고딕" w:hAnsi="맑은 고딕" w:eastAsia="맑은 고딕"/>
                <w:b w:val="0"/>
                <w:sz w:val="20"/>
              </w:rPr>
              <w:t>동의 미확인 고객사 데이터 0건 혼입</w:t>
            </w:r>
          </w:p>
        </w:tc>
      </w:tr>
      <w:tr>
        <w:tc>
          <w:tcPr>
            <w:tcW w:type="dxa" w:w="2160"/>
            <w:shd w:val="clear" w:color="auto" w:fill="F2F2F2"/>
          </w:tcPr>
          <w:p>
            <w:r>
              <w:rPr>
                <w:rFonts w:ascii="맑은 고딕" w:hAnsi="맑은 고딕" w:eastAsia="맑은 고딕"/>
                <w:b w:val="0"/>
                <w:sz w:val="20"/>
              </w:rPr>
              <w:t>2. 정제</w:t>
            </w:r>
          </w:p>
        </w:tc>
        <w:tc>
          <w:tcPr>
            <w:tcW w:type="dxa" w:w="2160"/>
            <w:shd w:val="clear" w:color="auto" w:fill="F2F2F2"/>
          </w:tcPr>
          <w:p>
            <w:r>
              <w:rPr>
                <w:rFonts w:ascii="맑은 고딕" w:hAnsi="맑은 고딕" w:eastAsia="맑은 고딕"/>
                <w:b w:val="0"/>
                <w:sz w:val="20"/>
              </w:rPr>
              <w:t>AI팀</w:t>
            </w:r>
          </w:p>
        </w:tc>
        <w:tc>
          <w:tcPr>
            <w:tcW w:type="dxa" w:w="2160"/>
            <w:shd w:val="clear" w:color="auto" w:fill="F2F2F2"/>
          </w:tcPr>
          <w:p>
            <w:r>
              <w:rPr>
                <w:rFonts w:ascii="맑은 고딕" w:hAnsi="맑은 고딕" w:eastAsia="맑은 고딕"/>
                <w:b w:val="0"/>
                <w:sz w:val="20"/>
              </w:rPr>
              <w:t>빈 카드/봇 댓글 제거, 중복 스냅샷 통합</w:t>
            </w:r>
          </w:p>
        </w:tc>
        <w:tc>
          <w:tcPr>
            <w:tcW w:type="dxa" w:w="2160"/>
            <w:shd w:val="clear" w:color="auto" w:fill="F2F2F2"/>
          </w:tcPr>
          <w:p>
            <w:r>
              <w:rPr>
                <w:rFonts w:ascii="맑은 고딕" w:hAnsi="맑은 고딕" w:eastAsia="맑은 고딕"/>
                <w:b w:val="0"/>
                <w:sz w:val="20"/>
              </w:rPr>
              <w:t>정제 후 잔여 노이즈 5% 이내</w:t>
            </w:r>
          </w:p>
        </w:tc>
      </w:tr>
      <w:tr>
        <w:tc>
          <w:tcPr>
            <w:tcW w:type="dxa" w:w="2160"/>
          </w:tcPr>
          <w:p>
            <w:r>
              <w:rPr>
                <w:rFonts w:ascii="맑은 고딕" w:hAnsi="맑은 고딕" w:eastAsia="맑은 고딕"/>
                <w:b w:val="0"/>
                <w:sz w:val="20"/>
              </w:rPr>
              <w:t>3. 익명화</w:t>
            </w:r>
          </w:p>
        </w:tc>
        <w:tc>
          <w:tcPr>
            <w:tcW w:type="dxa" w:w="2160"/>
          </w:tcPr>
          <w:p>
            <w:r>
              <w:rPr>
                <w:rFonts w:ascii="맑은 고딕" w:hAnsi="맑은 고딕" w:eastAsia="맑은 고딕"/>
                <w:b w:val="0"/>
                <w:sz w:val="20"/>
              </w:rPr>
              <w:t>AI팀 + 보안팀</w:t>
            </w:r>
          </w:p>
        </w:tc>
        <w:tc>
          <w:tcPr>
            <w:tcW w:type="dxa" w:w="2160"/>
          </w:tcPr>
          <w:p>
            <w:r>
              <w:rPr>
                <w:rFonts w:ascii="맑은 고딕" w:hAnsi="맑은 고딕" w:eastAsia="맑은 고딕"/>
                <w:b w:val="0"/>
                <w:sz w:val="20"/>
              </w:rPr>
              <w:t>정규식 1차 필터 + NER 모델 2차 필터</w:t>
            </w:r>
          </w:p>
        </w:tc>
        <w:tc>
          <w:tcPr>
            <w:tcW w:type="dxa" w:w="2160"/>
          </w:tcPr>
          <w:p>
            <w:r>
              <w:rPr>
                <w:rFonts w:ascii="맑은 고딕" w:hAnsi="맑은 고딕" w:eastAsia="맑은 고딕"/>
                <w:b w:val="0"/>
                <w:sz w:val="20"/>
              </w:rPr>
              <w:t>재현율 97% 이상, 정밀도 95% 이상</w:t>
            </w:r>
          </w:p>
        </w:tc>
      </w:tr>
      <w:tr>
        <w:tc>
          <w:tcPr>
            <w:tcW w:type="dxa" w:w="2160"/>
            <w:shd w:val="clear" w:color="auto" w:fill="F2F2F2"/>
          </w:tcPr>
          <w:p>
            <w:r>
              <w:rPr>
                <w:rFonts w:ascii="맑은 고딕" w:hAnsi="맑은 고딕" w:eastAsia="맑은 고딕"/>
                <w:b w:val="0"/>
                <w:sz w:val="20"/>
              </w:rPr>
              <w:t>4. 라벨링</w:t>
            </w:r>
          </w:p>
        </w:tc>
        <w:tc>
          <w:tcPr>
            <w:tcW w:type="dxa" w:w="2160"/>
            <w:shd w:val="clear" w:color="auto" w:fill="F2F2F2"/>
          </w:tcPr>
          <w:p>
            <w:r>
              <w:rPr>
                <w:rFonts w:ascii="맑은 고딕" w:hAnsi="맑은 고딕" w:eastAsia="맑은 고딕"/>
                <w:b w:val="0"/>
                <w:sz w:val="20"/>
              </w:rPr>
              <w:t>AI팀 3인 + 고객지원팀 2인</w:t>
            </w:r>
          </w:p>
        </w:tc>
        <w:tc>
          <w:tcPr>
            <w:tcW w:type="dxa" w:w="2160"/>
            <w:shd w:val="clear" w:color="auto" w:fill="F2F2F2"/>
          </w:tcPr>
          <w:p>
            <w:r>
              <w:rPr>
                <w:rFonts w:ascii="맑은 고딕" w:hAnsi="맑은 고딕" w:eastAsia="맑은 고딕"/>
                <w:b w:val="0"/>
                <w:sz w:val="20"/>
              </w:rPr>
              <w:t>정답 요약 독립 작성 후 합의 확정</w:t>
            </w:r>
          </w:p>
        </w:tc>
        <w:tc>
          <w:tcPr>
            <w:tcW w:type="dxa" w:w="2160"/>
            <w:shd w:val="clear" w:color="auto" w:fill="F2F2F2"/>
          </w:tcPr>
          <w:p>
            <w:r>
              <w:rPr>
                <w:rFonts w:ascii="맑은 고딕" w:hAnsi="맑은 고딕" w:eastAsia="맑은 고딕"/>
                <w:b w:val="0"/>
                <w:sz w:val="20"/>
              </w:rPr>
              <w:t>라벨러 간 일치도 Kappa 0.8 이상</w:t>
            </w:r>
          </w:p>
        </w:tc>
      </w:tr>
      <w:tr>
        <w:tc>
          <w:tcPr>
            <w:tcW w:type="dxa" w:w="2160"/>
          </w:tcPr>
          <w:p>
            <w:r>
              <w:rPr>
                <w:rFonts w:ascii="맑은 고딕" w:hAnsi="맑은 고딕" w:eastAsia="맑은 고딕"/>
                <w:b w:val="0"/>
                <w:sz w:val="20"/>
              </w:rPr>
              <w:t>5. 검수</w:t>
            </w:r>
          </w:p>
        </w:tc>
        <w:tc>
          <w:tcPr>
            <w:tcW w:type="dxa" w:w="2160"/>
          </w:tcPr>
          <w:p>
            <w:r>
              <w:rPr>
                <w:rFonts w:ascii="맑은 고딕" w:hAnsi="맑은 고딕" w:eastAsia="맑은 고딕"/>
                <w:b w:val="0"/>
                <w:sz w:val="20"/>
              </w:rPr>
              <w:t>보안팀</w:t>
            </w:r>
          </w:p>
        </w:tc>
        <w:tc>
          <w:tcPr>
            <w:tcW w:type="dxa" w:w="2160"/>
          </w:tcPr>
          <w:p>
            <w:r>
              <w:rPr>
                <w:rFonts w:ascii="맑은 고딕" w:hAnsi="맑은 고딕" w:eastAsia="맑은 고딕"/>
                <w:b w:val="0"/>
                <w:sz w:val="20"/>
              </w:rPr>
              <w:t>익명화 결과 10% 샘플 재검수</w:t>
            </w:r>
          </w:p>
        </w:tc>
        <w:tc>
          <w:tcPr>
            <w:tcW w:type="dxa" w:w="2160"/>
          </w:tcPr>
          <w:p>
            <w:r>
              <w:rPr>
                <w:rFonts w:ascii="맑은 고딕" w:hAnsi="맑은 고딕" w:eastAsia="맑은 고딕"/>
                <w:b w:val="0"/>
                <w:sz w:val="20"/>
              </w:rPr>
              <w:t>잔여 개인정보 발견 시 전량 재처리</w:t>
            </w:r>
          </w:p>
        </w:tc>
      </w:tr>
      <w:tr>
        <w:tc>
          <w:tcPr>
            <w:tcW w:type="dxa" w:w="2160"/>
            <w:shd w:val="clear" w:color="auto" w:fill="F2F2F2"/>
          </w:tcPr>
          <w:p>
            <w:r>
              <w:rPr>
                <w:rFonts w:ascii="맑은 고딕" w:hAnsi="맑은 고딕" w:eastAsia="맑은 고딕"/>
                <w:b w:val="0"/>
                <w:sz w:val="20"/>
              </w:rPr>
              <w:t>6. 적재</w:t>
            </w:r>
          </w:p>
        </w:tc>
        <w:tc>
          <w:tcPr>
            <w:tcW w:type="dxa" w:w="2160"/>
            <w:shd w:val="clear" w:color="auto" w:fill="F2F2F2"/>
          </w:tcPr>
          <w:p>
            <w:r>
              <w:rPr>
                <w:rFonts w:ascii="맑은 고딕" w:hAnsi="맑은 고딕" w:eastAsia="맑은 고딕"/>
                <w:b w:val="0"/>
                <w:sz w:val="20"/>
              </w:rPr>
              <w:t>AI팀</w:t>
            </w:r>
          </w:p>
        </w:tc>
        <w:tc>
          <w:tcPr>
            <w:tcW w:type="dxa" w:w="2160"/>
            <w:shd w:val="clear" w:color="auto" w:fill="F2F2F2"/>
          </w:tcPr>
          <w:p>
            <w:r>
              <w:rPr>
                <w:rFonts w:ascii="맑은 고딕" w:hAnsi="맑은 고딕" w:eastAsia="맑은 고딕"/>
                <w:b w:val="0"/>
                <w:sz w:val="20"/>
              </w:rPr>
              <w:t>버전 태그 부여 후 데이터 레이크 적재</w:t>
            </w:r>
          </w:p>
        </w:tc>
        <w:tc>
          <w:tcPr>
            <w:tcW w:type="dxa" w:w="2160"/>
            <w:shd w:val="clear" w:color="auto" w:fill="F2F2F2"/>
          </w:tcPr>
          <w:p>
            <w:r>
              <w:rPr>
                <w:rFonts w:ascii="맑은 고딕" w:hAnsi="맑은 고딕" w:eastAsia="맑은 고딕"/>
                <w:b w:val="0"/>
                <w:sz w:val="20"/>
              </w:rPr>
              <w:t>메타데이터(원천/일시/로그) 100% 기록</w:t>
            </w:r>
          </w:p>
        </w:tc>
      </w:tr>
    </w:tbl>
    <w:p/>
    <w:p>
      <w:r>
        <w:rPr>
          <w:rFonts w:ascii="맑은 고딕" w:hAnsi="맑은 고딕" w:eastAsia="맑은 고딕"/>
          <w:b/>
          <w:color w:val="1F3864"/>
          <w:sz w:val="26"/>
        </w:rPr>
        <w:t>6. 파인튜닝 및 서빙 인프라 상세</w:t>
      </w:r>
    </w:p>
    <w:p>
      <w:pPr>
        <w:spacing w:line="312" w:lineRule="auto" w:after="160"/>
      </w:pPr>
      <w:r>
        <w:rPr>
          <w:rFonts w:ascii="맑은 고딕" w:hAnsi="맑은 고딕" w:eastAsia="맑은 고딕"/>
          <w:b w:val="0"/>
          <w:sz w:val="22"/>
        </w:rPr>
        <w:t>GPU 자원은 기존에 NeoLM 프로젝트(사내 검색 랭킹 모델)를 위해 구축된 온프레미스 GPU 클러스터(A100 80GB 4장)를 1차로 재사용하며, 파인튜닝과 온프레미스 추론 서빙이 자원을 시간대별로 분할 사용하는 스케줄을 적용한다. 파인튜닝 작업은 트래픽이 낮은 매주 화/목요일 야간(00:00~06:00)에 배치로 수행하고, 나머지 시간은 추론 서빙에 전량 할당한다. 2027년 1분기 GA 이후 온프레미스 경로 트래픽 증가가 예상되어 추가 GPU 2장(A100 80GB) 증설을 인프라팀에 사전 요청해 둔 상태이며, 증설 완료 목표는 2026년 12월이다.</w:t>
      </w:r>
    </w:p>
    <w:p>
      <w:pPr>
        <w:spacing w:line="312" w:lineRule="auto" w:after="160"/>
      </w:pPr>
      <w:r>
        <w:rPr>
          <w:rFonts w:ascii="맑은 고딕" w:hAnsi="맑은 고딕" w:eastAsia="맑은 고딕"/>
          <w:b w:val="0"/>
          <w:sz w:val="22"/>
        </w:rPr>
        <w:t>서빙 아키텍처는 상용 API 경로와 온프레미스 경로를 하나의 '요약 라우팅 게이트웨이(Summary Routing Gateway)' 뒤에 통합한다. 게이트웨이는 Board Service로부터 요약 요청을 수신하면 (1) 고객사 보안등급 태그 조회, (2) 보드 크기 및 컨텍스트 길이 산정, (3) 라우팅 정책 적용(3절 하이브리드 구조) 순으로 처리하여 상용 API 클라이언트 또는 온프레미스 추론 서버 중 하나로 요청을 전달한다. 온프레미스 추론 서버는 vLLM 기반으로 구성하여 연속 배치(continuous batching)와 PagedAttention을 활용해 GPU 활용률을 높인다.</w:t>
      </w:r>
    </w:p>
    <w:p>
      <w:pPr>
        <w:spacing w:line="312" w:lineRule="auto" w:after="160"/>
      </w:pPr>
      <w:r>
        <w:rPr>
          <w:rFonts w:ascii="맑은 고딕" w:hAnsi="맑은 고딕" w:eastAsia="맑은 고딕"/>
          <w:b w:val="0"/>
          <w:sz w:val="22"/>
        </w:rPr>
        <w:t>추론 전략은 실시간과 배치 두 가지로 이원화한다. 실시간 추론은 사용자가 UI에서 '요약하기' 버튼을 클릭하는 시점에 동기 호출되며, 목표 응답 지연은 6절 서빙 목표(P95 6초 이내)를 따른다. 배치 추론은 대형 보드(카드 100개 초과)에 대해 사용자가 명시적으로 요청하지 않아도 매일 새벽 시간대에 사전 요약을 생성해 캐싱해 두는 방식으로, 사용자 체감 지연을 사실상 0에 가깝게 낮추는 것을 목표로 한다. 캐시는 원문 변경(카드 추가/수정/삭제) 발생 시 무효화되며, 무효화 이벤트는 Board Service의 변경 이벤트 스트림을 구독하여 처리한다.</w:t>
      </w:r>
    </w:p>
    <w:p>
      <w:pPr>
        <w:spacing w:line="312" w:lineRule="auto" w:after="160"/>
      </w:pPr>
      <w:r>
        <w:rPr>
          <w:rFonts w:ascii="맑은 고딕" w:hAnsi="맑은 고딕" w:eastAsia="맑은 고딕"/>
          <w:b w:val="0"/>
          <w:sz w:val="22"/>
        </w:rPr>
        <w:t>서빙 안정성을 위해 온프레미스 추론 서버는 액티브-스탠바이 이중화 구성을 적용하고, 상용 API 경로는 벤더 API 장애 발생 시 5절 데이터 파이프라인으로 학습된 온프레미스 모델로 자동 폴백하는 Circuit Breaker 로직을 게이트웨이 레벨에 구현한다. 폴백 발생 시 응답 품질 저하 가능성을 사용자에게 알리는 배너를 UI에 노출하도록 프론트팀과 협의 완료하였다. 모니터링은 GPU 사용률, 큐 대기시간, 토큰 처리량(TPS), 요청 실패율을 Grafana 대시보드로 상시 관측하며, 임계치 초과 시 AI팀과 인프라팀에 동시 알림이 발송된다.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구분</w:t>
            </w:r>
          </w:p>
        </w:tc>
        <w:tc>
          <w:tcPr>
            <w:tcW w:type="dxa" w:w="2160"/>
            <w:shd w:val="clear" w:color="auto" w:fill="1F3864"/>
          </w:tcPr>
          <w:p>
            <w:pPr>
              <w:jc w:val="center"/>
            </w:pPr>
            <w:r>
              <w:rPr>
                <w:rFonts w:ascii="맑은 고딕" w:hAnsi="맑은 고딕" w:eastAsia="맑은 고딕"/>
                <w:b/>
                <w:color w:val="FFFFFF"/>
                <w:sz w:val="20"/>
              </w:rPr>
              <w:t>2026 Q4 (베타)</w:t>
            </w:r>
          </w:p>
        </w:tc>
        <w:tc>
          <w:tcPr>
            <w:tcW w:type="dxa" w:w="2160"/>
            <w:shd w:val="clear" w:color="auto" w:fill="1F3864"/>
          </w:tcPr>
          <w:p>
            <w:pPr>
              <w:jc w:val="center"/>
            </w:pPr>
            <w:r>
              <w:rPr>
                <w:rFonts w:ascii="맑은 고딕" w:hAnsi="맑은 고딕" w:eastAsia="맑은 고딕"/>
                <w:b/>
                <w:color w:val="FFFFFF"/>
                <w:sz w:val="20"/>
              </w:rPr>
              <w:t>2027 Q1 (GA)</w:t>
            </w:r>
          </w:p>
        </w:tc>
        <w:tc>
          <w:tcPr>
            <w:tcW w:type="dxa" w:w="2160"/>
            <w:shd w:val="clear" w:color="auto" w:fill="1F3864"/>
          </w:tcPr>
          <w:p>
            <w:pPr>
              <w:jc w:val="center"/>
            </w:pPr>
            <w:r>
              <w:rPr>
                <w:rFonts w:ascii="맑은 고딕" w:hAnsi="맑은 고딕" w:eastAsia="맑은 고딕"/>
                <w:b/>
                <w:color w:val="FFFFFF"/>
                <w:sz w:val="20"/>
              </w:rPr>
              <w:t>2027 Q2 (고도화)</w:t>
            </w:r>
          </w:p>
        </w:tc>
      </w:tr>
      <w:tr>
        <w:tc>
          <w:tcPr>
            <w:tcW w:type="dxa" w:w="2160"/>
          </w:tcPr>
          <w:p>
            <w:r>
              <w:rPr>
                <w:rFonts w:ascii="맑은 고딕" w:hAnsi="맑은 고딕" w:eastAsia="맑은 고딕"/>
                <w:b w:val="0"/>
                <w:sz w:val="20"/>
              </w:rPr>
              <w:t>GPU 보유 대수 (A100 80GB)</w:t>
            </w:r>
          </w:p>
        </w:tc>
        <w:tc>
          <w:tcPr>
            <w:tcW w:type="dxa" w:w="2160"/>
          </w:tcPr>
          <w:p>
            <w:r>
              <w:rPr>
                <w:rFonts w:ascii="맑은 고딕" w:hAnsi="맑은 고딕" w:eastAsia="맑은 고딕"/>
                <w:b w:val="0"/>
                <w:sz w:val="20"/>
              </w:rPr>
              <w:t>4장 (기존 재사용)</w:t>
            </w:r>
          </w:p>
        </w:tc>
        <w:tc>
          <w:tcPr>
            <w:tcW w:type="dxa" w:w="2160"/>
          </w:tcPr>
          <w:p>
            <w:r>
              <w:rPr>
                <w:rFonts w:ascii="맑은 고딕" w:hAnsi="맑은 고딕" w:eastAsia="맑은 고딕"/>
                <w:b w:val="0"/>
                <w:sz w:val="20"/>
              </w:rPr>
              <w:t>6장 (2장 증설)</w:t>
            </w:r>
          </w:p>
        </w:tc>
        <w:tc>
          <w:tcPr>
            <w:tcW w:type="dxa" w:w="2160"/>
          </w:tcPr>
          <w:p>
            <w:r>
              <w:rPr>
                <w:rFonts w:ascii="맑은 고딕" w:hAnsi="맑은 고딕" w:eastAsia="맑은 고딕"/>
                <w:b w:val="0"/>
                <w:sz w:val="20"/>
              </w:rPr>
              <w:t>6장 유지, 활용률 최적화</w:t>
            </w:r>
          </w:p>
        </w:tc>
      </w:tr>
      <w:tr>
        <w:tc>
          <w:tcPr>
            <w:tcW w:type="dxa" w:w="2160"/>
            <w:shd w:val="clear" w:color="auto" w:fill="F2F2F2"/>
          </w:tcPr>
          <w:p>
            <w:r>
              <w:rPr>
                <w:rFonts w:ascii="맑은 고딕" w:hAnsi="맑은 고딕" w:eastAsia="맑은 고딕"/>
                <w:b w:val="0"/>
                <w:sz w:val="20"/>
              </w:rPr>
              <w:t>파인튜닝 전용 시간대</w:t>
            </w:r>
          </w:p>
        </w:tc>
        <w:tc>
          <w:tcPr>
            <w:tcW w:type="dxa" w:w="2160"/>
            <w:shd w:val="clear" w:color="auto" w:fill="F2F2F2"/>
          </w:tcPr>
          <w:p>
            <w:r>
              <w:rPr>
                <w:rFonts w:ascii="맑은 고딕" w:hAnsi="맑은 고딕" w:eastAsia="맑은 고딕"/>
                <w:b w:val="0"/>
                <w:sz w:val="20"/>
              </w:rPr>
              <w:t>주 2회 야간 배치</w:t>
            </w:r>
          </w:p>
        </w:tc>
        <w:tc>
          <w:tcPr>
            <w:tcW w:type="dxa" w:w="2160"/>
            <w:shd w:val="clear" w:color="auto" w:fill="F2F2F2"/>
          </w:tcPr>
          <w:p>
            <w:r>
              <w:rPr>
                <w:rFonts w:ascii="맑은 고딕" w:hAnsi="맑은 고딕" w:eastAsia="맑은 고딕"/>
                <w:b w:val="0"/>
                <w:sz w:val="20"/>
              </w:rPr>
              <w:t>주 2회 야간 배치</w:t>
            </w:r>
          </w:p>
        </w:tc>
        <w:tc>
          <w:tcPr>
            <w:tcW w:type="dxa" w:w="2160"/>
            <w:shd w:val="clear" w:color="auto" w:fill="F2F2F2"/>
          </w:tcPr>
          <w:p>
            <w:r>
              <w:rPr>
                <w:rFonts w:ascii="맑은 고딕" w:hAnsi="맑은 고딕" w:eastAsia="맑은 고딕"/>
                <w:b w:val="0"/>
                <w:sz w:val="20"/>
              </w:rPr>
              <w:t>주 3회 야간 배치 (재학습 빈도 증가)</w:t>
            </w:r>
          </w:p>
        </w:tc>
      </w:tr>
      <w:tr>
        <w:tc>
          <w:tcPr>
            <w:tcW w:type="dxa" w:w="2160"/>
          </w:tcPr>
          <w:p>
            <w:r>
              <w:rPr>
                <w:rFonts w:ascii="맑은 고딕" w:hAnsi="맑은 고딕" w:eastAsia="맑은 고딕"/>
                <w:b w:val="0"/>
                <w:sz w:val="20"/>
              </w:rPr>
              <w:t>온프레미스 동시 처리 용량 (TPS 기준)</w:t>
            </w:r>
          </w:p>
        </w:tc>
        <w:tc>
          <w:tcPr>
            <w:tcW w:type="dxa" w:w="2160"/>
          </w:tcPr>
          <w:p>
            <w:r>
              <w:rPr>
                <w:rFonts w:ascii="맑은 고딕" w:hAnsi="맑은 고딕" w:eastAsia="맑은 고딕"/>
                <w:b w:val="0"/>
                <w:sz w:val="20"/>
              </w:rPr>
              <w:t>약 40 req/min</w:t>
            </w:r>
          </w:p>
        </w:tc>
        <w:tc>
          <w:tcPr>
            <w:tcW w:type="dxa" w:w="2160"/>
          </w:tcPr>
          <w:p>
            <w:r>
              <w:rPr>
                <w:rFonts w:ascii="맑은 고딕" w:hAnsi="맑은 고딕" w:eastAsia="맑은 고딕"/>
                <w:b w:val="0"/>
                <w:sz w:val="20"/>
              </w:rPr>
              <w:t>약 90 req/min</w:t>
            </w:r>
          </w:p>
        </w:tc>
        <w:tc>
          <w:tcPr>
            <w:tcW w:type="dxa" w:w="2160"/>
          </w:tcPr>
          <w:p>
            <w:r>
              <w:rPr>
                <w:rFonts w:ascii="맑은 고딕" w:hAnsi="맑은 고딕" w:eastAsia="맑은 고딕"/>
                <w:b w:val="0"/>
                <w:sz w:val="20"/>
              </w:rPr>
              <w:t>약 120 req/min</w:t>
            </w:r>
          </w:p>
        </w:tc>
      </w:tr>
      <w:tr>
        <w:tc>
          <w:tcPr>
            <w:tcW w:type="dxa" w:w="2160"/>
            <w:shd w:val="clear" w:color="auto" w:fill="F2F2F2"/>
          </w:tcPr>
          <w:p>
            <w:r>
              <w:rPr>
                <w:rFonts w:ascii="맑은 고딕" w:hAnsi="맑은 고딕" w:eastAsia="맑은 고딕"/>
                <w:b w:val="0"/>
                <w:sz w:val="20"/>
              </w:rPr>
              <w:t>이중화 구성</w:t>
            </w:r>
          </w:p>
        </w:tc>
        <w:tc>
          <w:tcPr>
            <w:tcW w:type="dxa" w:w="2160"/>
            <w:shd w:val="clear" w:color="auto" w:fill="F2F2F2"/>
          </w:tcPr>
          <w:p>
            <w:r>
              <w:rPr>
                <w:rFonts w:ascii="맑은 고딕" w:hAnsi="맑은 고딕" w:eastAsia="맑은 고딕"/>
                <w:b w:val="0"/>
                <w:sz w:val="20"/>
              </w:rPr>
              <w:t>단일 인스턴스 (베타 한정)</w:t>
            </w:r>
          </w:p>
        </w:tc>
        <w:tc>
          <w:tcPr>
            <w:tcW w:type="dxa" w:w="2160"/>
            <w:shd w:val="clear" w:color="auto" w:fill="F2F2F2"/>
          </w:tcPr>
          <w:p>
            <w:r>
              <w:rPr>
                <w:rFonts w:ascii="맑은 고딕" w:hAnsi="맑은 고딕" w:eastAsia="맑은 고딕"/>
                <w:b w:val="0"/>
                <w:sz w:val="20"/>
              </w:rPr>
              <w:t>액티브-스탠바이 이중화</w:t>
            </w:r>
          </w:p>
        </w:tc>
        <w:tc>
          <w:tcPr>
            <w:tcW w:type="dxa" w:w="2160"/>
            <w:shd w:val="clear" w:color="auto" w:fill="F2F2F2"/>
          </w:tcPr>
          <w:p>
            <w:r>
              <w:rPr>
                <w:rFonts w:ascii="맑은 고딕" w:hAnsi="맑은 고딕" w:eastAsia="맑은 고딕"/>
                <w:b w:val="0"/>
                <w:sz w:val="20"/>
              </w:rPr>
              <w:t>액티브-스탠바이 + 오토스케일 검토</w:t>
            </w:r>
          </w:p>
        </w:tc>
      </w:tr>
      <w:tr>
        <w:tc>
          <w:tcPr>
            <w:tcW w:type="dxa" w:w="2160"/>
          </w:tcPr>
          <w:p>
            <w:r>
              <w:rPr>
                <w:rFonts w:ascii="맑은 고딕" w:hAnsi="맑은 고딕" w:eastAsia="맑은 고딕"/>
                <w:b w:val="0"/>
                <w:sz w:val="20"/>
              </w:rPr>
              <w:t>예상 GPU 월 상각/운영비</w:t>
            </w:r>
          </w:p>
        </w:tc>
        <w:tc>
          <w:tcPr>
            <w:tcW w:type="dxa" w:w="2160"/>
          </w:tcPr>
          <w:p>
            <w:r>
              <w:rPr>
                <w:rFonts w:ascii="맑은 고딕" w:hAnsi="맑은 고딕" w:eastAsia="맑은 고딕"/>
                <w:b w:val="0"/>
                <w:sz w:val="20"/>
              </w:rPr>
              <w:t>약 480만원</w:t>
            </w:r>
          </w:p>
        </w:tc>
        <w:tc>
          <w:tcPr>
            <w:tcW w:type="dxa" w:w="2160"/>
          </w:tcPr>
          <w:p>
            <w:r>
              <w:rPr>
                <w:rFonts w:ascii="맑은 고딕" w:hAnsi="맑은 고딕" w:eastAsia="맑은 고딕"/>
                <w:b w:val="0"/>
                <w:sz w:val="20"/>
              </w:rPr>
              <w:t>약 720만원</w:t>
            </w:r>
          </w:p>
        </w:tc>
        <w:tc>
          <w:tcPr>
            <w:tcW w:type="dxa" w:w="2160"/>
          </w:tcPr>
          <w:p>
            <w:r>
              <w:rPr>
                <w:rFonts w:ascii="맑은 고딕" w:hAnsi="맑은 고딕" w:eastAsia="맑은 고딕"/>
                <w:b w:val="0"/>
                <w:sz w:val="20"/>
              </w:rPr>
              <w:t>약 720만원</w:t>
            </w:r>
          </w:p>
        </w:tc>
      </w:tr>
    </w:tbl>
    <w:p/>
    <w:p>
      <w:r>
        <w:rPr>
          <w:rFonts w:ascii="맑은 고딕" w:hAnsi="맑은 고딕" w:eastAsia="맑은 고딕"/>
          <w:b/>
          <w:color w:val="1F3864"/>
          <w:sz w:val="26"/>
        </w:rPr>
        <w:t>7. 성능 목표 및 평가 방법론</w:t>
      </w:r>
    </w:p>
    <w:p>
      <w:pPr>
        <w:spacing w:line="312" w:lineRule="auto" w:after="160"/>
      </w:pPr>
      <w:r>
        <w:rPr>
          <w:rFonts w:ascii="맑은 고딕" w:hAnsi="맑은 고딕" w:eastAsia="맑은 고딕"/>
          <w:b w:val="0"/>
          <w:sz w:val="22"/>
        </w:rPr>
        <w:t>성능 목표는 정확도, 지연시간, 비용, 환각률, 형식 준수율, 다국어 품질 6개 지표로 정의하며, '현재'는 2026년 7월 파일럿 결과(선정 모델 D 기준) 실측치, '목표'는 2026년 4분기 베타 출시 시점 달성 기준이다.</w:t>
      </w:r>
    </w:p>
    <w:p>
      <w:pPr>
        <w:spacing w:line="312" w:lineRule="auto" w:after="160"/>
      </w:pPr>
      <w:r>
        <w:rPr>
          <w:rFonts w:ascii="맑은 고딕" w:hAnsi="맑은 고딕" w:eastAsia="맑은 고딕"/>
          <w:b w:val="0"/>
          <w:sz w:val="22"/>
        </w:rPr>
        <w:t>평가용 벤치마크셋은 다음 절차로 구성한다. 첫째, 실제 고객 보드 데이터에서 업종(IT, 제조, 금융, 교육 등) 및 보드 규모(카드 20개 미만/20~100개/100개 초과)를 층화 추출하여 200건을 표본으로 선정하고, 개인정보/기밀 정보는 5절의 익명화 파이프라인을 동일하게 적용한다. 둘째, AI팀 및 고객지원팀 인력 3인이 각 표본에 대해 정답 요약(Gold Standard)을 독립적으로 작성한 뒤 상호 합의를 거쳐 최종 정답셋을 확정한다. 셋째, 모델 출력과 정답셋을 ROUGE-L, BERTScore 자동 지표로 1차 채점하고, 자동 지표만으로 판별이 어려운 사례(하위 30%)는 3인 휴먼 평가로 재채점한다.</w:t>
      </w:r>
    </w:p>
    <w:p>
      <w:pPr>
        <w:spacing w:line="312" w:lineRule="auto" w:after="160"/>
      </w:pPr>
      <w:r>
        <w:rPr>
          <w:rFonts w:ascii="맑은 고딕" w:hAnsi="맑은 고딕" w:eastAsia="맑은 고딕"/>
          <w:b w:val="0"/>
          <w:sz w:val="22"/>
        </w:rPr>
        <w:t>평가는 모델/프롬프트 변경이 있을 때마다 회귀 테스트로 실시하며, 베타 출시 이후에는 매월 1회 정기 평가와 함께 실사용자 대상 A/B 테스트(8절 참조)를 병행하여 사용자 만족도(5점 척도) 및 기능 채택률을 추가로 모니터링한다. 환각률은 근거 카드 ID가 실제 원문 내용과 불일치하거나 원문에 없는 사실을 생성한 비율로 정의하며, 휴먼 평가자가 원문 대조를 통해 판정한다.</w:t>
      </w:r>
    </w:p>
    <w:p>
      <w:pPr>
        <w:spacing w:line="312" w:lineRule="auto" w:after="160"/>
      </w:pPr>
      <w:r>
        <w:rPr>
          <w:rFonts w:ascii="맑은 고딕" w:hAnsi="맑은 고딕" w:eastAsia="맑은 고딕"/>
          <w:b w:val="0"/>
          <w:sz w:val="22"/>
        </w:rPr>
        <w:t>다국어 품질 지표는 10절 다국어 처리 전략에서 별도 구성한 일본어 벤치마크셋(60건)을 기준으로 하며, 한국어 대비 품질 격차(Quality Gap)를 정량 관리한다. 목표는 일본어 ROUGE-L이 한국어 대비 90% 수준 이상을 유지하는 것이다.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지표</w:t>
            </w:r>
          </w:p>
        </w:tc>
        <w:tc>
          <w:tcPr>
            <w:tcW w:type="dxa" w:w="2160"/>
            <w:shd w:val="clear" w:color="auto" w:fill="1F3864"/>
          </w:tcPr>
          <w:p>
            <w:pPr>
              <w:jc w:val="center"/>
            </w:pPr>
            <w:r>
              <w:rPr>
                <w:rFonts w:ascii="맑은 고딕" w:hAnsi="맑은 고딕" w:eastAsia="맑은 고딕"/>
                <w:b/>
                <w:color w:val="FFFFFF"/>
                <w:sz w:val="20"/>
              </w:rPr>
              <w:t>현재 (2026.07 파일럿)</w:t>
            </w:r>
          </w:p>
        </w:tc>
        <w:tc>
          <w:tcPr>
            <w:tcW w:type="dxa" w:w="2160"/>
            <w:shd w:val="clear" w:color="auto" w:fill="1F3864"/>
          </w:tcPr>
          <w:p>
            <w:pPr>
              <w:jc w:val="center"/>
            </w:pPr>
            <w:r>
              <w:rPr>
                <w:rFonts w:ascii="맑은 고딕" w:hAnsi="맑은 고딕" w:eastAsia="맑은 고딕"/>
                <w:b/>
                <w:color w:val="FFFFFF"/>
                <w:sz w:val="20"/>
              </w:rPr>
              <w:t>목표 (2026.Q4 베타)</w:t>
            </w:r>
          </w:p>
        </w:tc>
        <w:tc>
          <w:tcPr>
            <w:tcW w:type="dxa" w:w="2160"/>
            <w:shd w:val="clear" w:color="auto" w:fill="1F3864"/>
          </w:tcPr>
          <w:p>
            <w:pPr>
              <w:jc w:val="center"/>
            </w:pPr>
            <w:r>
              <w:rPr>
                <w:rFonts w:ascii="맑은 고딕" w:hAnsi="맑은 고딕" w:eastAsia="맑은 고딕"/>
                <w:b/>
                <w:color w:val="FFFFFF"/>
                <w:sz w:val="20"/>
              </w:rPr>
              <w:t>목표 (2027.Q1 GA)</w:t>
            </w:r>
          </w:p>
        </w:tc>
      </w:tr>
      <w:tr>
        <w:tc>
          <w:tcPr>
            <w:tcW w:type="dxa" w:w="2160"/>
          </w:tcPr>
          <w:p>
            <w:r>
              <w:rPr>
                <w:rFonts w:ascii="맑은 고딕" w:hAnsi="맑은 고딕" w:eastAsia="맑은 고딕"/>
                <w:b w:val="0"/>
                <w:sz w:val="20"/>
              </w:rPr>
              <w:t>정확도 (ROUGE-L, 한국어)</w:t>
            </w:r>
          </w:p>
        </w:tc>
        <w:tc>
          <w:tcPr>
            <w:tcW w:type="dxa" w:w="2160"/>
          </w:tcPr>
          <w:p>
            <w:r>
              <w:rPr>
                <w:rFonts w:ascii="맑은 고딕" w:hAnsi="맑은 고딕" w:eastAsia="맑은 고딕"/>
                <w:b w:val="0"/>
                <w:sz w:val="20"/>
              </w:rPr>
              <w:t>0.49</w:t>
            </w:r>
          </w:p>
        </w:tc>
        <w:tc>
          <w:tcPr>
            <w:tcW w:type="dxa" w:w="2160"/>
          </w:tcPr>
          <w:p>
            <w:r>
              <w:rPr>
                <w:rFonts w:ascii="맑은 고딕" w:hAnsi="맑은 고딕" w:eastAsia="맑은 고딕"/>
                <w:b w:val="0"/>
                <w:sz w:val="20"/>
              </w:rPr>
              <w:t>0.55 이상</w:t>
            </w:r>
          </w:p>
        </w:tc>
        <w:tc>
          <w:tcPr>
            <w:tcW w:type="dxa" w:w="2160"/>
          </w:tcPr>
          <w:p>
            <w:r>
              <w:rPr>
                <w:rFonts w:ascii="맑은 고딕" w:hAnsi="맑은 고딕" w:eastAsia="맑은 고딕"/>
                <w:b w:val="0"/>
                <w:sz w:val="20"/>
              </w:rPr>
              <w:t>0.58 이상</w:t>
            </w:r>
          </w:p>
        </w:tc>
      </w:tr>
      <w:tr>
        <w:tc>
          <w:tcPr>
            <w:tcW w:type="dxa" w:w="2160"/>
            <w:shd w:val="clear" w:color="auto" w:fill="F2F2F2"/>
          </w:tcPr>
          <w:p>
            <w:r>
              <w:rPr>
                <w:rFonts w:ascii="맑은 고딕" w:hAnsi="맑은 고딕" w:eastAsia="맑은 고딕"/>
                <w:b w:val="0"/>
                <w:sz w:val="20"/>
              </w:rPr>
              <w:t>정확도 (휴먼평가, 5점 척도)</w:t>
            </w:r>
          </w:p>
        </w:tc>
        <w:tc>
          <w:tcPr>
            <w:tcW w:type="dxa" w:w="2160"/>
            <w:shd w:val="clear" w:color="auto" w:fill="F2F2F2"/>
          </w:tcPr>
          <w:p>
            <w:r>
              <w:rPr>
                <w:rFonts w:ascii="맑은 고딕" w:hAnsi="맑은 고딕" w:eastAsia="맑은 고딕"/>
                <w:b w:val="0"/>
                <w:sz w:val="20"/>
              </w:rPr>
              <w:t>4.4점</w:t>
            </w:r>
          </w:p>
        </w:tc>
        <w:tc>
          <w:tcPr>
            <w:tcW w:type="dxa" w:w="2160"/>
            <w:shd w:val="clear" w:color="auto" w:fill="F2F2F2"/>
          </w:tcPr>
          <w:p>
            <w:r>
              <w:rPr>
                <w:rFonts w:ascii="맑은 고딕" w:hAnsi="맑은 고딕" w:eastAsia="맑은 고딕"/>
                <w:b w:val="0"/>
                <w:sz w:val="20"/>
              </w:rPr>
              <w:t>4.5점 이상</w:t>
            </w:r>
          </w:p>
        </w:tc>
        <w:tc>
          <w:tcPr>
            <w:tcW w:type="dxa" w:w="2160"/>
            <w:shd w:val="clear" w:color="auto" w:fill="F2F2F2"/>
          </w:tcPr>
          <w:p>
            <w:r>
              <w:rPr>
                <w:rFonts w:ascii="맑은 고딕" w:hAnsi="맑은 고딕" w:eastAsia="맑은 고딕"/>
                <w:b w:val="0"/>
                <w:sz w:val="20"/>
              </w:rPr>
              <w:t>4.6점 이상</w:t>
            </w:r>
          </w:p>
        </w:tc>
      </w:tr>
      <w:tr>
        <w:tc>
          <w:tcPr>
            <w:tcW w:type="dxa" w:w="2160"/>
          </w:tcPr>
          <w:p>
            <w:r>
              <w:rPr>
                <w:rFonts w:ascii="맑은 고딕" w:hAnsi="맑은 고딕" w:eastAsia="맑은 고딕"/>
                <w:b w:val="0"/>
                <w:sz w:val="20"/>
              </w:rPr>
              <w:t>평균 응답 지연시간</w:t>
            </w:r>
          </w:p>
        </w:tc>
        <w:tc>
          <w:tcPr>
            <w:tcW w:type="dxa" w:w="2160"/>
          </w:tcPr>
          <w:p>
            <w:r>
              <w:rPr>
                <w:rFonts w:ascii="맑은 고딕" w:hAnsi="맑은 고딕" w:eastAsia="맑은 고딕"/>
                <w:b w:val="0"/>
                <w:sz w:val="20"/>
              </w:rPr>
              <w:t>2.4초</w:t>
            </w:r>
          </w:p>
        </w:tc>
        <w:tc>
          <w:tcPr>
            <w:tcW w:type="dxa" w:w="2160"/>
          </w:tcPr>
          <w:p>
            <w:r>
              <w:rPr>
                <w:rFonts w:ascii="맑은 고딕" w:hAnsi="맑은 고딕" w:eastAsia="맑은 고딕"/>
                <w:b w:val="0"/>
                <w:sz w:val="20"/>
              </w:rPr>
              <w:t>6초 이내 (P95 기준)</w:t>
            </w:r>
          </w:p>
        </w:tc>
        <w:tc>
          <w:tcPr>
            <w:tcW w:type="dxa" w:w="2160"/>
          </w:tcPr>
          <w:p>
            <w:r>
              <w:rPr>
                <w:rFonts w:ascii="맑은 고딕" w:hAnsi="맑은 고딕" w:eastAsia="맑은 고딕"/>
                <w:b w:val="0"/>
                <w:sz w:val="20"/>
              </w:rPr>
              <w:t>5초 이내 (P95 기준)</w:t>
            </w:r>
          </w:p>
        </w:tc>
      </w:tr>
      <w:tr>
        <w:tc>
          <w:tcPr>
            <w:tcW w:type="dxa" w:w="2160"/>
            <w:shd w:val="clear" w:color="auto" w:fill="F2F2F2"/>
          </w:tcPr>
          <w:p>
            <w:r>
              <w:rPr>
                <w:rFonts w:ascii="맑은 고딕" w:hAnsi="맑은 고딕" w:eastAsia="맑은 고딕"/>
                <w:b w:val="0"/>
                <w:sz w:val="20"/>
              </w:rPr>
              <w:t>고객사당 월 평균 비용</w:t>
            </w:r>
          </w:p>
        </w:tc>
        <w:tc>
          <w:tcPr>
            <w:tcW w:type="dxa" w:w="2160"/>
            <w:shd w:val="clear" w:color="auto" w:fill="F2F2F2"/>
          </w:tcPr>
          <w:p>
            <w:r>
              <w:rPr>
                <w:rFonts w:ascii="맑은 고딕" w:hAnsi="맑은 고딕" w:eastAsia="맑은 고딕"/>
                <w:b w:val="0"/>
                <w:sz w:val="20"/>
              </w:rPr>
              <w:t>산정 전 (파일럿 단계)</w:t>
            </w:r>
          </w:p>
        </w:tc>
        <w:tc>
          <w:tcPr>
            <w:tcW w:type="dxa" w:w="2160"/>
            <w:shd w:val="clear" w:color="auto" w:fill="F2F2F2"/>
          </w:tcPr>
          <w:p>
            <w:r>
              <w:rPr>
                <w:rFonts w:ascii="맑은 고딕" w:hAnsi="맑은 고딕" w:eastAsia="맑은 고딕"/>
                <w:b w:val="0"/>
                <w:sz w:val="20"/>
              </w:rPr>
              <w:t>고객사당 월 15만원 이내</w:t>
            </w:r>
          </w:p>
        </w:tc>
        <w:tc>
          <w:tcPr>
            <w:tcW w:type="dxa" w:w="2160"/>
            <w:shd w:val="clear" w:color="auto" w:fill="F2F2F2"/>
          </w:tcPr>
          <w:p>
            <w:r>
              <w:rPr>
                <w:rFonts w:ascii="맑은 고딕" w:hAnsi="맑은 고딕" w:eastAsia="맑은 고딕"/>
                <w:b w:val="0"/>
                <w:sz w:val="20"/>
              </w:rPr>
              <w:t>고객사당 월 13만원 이내</w:t>
            </w:r>
          </w:p>
        </w:tc>
      </w:tr>
      <w:tr>
        <w:tc>
          <w:tcPr>
            <w:tcW w:type="dxa" w:w="2160"/>
          </w:tcPr>
          <w:p>
            <w:r>
              <w:rPr>
                <w:rFonts w:ascii="맑은 고딕" w:hAnsi="맑은 고딕" w:eastAsia="맑은 고딕"/>
                <w:b w:val="0"/>
                <w:sz w:val="20"/>
              </w:rPr>
              <w:t>환각률 (근거 불일치 비율)</w:t>
            </w:r>
          </w:p>
        </w:tc>
        <w:tc>
          <w:tcPr>
            <w:tcW w:type="dxa" w:w="2160"/>
          </w:tcPr>
          <w:p>
            <w:r>
              <w:rPr>
                <w:rFonts w:ascii="맑은 고딕" w:hAnsi="맑은 고딕" w:eastAsia="맑은 고딕"/>
                <w:b w:val="0"/>
                <w:sz w:val="20"/>
              </w:rPr>
              <w:t>7.8%</w:t>
            </w:r>
          </w:p>
        </w:tc>
        <w:tc>
          <w:tcPr>
            <w:tcW w:type="dxa" w:w="2160"/>
          </w:tcPr>
          <w:p>
            <w:r>
              <w:rPr>
                <w:rFonts w:ascii="맑은 고딕" w:hAnsi="맑은 고딕" w:eastAsia="맑은 고딕"/>
                <w:b w:val="0"/>
                <w:sz w:val="20"/>
              </w:rPr>
              <w:t>3% 이내</w:t>
            </w:r>
          </w:p>
        </w:tc>
        <w:tc>
          <w:tcPr>
            <w:tcW w:type="dxa" w:w="2160"/>
          </w:tcPr>
          <w:p>
            <w:r>
              <w:rPr>
                <w:rFonts w:ascii="맑은 고딕" w:hAnsi="맑은 고딕" w:eastAsia="맑은 고딕"/>
                <w:b w:val="0"/>
                <w:sz w:val="20"/>
              </w:rPr>
              <w:t>2% 이내</w:t>
            </w:r>
          </w:p>
        </w:tc>
      </w:tr>
      <w:tr>
        <w:tc>
          <w:tcPr>
            <w:tcW w:type="dxa" w:w="2160"/>
            <w:shd w:val="clear" w:color="auto" w:fill="F2F2F2"/>
          </w:tcPr>
          <w:p>
            <w:r>
              <w:rPr>
                <w:rFonts w:ascii="맑은 고딕" w:hAnsi="맑은 고딕" w:eastAsia="맑은 고딕"/>
                <w:b w:val="0"/>
                <w:sz w:val="20"/>
              </w:rPr>
              <w:t>요약 형식 준수율</w:t>
            </w:r>
          </w:p>
        </w:tc>
        <w:tc>
          <w:tcPr>
            <w:tcW w:type="dxa" w:w="2160"/>
            <w:shd w:val="clear" w:color="auto" w:fill="F2F2F2"/>
          </w:tcPr>
          <w:p>
            <w:r>
              <w:rPr>
                <w:rFonts w:ascii="맑은 고딕" w:hAnsi="맑은 고딕" w:eastAsia="맑은 고딕"/>
                <w:b w:val="0"/>
                <w:sz w:val="20"/>
              </w:rPr>
              <w:t>96%</w:t>
            </w:r>
          </w:p>
        </w:tc>
        <w:tc>
          <w:tcPr>
            <w:tcW w:type="dxa" w:w="2160"/>
            <w:shd w:val="clear" w:color="auto" w:fill="F2F2F2"/>
          </w:tcPr>
          <w:p>
            <w:r>
              <w:rPr>
                <w:rFonts w:ascii="맑은 고딕" w:hAnsi="맑은 고딕" w:eastAsia="맑은 고딕"/>
                <w:b w:val="0"/>
                <w:sz w:val="20"/>
              </w:rPr>
              <w:t>99% 이상</w:t>
            </w:r>
          </w:p>
        </w:tc>
        <w:tc>
          <w:tcPr>
            <w:tcW w:type="dxa" w:w="2160"/>
            <w:shd w:val="clear" w:color="auto" w:fill="F2F2F2"/>
          </w:tcPr>
          <w:p>
            <w:r>
              <w:rPr>
                <w:rFonts w:ascii="맑은 고딕" w:hAnsi="맑은 고딕" w:eastAsia="맑은 고딕"/>
                <w:b w:val="0"/>
                <w:sz w:val="20"/>
              </w:rPr>
              <w:t>99.5% 이상</w:t>
            </w:r>
          </w:p>
        </w:tc>
      </w:tr>
      <w:tr>
        <w:tc>
          <w:tcPr>
            <w:tcW w:type="dxa" w:w="2160"/>
          </w:tcPr>
          <w:p>
            <w:r>
              <w:rPr>
                <w:rFonts w:ascii="맑은 고딕" w:hAnsi="맑은 고딕" w:eastAsia="맑은 고딕"/>
                <w:b w:val="0"/>
                <w:sz w:val="20"/>
              </w:rPr>
              <w:t>일본어 ROUGE-L (한국어 대비 비율)</w:t>
            </w:r>
          </w:p>
        </w:tc>
        <w:tc>
          <w:tcPr>
            <w:tcW w:type="dxa" w:w="2160"/>
          </w:tcPr>
          <w:p>
            <w:r>
              <w:rPr>
                <w:rFonts w:ascii="맑은 고딕" w:hAnsi="맑은 고딕" w:eastAsia="맑은 고딕"/>
                <w:b w:val="0"/>
                <w:sz w:val="20"/>
              </w:rPr>
              <w:t>미측정</w:t>
            </w:r>
          </w:p>
        </w:tc>
        <w:tc>
          <w:tcPr>
            <w:tcW w:type="dxa" w:w="2160"/>
          </w:tcPr>
          <w:p>
            <w:r>
              <w:rPr>
                <w:rFonts w:ascii="맑은 고딕" w:hAnsi="맑은 고딕" w:eastAsia="맑은 고딕"/>
                <w:b w:val="0"/>
                <w:sz w:val="20"/>
              </w:rPr>
              <w:t>한국어 대비 85% 이상</w:t>
            </w:r>
          </w:p>
        </w:tc>
        <w:tc>
          <w:tcPr>
            <w:tcW w:type="dxa" w:w="2160"/>
          </w:tcPr>
          <w:p>
            <w:r>
              <w:rPr>
                <w:rFonts w:ascii="맑은 고딕" w:hAnsi="맑은 고딕" w:eastAsia="맑은 고딕"/>
                <w:b w:val="0"/>
                <w:sz w:val="20"/>
              </w:rPr>
              <w:t>한국어 대비 90% 이상</w:t>
            </w:r>
          </w:p>
        </w:tc>
      </w:tr>
    </w:tbl>
    <w:p/>
    <w:p>
      <w:r>
        <w:rPr>
          <w:rFonts w:ascii="맑은 고딕" w:hAnsi="맑은 고딕" w:eastAsia="맑은 고딕"/>
          <w:b/>
          <w:color w:val="1F3864"/>
          <w:sz w:val="26"/>
        </w:rPr>
        <w:t>8. A/B 테스트 및 점진적 롤아웃 계획</w:t>
      </w:r>
    </w:p>
    <w:p>
      <w:pPr>
        <w:spacing w:line="312" w:lineRule="auto" w:after="160"/>
      </w:pPr>
      <w:r>
        <w:rPr>
          <w:rFonts w:ascii="맑은 고딕" w:hAnsi="맑은 고딕" w:eastAsia="맑은 고딕"/>
          <w:b w:val="0"/>
          <w:sz w:val="22"/>
        </w:rPr>
        <w:t>베타 출시 이후 GA까지는 전체 고객사에 일괄 적용하지 않고 4단계 점진적 롤아웃(Progressive Rollout)을 적용한다. 각 단계 전환 여부는 사전에 정의된 성공 지표를 충족하는지 AI팀과 백엔드팀이 공동 검토한 후 CTO 승인을 거쳐 결정하며, 성공 지표 미달 시 즉시 이전 단계로 롤백한다.</w:t>
      </w:r>
    </w:p>
    <w:p>
      <w:pPr>
        <w:spacing w:line="312" w:lineRule="auto" w:after="160"/>
      </w:pPr>
      <w:r>
        <w:rPr>
          <w:rFonts w:ascii="맑은 고딕" w:hAnsi="맑은 고딕" w:eastAsia="맑은 고딕"/>
          <w:b w:val="0"/>
          <w:sz w:val="22"/>
        </w:rPr>
        <w:t>1단계(내부 도그푸딩)는 개발본부 내부 보드(약 30개)에 한해 트래픽 100%를 적용하여 2주간 운영하며, 이 단계의 목적은 치명적 버그와 형식 오류를 조기에 발견하는 것이다. 2단계(클로즈드 베타)는 파일럿 동의 고객사 10곳을 대상으로 트래픽 100%를 적용하되 각 고객사 내에서는 옵트인(opt-in) 사용자에게만 노출한다. 3단계(오픈 베타 A/B)는 전체 고객사의 20%를 무작위 추출하여 신규 요약 기능 노출군(실험군)과 미노출군(대조군)으로 50:50 분할하고, 4단계(전면 확대)는 3단계 성공 지표 충족 시 트래픽을 100%, 60%, 100% 순으로 단계적으로 확대한다.</w:t>
      </w:r>
    </w:p>
    <w:p>
      <w:pPr>
        <w:spacing w:line="312" w:lineRule="auto" w:after="160"/>
      </w:pPr>
      <w:r>
        <w:rPr>
          <w:rFonts w:ascii="맑은 고딕" w:hAnsi="맑은 고딕" w:eastAsia="맑은 고딕"/>
          <w:b w:val="0"/>
          <w:sz w:val="22"/>
        </w:rPr>
        <w:t>성공 지표는 정량 지표와 정성 지표로 구분한다. 정량 지표는 7절의 성능 목표 지표(정확도, 지연시간, 환각률, 비용)를 각 단계에서 재확인하는 것이며, 추가로 기능 채택률(요약 버튼 클릭률), 요약 결과에 대한 '도움됨' 피드백 비율, 그리고 실험군 대비 대조군의 사용자 리텐션(재방문율) 차이를 측정한다. 정성 지표는 고객지원팀을 통해 접수되는 불만/버그 티켓 건수와 심각도를 활용한다.</w:t>
      </w:r>
    </w:p>
    <w:p>
      <w:pPr>
        <w:spacing w:line="312" w:lineRule="auto" w:after="160"/>
      </w:pPr>
      <w:r>
        <w:rPr>
          <w:rFonts w:ascii="맑은 고딕" w:hAnsi="맑은 고딕" w:eastAsia="맑은 고딕"/>
          <w:b w:val="0"/>
          <w:sz w:val="22"/>
        </w:rPr>
        <w:t>롤백 기준은 다음 중 하나라도 해당하면 즉시 이전 단계로 전환하고 원인 분석 후 재시도한다: (1) 환각률이 목표치(3%)의 1.5배를 초과, (2) P95 응답 지연이 목표치(6초)의 1.5배를 초과, (3) 심각도 상(High) 버그 티켓이 24시간 내 5건 이상 접수, (4) 실험군의 리텐션이 대조군 대비 통계적으로 유의하게 낮음(p&lt;0.05), (5) 고객사당 월 비용이 목표치의 130%를 초과. 롤백 결정은 AI팀장이 1차 판단하고 CTO에게 즉시 보고한다.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pPr>
              <w:jc w:val="center"/>
            </w:pPr>
            <w:r>
              <w:rPr>
                <w:rFonts w:ascii="맑은 고딕" w:hAnsi="맑은 고딕" w:eastAsia="맑은 고딕"/>
                <w:b/>
                <w:color w:val="FFFFFF"/>
                <w:sz w:val="20"/>
              </w:rPr>
              <w:t>단계</w:t>
            </w:r>
          </w:p>
        </w:tc>
        <w:tc>
          <w:tcPr>
            <w:tcW w:type="dxa" w:w="1440"/>
            <w:shd w:val="clear" w:color="auto" w:fill="1F3864"/>
          </w:tcPr>
          <w:p>
            <w:pPr>
              <w:jc w:val="center"/>
            </w:pPr>
            <w:r>
              <w:rPr>
                <w:rFonts w:ascii="맑은 고딕" w:hAnsi="맑은 고딕" w:eastAsia="맑은 고딕"/>
                <w:b/>
                <w:color w:val="FFFFFF"/>
                <w:sz w:val="20"/>
              </w:rPr>
              <w:t>대상</w:t>
            </w:r>
          </w:p>
        </w:tc>
        <w:tc>
          <w:tcPr>
            <w:tcW w:type="dxa" w:w="1440"/>
            <w:shd w:val="clear" w:color="auto" w:fill="1F3864"/>
          </w:tcPr>
          <w:p>
            <w:pPr>
              <w:jc w:val="center"/>
            </w:pPr>
            <w:r>
              <w:rPr>
                <w:rFonts w:ascii="맑은 고딕" w:hAnsi="맑은 고딕" w:eastAsia="맑은 고딕"/>
                <w:b/>
                <w:color w:val="FFFFFF"/>
                <w:sz w:val="20"/>
              </w:rPr>
              <w:t>트래픽 비율</w:t>
            </w:r>
          </w:p>
        </w:tc>
        <w:tc>
          <w:tcPr>
            <w:tcW w:type="dxa" w:w="1440"/>
            <w:shd w:val="clear" w:color="auto" w:fill="1F3864"/>
          </w:tcPr>
          <w:p>
            <w:pPr>
              <w:jc w:val="center"/>
            </w:pPr>
            <w:r>
              <w:rPr>
                <w:rFonts w:ascii="맑은 고딕" w:hAnsi="맑은 고딕" w:eastAsia="맑은 고딕"/>
                <w:b/>
                <w:color w:val="FFFFFF"/>
                <w:sz w:val="20"/>
              </w:rPr>
              <w:t>기간</w:t>
            </w:r>
          </w:p>
        </w:tc>
        <w:tc>
          <w:tcPr>
            <w:tcW w:type="dxa" w:w="1440"/>
            <w:shd w:val="clear" w:color="auto" w:fill="1F3864"/>
          </w:tcPr>
          <w:p>
            <w:pPr>
              <w:jc w:val="center"/>
            </w:pPr>
            <w:r>
              <w:rPr>
                <w:rFonts w:ascii="맑은 고딕" w:hAnsi="맑은 고딕" w:eastAsia="맑은 고딕"/>
                <w:b/>
                <w:color w:val="FFFFFF"/>
                <w:sz w:val="20"/>
              </w:rPr>
              <w:t>성공 지표</w:t>
            </w:r>
          </w:p>
        </w:tc>
        <w:tc>
          <w:tcPr>
            <w:tcW w:type="dxa" w:w="1440"/>
            <w:shd w:val="clear" w:color="auto" w:fill="1F3864"/>
          </w:tcPr>
          <w:p>
            <w:pPr>
              <w:jc w:val="center"/>
            </w:pPr>
            <w:r>
              <w:rPr>
                <w:rFonts w:ascii="맑은 고딕" w:hAnsi="맑은 고딕" w:eastAsia="맑은 고딕"/>
                <w:b/>
                <w:color w:val="FFFFFF"/>
                <w:sz w:val="20"/>
              </w:rPr>
              <w:t>다음 단계 전환 조건</w:t>
            </w:r>
          </w:p>
        </w:tc>
      </w:tr>
      <w:tr>
        <w:tc>
          <w:tcPr>
            <w:tcW w:type="dxa" w:w="1440"/>
          </w:tcPr>
          <w:p>
            <w:r>
              <w:rPr>
                <w:rFonts w:ascii="맑은 고딕" w:hAnsi="맑은 고딕" w:eastAsia="맑은 고딕"/>
                <w:b w:val="0"/>
                <w:sz w:val="20"/>
              </w:rPr>
              <w:t>1단계: 내부 도그푸딩</w:t>
            </w:r>
          </w:p>
        </w:tc>
        <w:tc>
          <w:tcPr>
            <w:tcW w:type="dxa" w:w="1440"/>
          </w:tcPr>
          <w:p>
            <w:r>
              <w:rPr>
                <w:rFonts w:ascii="맑은 고딕" w:hAnsi="맑은 고딕" w:eastAsia="맑은 고딕"/>
                <w:b w:val="0"/>
                <w:sz w:val="20"/>
              </w:rPr>
              <w:t>개발본부 내부 보드 (약 30개)</w:t>
            </w:r>
          </w:p>
        </w:tc>
        <w:tc>
          <w:tcPr>
            <w:tcW w:type="dxa" w:w="1440"/>
          </w:tcPr>
          <w:p>
            <w:r>
              <w:rPr>
                <w:rFonts w:ascii="맑은 고딕" w:hAnsi="맑은 고딕" w:eastAsia="맑은 고딕"/>
                <w:b w:val="0"/>
                <w:sz w:val="20"/>
              </w:rPr>
              <w:t>100% (내부 한정)</w:t>
            </w:r>
          </w:p>
        </w:tc>
        <w:tc>
          <w:tcPr>
            <w:tcW w:type="dxa" w:w="1440"/>
          </w:tcPr>
          <w:p>
            <w:r>
              <w:rPr>
                <w:rFonts w:ascii="맑은 고딕" w:hAnsi="맑은 고딕" w:eastAsia="맑은 고딕"/>
                <w:b w:val="0"/>
                <w:sz w:val="20"/>
              </w:rPr>
              <w:t>2주</w:t>
            </w:r>
          </w:p>
        </w:tc>
        <w:tc>
          <w:tcPr>
            <w:tcW w:type="dxa" w:w="1440"/>
          </w:tcPr>
          <w:p>
            <w:r>
              <w:rPr>
                <w:rFonts w:ascii="맑은 고딕" w:hAnsi="맑은 고딕" w:eastAsia="맑은 고딕"/>
                <w:b w:val="0"/>
                <w:sz w:val="20"/>
              </w:rPr>
              <w:t>치명적 버그 0건, 형식 준수율 95% 이상</w:t>
            </w:r>
          </w:p>
        </w:tc>
        <w:tc>
          <w:tcPr>
            <w:tcW w:type="dxa" w:w="1440"/>
          </w:tcPr>
          <w:p>
            <w:r>
              <w:rPr>
                <w:rFonts w:ascii="맑은 고딕" w:hAnsi="맑은 고딕" w:eastAsia="맑은 고딕"/>
                <w:b w:val="0"/>
                <w:sz w:val="20"/>
              </w:rPr>
              <w:t>AI팀+백엔드팀 승인</w:t>
            </w:r>
          </w:p>
        </w:tc>
      </w:tr>
      <w:tr>
        <w:tc>
          <w:tcPr>
            <w:tcW w:type="dxa" w:w="1440"/>
            <w:shd w:val="clear" w:color="auto" w:fill="F2F2F2"/>
          </w:tcPr>
          <w:p>
            <w:r>
              <w:rPr>
                <w:rFonts w:ascii="맑은 고딕" w:hAnsi="맑은 고딕" w:eastAsia="맑은 고딕"/>
                <w:b w:val="0"/>
                <w:sz w:val="20"/>
              </w:rPr>
              <w:t>2단계: 클로즈드 베타</w:t>
            </w:r>
          </w:p>
        </w:tc>
        <w:tc>
          <w:tcPr>
            <w:tcW w:type="dxa" w:w="1440"/>
            <w:shd w:val="clear" w:color="auto" w:fill="F2F2F2"/>
          </w:tcPr>
          <w:p>
            <w:r>
              <w:rPr>
                <w:rFonts w:ascii="맑은 고딕" w:hAnsi="맑은 고딕" w:eastAsia="맑은 고딕"/>
                <w:b w:val="0"/>
                <w:sz w:val="20"/>
              </w:rPr>
              <w:t>파일럿 동의 고객사 10곳 (옵트인)</w:t>
            </w:r>
          </w:p>
        </w:tc>
        <w:tc>
          <w:tcPr>
            <w:tcW w:type="dxa" w:w="1440"/>
            <w:shd w:val="clear" w:color="auto" w:fill="F2F2F2"/>
          </w:tcPr>
          <w:p>
            <w:r>
              <w:rPr>
                <w:rFonts w:ascii="맑은 고딕" w:hAnsi="맑은 고딕" w:eastAsia="맑은 고딕"/>
                <w:b w:val="0"/>
                <w:sz w:val="20"/>
              </w:rPr>
              <w:t>100% (대상 고객사 내)</w:t>
            </w:r>
          </w:p>
        </w:tc>
        <w:tc>
          <w:tcPr>
            <w:tcW w:type="dxa" w:w="1440"/>
            <w:shd w:val="clear" w:color="auto" w:fill="F2F2F2"/>
          </w:tcPr>
          <w:p>
            <w:r>
              <w:rPr>
                <w:rFonts w:ascii="맑은 고딕" w:hAnsi="맑은 고딕" w:eastAsia="맑은 고딕"/>
                <w:b w:val="0"/>
                <w:sz w:val="20"/>
              </w:rPr>
              <w:t>4주</w:t>
            </w:r>
          </w:p>
        </w:tc>
        <w:tc>
          <w:tcPr>
            <w:tcW w:type="dxa" w:w="1440"/>
            <w:shd w:val="clear" w:color="auto" w:fill="F2F2F2"/>
          </w:tcPr>
          <w:p>
            <w:r>
              <w:rPr>
                <w:rFonts w:ascii="맑은 고딕" w:hAnsi="맑은 고딕" w:eastAsia="맑은 고딕"/>
                <w:b w:val="0"/>
                <w:sz w:val="20"/>
              </w:rPr>
              <w:t>환각률 5% 이내, 사용자 만족도 4.0점 이상</w:t>
            </w:r>
          </w:p>
        </w:tc>
        <w:tc>
          <w:tcPr>
            <w:tcW w:type="dxa" w:w="1440"/>
            <w:shd w:val="clear" w:color="auto" w:fill="F2F2F2"/>
          </w:tcPr>
          <w:p>
            <w:r>
              <w:rPr>
                <w:rFonts w:ascii="맑은 고딕" w:hAnsi="맑은 고딕" w:eastAsia="맑은 고딕"/>
                <w:b w:val="0"/>
                <w:sz w:val="20"/>
              </w:rPr>
              <w:t>CTO 승인</w:t>
            </w:r>
          </w:p>
        </w:tc>
      </w:tr>
      <w:tr>
        <w:tc>
          <w:tcPr>
            <w:tcW w:type="dxa" w:w="1440"/>
          </w:tcPr>
          <w:p>
            <w:r>
              <w:rPr>
                <w:rFonts w:ascii="맑은 고딕" w:hAnsi="맑은 고딕" w:eastAsia="맑은 고딕"/>
                <w:b w:val="0"/>
                <w:sz w:val="20"/>
              </w:rPr>
              <w:t>3단계: 오픈 베타 A/B</w:t>
            </w:r>
          </w:p>
        </w:tc>
        <w:tc>
          <w:tcPr>
            <w:tcW w:type="dxa" w:w="1440"/>
          </w:tcPr>
          <w:p>
            <w:r>
              <w:rPr>
                <w:rFonts w:ascii="맑은 고딕" w:hAnsi="맑은 고딕" w:eastAsia="맑은 고딕"/>
                <w:b w:val="0"/>
                <w:sz w:val="20"/>
              </w:rPr>
              <w:t>전체 고객사 20% 무작위 추출</w:t>
            </w:r>
          </w:p>
        </w:tc>
        <w:tc>
          <w:tcPr>
            <w:tcW w:type="dxa" w:w="1440"/>
          </w:tcPr>
          <w:p>
            <w:r>
              <w:rPr>
                <w:rFonts w:ascii="맑은 고딕" w:hAnsi="맑은 고딕" w:eastAsia="맑은 고딕"/>
                <w:b w:val="0"/>
                <w:sz w:val="20"/>
              </w:rPr>
              <w:t>실험군 50% / 대조군 50%</w:t>
            </w:r>
          </w:p>
        </w:tc>
        <w:tc>
          <w:tcPr>
            <w:tcW w:type="dxa" w:w="1440"/>
          </w:tcPr>
          <w:p>
            <w:r>
              <w:rPr>
                <w:rFonts w:ascii="맑은 고딕" w:hAnsi="맑은 고딕" w:eastAsia="맑은 고딕"/>
                <w:b w:val="0"/>
                <w:sz w:val="20"/>
              </w:rPr>
              <w:t>6주</w:t>
            </w:r>
          </w:p>
        </w:tc>
        <w:tc>
          <w:tcPr>
            <w:tcW w:type="dxa" w:w="1440"/>
          </w:tcPr>
          <w:p>
            <w:r>
              <w:rPr>
                <w:rFonts w:ascii="맑은 고딕" w:hAnsi="맑은 고딕" w:eastAsia="맑은 고딕"/>
                <w:b w:val="0"/>
                <w:sz w:val="20"/>
              </w:rPr>
              <w:t>7절 목표 지표 충족 + 리텐션 유의한 개선</w:t>
            </w:r>
          </w:p>
        </w:tc>
        <w:tc>
          <w:tcPr>
            <w:tcW w:type="dxa" w:w="1440"/>
          </w:tcPr>
          <w:p>
            <w:r>
              <w:rPr>
                <w:rFonts w:ascii="맑은 고딕" w:hAnsi="맑은 고딕" w:eastAsia="맑은 고딕"/>
                <w:b w:val="0"/>
                <w:sz w:val="20"/>
              </w:rPr>
              <w:t>CTO 승인 + 정량지표 전량 충족</w:t>
            </w:r>
          </w:p>
        </w:tc>
      </w:tr>
      <w:tr>
        <w:tc>
          <w:tcPr>
            <w:tcW w:type="dxa" w:w="1440"/>
            <w:shd w:val="clear" w:color="auto" w:fill="F2F2F2"/>
          </w:tcPr>
          <w:p>
            <w:r>
              <w:rPr>
                <w:rFonts w:ascii="맑은 고딕" w:hAnsi="맑은 고딕" w:eastAsia="맑은 고딕"/>
                <w:b w:val="0"/>
                <w:sz w:val="20"/>
              </w:rPr>
              <w:t>4단계: 전면 확대 1차</w:t>
            </w:r>
          </w:p>
        </w:tc>
        <w:tc>
          <w:tcPr>
            <w:tcW w:type="dxa" w:w="1440"/>
            <w:shd w:val="clear" w:color="auto" w:fill="F2F2F2"/>
          </w:tcPr>
          <w:p>
            <w:r>
              <w:rPr>
                <w:rFonts w:ascii="맑은 고딕" w:hAnsi="맑은 고딕" w:eastAsia="맑은 고딕"/>
                <w:b w:val="0"/>
                <w:sz w:val="20"/>
              </w:rPr>
              <w:t>전체 고객사</w:t>
            </w:r>
          </w:p>
        </w:tc>
        <w:tc>
          <w:tcPr>
            <w:tcW w:type="dxa" w:w="1440"/>
            <w:shd w:val="clear" w:color="auto" w:fill="F2F2F2"/>
          </w:tcPr>
          <w:p>
            <w:r>
              <w:rPr>
                <w:rFonts w:ascii="맑은 고딕" w:hAnsi="맑은 고딕" w:eastAsia="맑은 고딕"/>
                <w:b w:val="0"/>
                <w:sz w:val="20"/>
              </w:rPr>
              <w:t>60%</w:t>
            </w:r>
          </w:p>
        </w:tc>
        <w:tc>
          <w:tcPr>
            <w:tcW w:type="dxa" w:w="1440"/>
            <w:shd w:val="clear" w:color="auto" w:fill="F2F2F2"/>
          </w:tcPr>
          <w:p>
            <w:r>
              <w:rPr>
                <w:rFonts w:ascii="맑은 고딕" w:hAnsi="맑은 고딕" w:eastAsia="맑은 고딕"/>
                <w:b w:val="0"/>
                <w:sz w:val="20"/>
              </w:rPr>
              <w:t>3주</w:t>
            </w:r>
          </w:p>
        </w:tc>
        <w:tc>
          <w:tcPr>
            <w:tcW w:type="dxa" w:w="1440"/>
            <w:shd w:val="clear" w:color="auto" w:fill="F2F2F2"/>
          </w:tcPr>
          <w:p>
            <w:r>
              <w:rPr>
                <w:rFonts w:ascii="맑은 고딕" w:hAnsi="맑은 고딕" w:eastAsia="맑은 고딕"/>
                <w:b w:val="0"/>
                <w:sz w:val="20"/>
              </w:rPr>
              <w:t>3단계 지표 유지, 비용 목표치 이내</w:t>
            </w:r>
          </w:p>
        </w:tc>
        <w:tc>
          <w:tcPr>
            <w:tcW w:type="dxa" w:w="1440"/>
            <w:shd w:val="clear" w:color="auto" w:fill="F2F2F2"/>
          </w:tcPr>
          <w:p>
            <w:r>
              <w:rPr>
                <w:rFonts w:ascii="맑은 고딕" w:hAnsi="맑은 고딕" w:eastAsia="맑은 고딕"/>
                <w:b w:val="0"/>
                <w:sz w:val="20"/>
              </w:rPr>
              <w:t>지표 유지 확인 시 자동 진행</w:t>
            </w:r>
          </w:p>
        </w:tc>
      </w:tr>
      <w:tr>
        <w:tc>
          <w:tcPr>
            <w:tcW w:type="dxa" w:w="1440"/>
          </w:tcPr>
          <w:p>
            <w:r>
              <w:rPr>
                <w:rFonts w:ascii="맑은 고딕" w:hAnsi="맑은 고딕" w:eastAsia="맑은 고딕"/>
                <w:b w:val="0"/>
                <w:sz w:val="20"/>
              </w:rPr>
              <w:t>4단계: 전면 확대 2차 (GA)</w:t>
            </w:r>
          </w:p>
        </w:tc>
        <w:tc>
          <w:tcPr>
            <w:tcW w:type="dxa" w:w="1440"/>
          </w:tcPr>
          <w:p>
            <w:r>
              <w:rPr>
                <w:rFonts w:ascii="맑은 고딕" w:hAnsi="맑은 고딕" w:eastAsia="맑은 고딕"/>
                <w:b w:val="0"/>
                <w:sz w:val="20"/>
              </w:rPr>
              <w:t>전체 고객사</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GA 시점부터 상시</w:t>
            </w:r>
          </w:p>
        </w:tc>
        <w:tc>
          <w:tcPr>
            <w:tcW w:type="dxa" w:w="1440"/>
          </w:tcPr>
          <w:p>
            <w:r>
              <w:rPr>
                <w:rFonts w:ascii="맑은 고딕" w:hAnsi="맑은 고딕" w:eastAsia="맑은 고딕"/>
                <w:b w:val="0"/>
                <w:sz w:val="20"/>
              </w:rPr>
              <w:t>전체 목표 지표 상시 충족</w:t>
            </w:r>
          </w:p>
        </w:tc>
        <w:tc>
          <w:tcPr>
            <w:tcW w:type="dxa" w:w="1440"/>
          </w:tcPr>
          <w:p>
            <w:r>
              <w:rPr>
                <w:rFonts w:ascii="맑은 고딕" w:hAnsi="맑은 고딕" w:eastAsia="맑은 고딕"/>
                <w:b w:val="0"/>
                <w:sz w:val="20"/>
              </w:rPr>
              <w:t>해당 없음 (정식 GA)</w:t>
            </w:r>
          </w:p>
        </w:tc>
      </w:tr>
    </w:tbl>
    <w:p/>
    <w:p>
      <w:r>
        <w:rPr>
          <w:rFonts w:ascii="맑은 고딕" w:hAnsi="맑은 고딕" w:eastAsia="맑은 고딕"/>
          <w:b/>
          <w:color w:val="1F3864"/>
          <w:sz w:val="26"/>
        </w:rPr>
        <w:t>9. 비용 상세 분석</w:t>
      </w:r>
    </w:p>
    <w:p>
      <w:pPr>
        <w:spacing w:line="312" w:lineRule="auto" w:after="160"/>
      </w:pPr>
      <w:r>
        <w:rPr>
          <w:rFonts w:ascii="맑은 고딕" w:hAnsi="맑은 고딕" w:eastAsia="맑은 고딕"/>
          <w:b w:val="0"/>
          <w:sz w:val="22"/>
        </w:rPr>
        <w:t>비용은 크게 추론 비용(상용 API 사용료 + 온프레미스 GPU 상각/운영비)과 학습 비용(파인튜닝 GPU 시간, 데이터 라벨링 인건비)으로 구분한다. 상용 API 경로(후보 D)의 월간 추론 비용은 고객사당 평균 요약 요청 건수(파일럿 실측 월 210건/고객사 가정)와 2절 표1의 1,000건당 비용(약 41만원)을 기준으로 산정하며, 온프레미스 경로(후보 A)는 6절의 GPU 상각/운영비를 해당 경로 처리 비중(전체 트래픽의 약 25% 가정, 금융권 등 온프레미스 요건 고객사 비중 기준)으로 배분하여 산정한다.</w:t>
      </w:r>
    </w:p>
    <w:p>
      <w:pPr>
        <w:spacing w:line="312" w:lineRule="auto" w:after="160"/>
      </w:pPr>
      <w:r>
        <w:rPr>
          <w:rFonts w:ascii="맑은 고딕" w:hAnsi="맑은 고딕" w:eastAsia="맑은 고딕"/>
          <w:b w:val="0"/>
          <w:sz w:val="22"/>
        </w:rPr>
        <w:t>학습 비용은 분기 1회 정기 재학습 기준으로, LoRA 파인튜닝 1회당 GPU 사용 시간(A100 4장 기준 약 18시간)의 상각 비용과, 5절 데이터 파이프라인의 라벨링 인건비(라벨러 5인 × 월 0.2 FTE 환산)를 합산한다. 재학습 트리거(피드백 500건 초과)로 인한 추가 재학습이 분기당 최대 1회 추가 발생할 수 있다고 가정하여 예비비를 반영하였다.</w:t>
      </w:r>
    </w:p>
    <w:p>
      <w:pPr>
        <w:spacing w:line="312" w:lineRule="auto" w:after="160"/>
      </w:pPr>
      <w:r>
        <w:rPr>
          <w:rFonts w:ascii="맑은 고딕" w:hAnsi="맑은 고딕" w:eastAsia="맑은 고딕"/>
          <w:b w:val="0"/>
          <w:sz w:val="22"/>
        </w:rPr>
        <w:t>ROI 분석은 두 가지 관점에서 수행하였다. 첫째, 영업 관점에서 2026년 상반기 기준 AI 요약 기능 부재로 실패한 영업 기회 3건(연환산 계약 규모 합계 약 2.4억원 추정)을 근거로, 기능 출시 시 해당 세그먼트 수주 전환율을 30%로 보수적으로 가정하면 연간 약 7,200만원의 매출 방어 효과가 기대된다. 둘째, 고객 유지 관점에서 요약 기능이 활성 사용자 리텐션을 개선할 경우(파일럿 관찰치 기준 리텐션 +4%p 가정) 기존 MAU 4.1만 명 규모에서 이탈 방지로 인한 구독 매출 방어 효과가 연간 약 9,800만원으로 추정된다. 두 효과를 합산하면 연간 기대 효과는 약 1.7억원 수준으로, 표4의 연간 총 운영비용(약 1.1억원 추정)을 상회하여 투자 타당성이 있는 것으로 판단된다.</w:t>
      </w:r>
    </w:p>
    <w:p>
      <w:pPr>
        <w:spacing w:line="312" w:lineRule="auto" w:after="160"/>
      </w:pPr>
      <w:r>
        <w:rPr>
          <w:rFonts w:ascii="맑은 고딕" w:hAnsi="맑은 고딕" w:eastAsia="맑은 고딕"/>
          <w:b w:val="0"/>
          <w:sz w:val="22"/>
        </w:rPr>
        <w:t>비용 통제 장치로는 6절 리스크 대응에서 다룬 고객사별 월 요약 요청 횟수 소프트 캡, 캡 초과 시 저비용 경로(온프레미스) 자동 폴백, 그리고 월별 실사용 비용 대시보드 모니터링을 적용한다. 아울러 8절 점진적 롤아웃 과정에서 각 단계별 실측 비용을 검증하여 표4의 추정치를 매 분기 갱신할 계획이다.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비용 항목</w:t>
            </w:r>
          </w:p>
        </w:tc>
        <w:tc>
          <w:tcPr>
            <w:tcW w:type="dxa" w:w="2160"/>
            <w:shd w:val="clear" w:color="auto" w:fill="1F3864"/>
          </w:tcPr>
          <w:p>
            <w:pPr>
              <w:jc w:val="center"/>
            </w:pPr>
            <w:r>
              <w:rPr>
                <w:rFonts w:ascii="맑은 고딕" w:hAnsi="맑은 고딕" w:eastAsia="맑은 고딕"/>
                <w:b/>
                <w:color w:val="FFFFFF"/>
                <w:sz w:val="20"/>
              </w:rPr>
              <w:t>산정 기준</w:t>
            </w:r>
          </w:p>
        </w:tc>
        <w:tc>
          <w:tcPr>
            <w:tcW w:type="dxa" w:w="2160"/>
            <w:shd w:val="clear" w:color="auto" w:fill="1F3864"/>
          </w:tcPr>
          <w:p>
            <w:pPr>
              <w:jc w:val="center"/>
            </w:pPr>
            <w:r>
              <w:rPr>
                <w:rFonts w:ascii="맑은 고딕" w:hAnsi="맑은 고딕" w:eastAsia="맑은 고딕"/>
                <w:b/>
                <w:color w:val="FFFFFF"/>
                <w:sz w:val="20"/>
              </w:rPr>
              <w:t>월간 추정액</w:t>
            </w:r>
          </w:p>
        </w:tc>
        <w:tc>
          <w:tcPr>
            <w:tcW w:type="dxa" w:w="2160"/>
            <w:shd w:val="clear" w:color="auto" w:fill="1F3864"/>
          </w:tcPr>
          <w:p>
            <w:pPr>
              <w:jc w:val="center"/>
            </w:pPr>
            <w:r>
              <w:rPr>
                <w:rFonts w:ascii="맑은 고딕" w:hAnsi="맑은 고딕" w:eastAsia="맑은 고딕"/>
                <w:b/>
                <w:color w:val="FFFFFF"/>
                <w:sz w:val="20"/>
              </w:rPr>
              <w:t>비고</w:t>
            </w:r>
          </w:p>
        </w:tc>
      </w:tr>
      <w:tr>
        <w:tc>
          <w:tcPr>
            <w:tcW w:type="dxa" w:w="2160"/>
          </w:tcPr>
          <w:p>
            <w:r>
              <w:rPr>
                <w:rFonts w:ascii="맑은 고딕" w:hAnsi="맑은 고딕" w:eastAsia="맑은 고딕"/>
                <w:b w:val="0"/>
                <w:sz w:val="20"/>
              </w:rPr>
              <w:t>상용 API 추론 비용 (후보 D, 트래픽 75%)</w:t>
            </w:r>
          </w:p>
        </w:tc>
        <w:tc>
          <w:tcPr>
            <w:tcW w:type="dxa" w:w="2160"/>
          </w:tcPr>
          <w:p>
            <w:r>
              <w:rPr>
                <w:rFonts w:ascii="맑은 고딕" w:hAnsi="맑은 고딕" w:eastAsia="맑은 고딕"/>
                <w:b w:val="0"/>
                <w:sz w:val="20"/>
              </w:rPr>
              <w:t>고객사 320개 × 월 210건 × 75% × 410원/건</w:t>
            </w:r>
          </w:p>
        </w:tc>
        <w:tc>
          <w:tcPr>
            <w:tcW w:type="dxa" w:w="2160"/>
          </w:tcPr>
          <w:p>
            <w:r>
              <w:rPr>
                <w:rFonts w:ascii="맑은 고딕" w:hAnsi="맑은 고딕" w:eastAsia="맑은 고딕"/>
                <w:b w:val="0"/>
                <w:sz w:val="20"/>
              </w:rPr>
              <w:t>약 2,065만원</w:t>
            </w:r>
          </w:p>
        </w:tc>
        <w:tc>
          <w:tcPr>
            <w:tcW w:type="dxa" w:w="2160"/>
          </w:tcPr>
          <w:p>
            <w:r>
              <w:rPr>
                <w:rFonts w:ascii="맑은 고딕" w:hAnsi="맑은 고딕" w:eastAsia="맑은 고딕"/>
                <w:b w:val="0"/>
                <w:sz w:val="20"/>
              </w:rPr>
              <w:t>고객사 수 증가 시 선형 증가</w:t>
            </w:r>
          </w:p>
        </w:tc>
      </w:tr>
      <w:tr>
        <w:tc>
          <w:tcPr>
            <w:tcW w:type="dxa" w:w="2160"/>
            <w:shd w:val="clear" w:color="auto" w:fill="F2F2F2"/>
          </w:tcPr>
          <w:p>
            <w:r>
              <w:rPr>
                <w:rFonts w:ascii="맑은 고딕" w:hAnsi="맑은 고딕" w:eastAsia="맑은 고딕"/>
                <w:b w:val="0"/>
                <w:sz w:val="20"/>
              </w:rPr>
              <w:t>온프레미스 GPU 상각/운영비 (후보 A, 트래픽 25%)</w:t>
            </w:r>
          </w:p>
        </w:tc>
        <w:tc>
          <w:tcPr>
            <w:tcW w:type="dxa" w:w="2160"/>
            <w:shd w:val="clear" w:color="auto" w:fill="F2F2F2"/>
          </w:tcPr>
          <w:p>
            <w:r>
              <w:rPr>
                <w:rFonts w:ascii="맑은 고딕" w:hAnsi="맑은 고딕" w:eastAsia="맑은 고딕"/>
                <w:b w:val="0"/>
                <w:sz w:val="20"/>
              </w:rPr>
              <w:t>6절 GPU 월 운영비 (Q4 기준 480만원)</w:t>
            </w:r>
          </w:p>
        </w:tc>
        <w:tc>
          <w:tcPr>
            <w:tcW w:type="dxa" w:w="2160"/>
            <w:shd w:val="clear" w:color="auto" w:fill="F2F2F2"/>
          </w:tcPr>
          <w:p>
            <w:r>
              <w:rPr>
                <w:rFonts w:ascii="맑은 고딕" w:hAnsi="맑은 고딕" w:eastAsia="맑은 고딕"/>
                <w:b w:val="0"/>
                <w:sz w:val="20"/>
              </w:rPr>
              <w:t>약 480만원</w:t>
            </w:r>
          </w:p>
        </w:tc>
        <w:tc>
          <w:tcPr>
            <w:tcW w:type="dxa" w:w="2160"/>
            <w:shd w:val="clear" w:color="auto" w:fill="F2F2F2"/>
          </w:tcPr>
          <w:p>
            <w:r>
              <w:rPr>
                <w:rFonts w:ascii="맑은 고딕" w:hAnsi="맑은 고딕" w:eastAsia="맑은 고딕"/>
                <w:b w:val="0"/>
                <w:sz w:val="20"/>
              </w:rPr>
              <w:t>GPU 증설(2027 Q1) 후 720만원으로 조정</w:t>
            </w:r>
          </w:p>
        </w:tc>
      </w:tr>
      <w:tr>
        <w:tc>
          <w:tcPr>
            <w:tcW w:type="dxa" w:w="2160"/>
          </w:tcPr>
          <w:p>
            <w:r>
              <w:rPr>
                <w:rFonts w:ascii="맑은 고딕" w:hAnsi="맑은 고딕" w:eastAsia="맑은 고딕"/>
                <w:b w:val="0"/>
                <w:sz w:val="20"/>
              </w:rPr>
              <w:t>파인튜닝 학습 비용 (분기 환산 월할)</w:t>
            </w:r>
          </w:p>
        </w:tc>
        <w:tc>
          <w:tcPr>
            <w:tcW w:type="dxa" w:w="2160"/>
          </w:tcPr>
          <w:p>
            <w:r>
              <w:rPr>
                <w:rFonts w:ascii="맑은 고딕" w:hAnsi="맑은 고딕" w:eastAsia="맑은 고딕"/>
                <w:b w:val="0"/>
                <w:sz w:val="20"/>
              </w:rPr>
              <w:t>GPU 18시간/분기 상각 + 예비 재학습 1회</w:t>
            </w:r>
          </w:p>
        </w:tc>
        <w:tc>
          <w:tcPr>
            <w:tcW w:type="dxa" w:w="2160"/>
          </w:tcPr>
          <w:p>
            <w:r>
              <w:rPr>
                <w:rFonts w:ascii="맑은 고딕" w:hAnsi="맑은 고딕" w:eastAsia="맑은 고딕"/>
                <w:b w:val="0"/>
                <w:sz w:val="20"/>
              </w:rPr>
              <w:t>약 35만원</w:t>
            </w:r>
          </w:p>
        </w:tc>
        <w:tc>
          <w:tcPr>
            <w:tcW w:type="dxa" w:w="2160"/>
          </w:tcPr>
          <w:p>
            <w:r>
              <w:rPr>
                <w:rFonts w:ascii="맑은 고딕" w:hAnsi="맑은 고딕" w:eastAsia="맑은 고딕"/>
                <w:b w:val="0"/>
                <w:sz w:val="20"/>
              </w:rPr>
              <w:t>분기 1회 기준 월할 계산</w:t>
            </w:r>
          </w:p>
        </w:tc>
      </w:tr>
      <w:tr>
        <w:tc>
          <w:tcPr>
            <w:tcW w:type="dxa" w:w="2160"/>
            <w:shd w:val="clear" w:color="auto" w:fill="F2F2F2"/>
          </w:tcPr>
          <w:p>
            <w:r>
              <w:rPr>
                <w:rFonts w:ascii="맑은 고딕" w:hAnsi="맑은 고딕" w:eastAsia="맑은 고딕"/>
                <w:b w:val="0"/>
                <w:sz w:val="20"/>
              </w:rPr>
              <w:t>데이터 라벨링 인건비</w:t>
            </w:r>
          </w:p>
        </w:tc>
        <w:tc>
          <w:tcPr>
            <w:tcW w:type="dxa" w:w="2160"/>
            <w:shd w:val="clear" w:color="auto" w:fill="F2F2F2"/>
          </w:tcPr>
          <w:p>
            <w:r>
              <w:rPr>
                <w:rFonts w:ascii="맑은 고딕" w:hAnsi="맑은 고딕" w:eastAsia="맑은 고딕"/>
                <w:b w:val="0"/>
                <w:sz w:val="20"/>
              </w:rPr>
              <w:t>라벨러 5인 × 0.2 FTE × 월 인건비 환산</w:t>
            </w:r>
          </w:p>
        </w:tc>
        <w:tc>
          <w:tcPr>
            <w:tcW w:type="dxa" w:w="2160"/>
            <w:shd w:val="clear" w:color="auto" w:fill="F2F2F2"/>
          </w:tcPr>
          <w:p>
            <w:r>
              <w:rPr>
                <w:rFonts w:ascii="맑은 고딕" w:hAnsi="맑은 고딕" w:eastAsia="맑은 고딕"/>
                <w:b w:val="0"/>
                <w:sz w:val="20"/>
              </w:rPr>
              <w:t>약 220만원</w:t>
            </w:r>
          </w:p>
        </w:tc>
        <w:tc>
          <w:tcPr>
            <w:tcW w:type="dxa" w:w="2160"/>
            <w:shd w:val="clear" w:color="auto" w:fill="F2F2F2"/>
          </w:tcPr>
          <w:p>
            <w:r>
              <w:rPr>
                <w:rFonts w:ascii="맑은 고딕" w:hAnsi="맑은 고딕" w:eastAsia="맑은 고딕"/>
                <w:b w:val="0"/>
                <w:sz w:val="20"/>
              </w:rPr>
              <w:t>5절 라벨링 단계 인력</w:t>
            </w:r>
          </w:p>
        </w:tc>
      </w:tr>
      <w:tr>
        <w:tc>
          <w:tcPr>
            <w:tcW w:type="dxa" w:w="2160"/>
          </w:tcPr>
          <w:p>
            <w:r>
              <w:rPr>
                <w:rFonts w:ascii="맑은 고딕" w:hAnsi="맑은 고딕" w:eastAsia="맑은 고딕"/>
                <w:b w:val="0"/>
                <w:sz w:val="20"/>
              </w:rPr>
              <w:t>벡터DB/임베딩 인프라 (기 구축 공용자원 배분)</w:t>
            </w:r>
          </w:p>
        </w:tc>
        <w:tc>
          <w:tcPr>
            <w:tcW w:type="dxa" w:w="2160"/>
          </w:tcPr>
          <w:p>
            <w:r>
              <w:rPr>
                <w:rFonts w:ascii="맑은 고딕" w:hAnsi="맑은 고딕" w:eastAsia="맑은 고딕"/>
                <w:b w:val="0"/>
                <w:sz w:val="20"/>
              </w:rPr>
              <w:t>Qdrant 클러스터 사용량 비례 배분</w:t>
            </w:r>
          </w:p>
        </w:tc>
        <w:tc>
          <w:tcPr>
            <w:tcW w:type="dxa" w:w="2160"/>
          </w:tcPr>
          <w:p>
            <w:r>
              <w:rPr>
                <w:rFonts w:ascii="맑은 고딕" w:hAnsi="맑은 고딕" w:eastAsia="맑은 고딕"/>
                <w:b w:val="0"/>
                <w:sz w:val="20"/>
              </w:rPr>
              <w:t>약 40만원</w:t>
            </w:r>
          </w:p>
        </w:tc>
        <w:tc>
          <w:tcPr>
            <w:tcW w:type="dxa" w:w="2160"/>
          </w:tcPr>
          <w:p>
            <w:r>
              <w:rPr>
                <w:rFonts w:ascii="맑은 고딕" w:hAnsi="맑은 고딕" w:eastAsia="맑은 고딕"/>
                <w:b w:val="0"/>
                <w:sz w:val="20"/>
              </w:rPr>
              <w:t>타 프로젝트와 공용, 배분 비율 재산정 예정</w:t>
            </w:r>
          </w:p>
        </w:tc>
      </w:tr>
      <w:tr>
        <w:tc>
          <w:tcPr>
            <w:tcW w:type="dxa" w:w="2160"/>
            <w:shd w:val="clear" w:color="auto" w:fill="F2F2F2"/>
          </w:tcPr>
          <w:p>
            <w:r>
              <w:rPr>
                <w:rFonts w:ascii="맑은 고딕" w:hAnsi="맑은 고딕" w:eastAsia="맑은 고딕"/>
                <w:b w:val="0"/>
                <w:sz w:val="20"/>
              </w:rPr>
              <w:t>월간 총계 (추정)</w:t>
            </w:r>
          </w:p>
        </w:tc>
        <w:tc>
          <w:tcPr>
            <w:tcW w:type="dxa" w:w="2160"/>
            <w:shd w:val="clear" w:color="auto" w:fill="F2F2F2"/>
          </w:tcPr>
          <w:p>
            <w:r>
              <w:rPr>
                <w:rFonts w:ascii="맑은 고딕" w:hAnsi="맑은 고딕" w:eastAsia="맑은 고딕"/>
                <w:b w:val="0"/>
                <w:sz w:val="20"/>
              </w:rPr>
              <w:t>상기 항목 합산</w:t>
            </w:r>
          </w:p>
        </w:tc>
        <w:tc>
          <w:tcPr>
            <w:tcW w:type="dxa" w:w="2160"/>
            <w:shd w:val="clear" w:color="auto" w:fill="F2F2F2"/>
          </w:tcPr>
          <w:p>
            <w:r>
              <w:rPr>
                <w:rFonts w:ascii="맑은 고딕" w:hAnsi="맑은 고딕" w:eastAsia="맑은 고딕"/>
                <w:b w:val="0"/>
                <w:sz w:val="20"/>
              </w:rPr>
              <w:t>약 2,840만원</w:t>
            </w:r>
          </w:p>
        </w:tc>
        <w:tc>
          <w:tcPr>
            <w:tcW w:type="dxa" w:w="2160"/>
            <w:shd w:val="clear" w:color="auto" w:fill="F2F2F2"/>
          </w:tcPr>
          <w:p>
            <w:r>
              <w:rPr>
                <w:rFonts w:ascii="맑은 고딕" w:hAnsi="맑은 고딕" w:eastAsia="맑은 고딕"/>
                <w:b w:val="0"/>
                <w:sz w:val="20"/>
              </w:rPr>
              <w:t>2026 Q4 베타 기준, 고객사 320개 전체 적용 가정</w:t>
            </w:r>
          </w:p>
        </w:tc>
      </w:tr>
    </w:tbl>
    <w:p/>
    <w:p>
      <w:r>
        <w:rPr>
          <w:rFonts w:ascii="맑은 고딕" w:hAnsi="맑은 고딕" w:eastAsia="맑은 고딕"/>
          <w:b/>
          <w:color w:val="1F3864"/>
          <w:sz w:val="26"/>
        </w:rPr>
        <w:t>10. 다국어 처리 전략</w:t>
      </w:r>
    </w:p>
    <w:p>
      <w:pPr>
        <w:spacing w:line="312" w:lineRule="auto" w:after="160"/>
      </w:pPr>
      <w:r>
        <w:rPr>
          <w:rFonts w:ascii="맑은 고딕" w:hAnsi="맑은 고딕" w:eastAsia="맑은 고딕"/>
          <w:b w:val="0"/>
          <w:sz w:val="22"/>
        </w:rPr>
        <w:t>PRJ-2026-07(일본 진출 프로젝트)의 목표 출시 시점이 2027년 2분기로 예정되어 있어, AI 요약 기능 또한 동일 시점에 일본어 지원이 요구된다. 2절 모델 후보 비교에서 확인된 바와 같이 상용 API 경로(후보 D, C)는 일본어 파일럿 점수가 4점대(4.1~4.2점)로 양호하나, 온프레미스 경로(후보 A)는 학습 데이터의 한국어 편중으로 일본어 점수가 2.8점에 그쳐 별도 보완이 필요하다.</w:t>
      </w:r>
    </w:p>
    <w:p>
      <w:pPr>
        <w:spacing w:line="312" w:lineRule="auto" w:after="160"/>
      </w:pPr>
      <w:r>
        <w:rPr>
          <w:rFonts w:ascii="맑은 고딕" w:hAnsi="맑은 고딕" w:eastAsia="맑은 고딕"/>
          <w:b w:val="0"/>
          <w:sz w:val="22"/>
        </w:rPr>
        <w:t>일본어 대응 전략은 3단계로 진행한다. 1단계(2026 Q4~2027 Q1)는 상용 API 경로에서 일본어 프롬프트 및 few-shot 예시를 별도 구성하여 일본 고객사 파일럿(예정 3곳)에 우선 대응한다. 프롬프트 내 도메인 용어집은 한국어-일본어 대역 용어집을 신규 작성하여 칸반/화이트보드 관련 표현의 오역을 방지한다. 2단계(2027 Q1~Q2)는 5절 데이터 파이프라인을 통해 일본어 보드-요약 쌍 데이터(목표 400건, 일본 파일럿 고객사 동의 기반 수집)를 확보하여 온프레미스 경로 LoRA 파인튜닝에 일본어 데이터를 추가 학습시킨다. 3단계(2027 Q2 이후)는 일본어 벤치마크셋을 60건에서 150건 규모로 확대하고, 7절의 다국어 품질 지표(한국어 대비 90% 이상)를 GA 기준으로 상시 관리한다.</w:t>
      </w:r>
    </w:p>
    <w:p>
      <w:pPr>
        <w:spacing w:line="312" w:lineRule="auto" w:after="160"/>
      </w:pPr>
      <w:r>
        <w:rPr>
          <w:rFonts w:ascii="맑은 고딕" w:hAnsi="맑은 고딕" w:eastAsia="맑은 고딕"/>
          <w:b w:val="0"/>
          <w:sz w:val="22"/>
        </w:rPr>
        <w:t>언어 판별 및 라우팅은 게이트웨이 단에서 보드 언어 설정 메타데이터와 콘텐츠 자동 언어 감지(fastText 언어 감지 모델)를 이중으로 확인하여 처리하며, 혼합 언어 보드(한국어/일본어 카드 혼재)의 경우 카드 단위로 언어를 판별해 각각 적합한 프롬프트 템플릿을 적용한 뒤 통합 요약 단계에서 응답 언어를 사용자 설정 기준으로 통일한다. 일본어 요약 결과의 형식 준수율과 환각률은 한국어와 동일한 벤치마크 절차(7절)로 관리하되, 초기에는 목표치를 한국어 대비 5%p 완화하여 설정하고 2단계 파인튜닝 완료 후 격차를 축소한다.</w:t>
      </w:r>
    </w:p>
    <w:p>
      <w:pPr>
        <w:spacing w:line="312" w:lineRule="auto" w:after="160"/>
      </w:pPr>
      <w:r>
        <w:rPr>
          <w:rFonts w:ascii="맑은 고딕" w:hAnsi="맑은 고딕" w:eastAsia="맑은 고딕"/>
          <w:b w:val="0"/>
          <w:sz w:val="22"/>
        </w:rPr>
        <w:t>다국어 확장에 따른 추가 비용은 9절 비용 분석에 포함되지 않은 별도 항목으로, 일본어 데이터 라벨링(현지어 가능 인력 필요, 외주 검토 중)과 일본어 벤치마크셋 구축 비용이 2027년 1분기 예산에 별도 반영될 예정이며, 구체 금액은 PRJ-2026-07 예산안 확정 후 본 문서에 추가 반영한다.</w:t>
      </w:r>
    </w:p>
    <w:p>
      <w:r>
        <w:rPr>
          <w:rFonts w:ascii="맑은 고딕" w:hAnsi="맑은 고딕" w:eastAsia="맑은 고딕"/>
          <w:b/>
          <w:color w:val="1F3864"/>
          <w:sz w:val="26"/>
        </w:rPr>
        <w:t>11. 프라이버시 및 보안 고려사항</w:t>
      </w:r>
    </w:p>
    <w:p>
      <w:pPr>
        <w:spacing w:line="312" w:lineRule="auto" w:after="160"/>
      </w:pPr>
      <w:r>
        <w:rPr>
          <w:rFonts w:ascii="맑은 고딕" w:hAnsi="맑은 고딕" w:eastAsia="맑은 고딕"/>
          <w:b w:val="0"/>
          <w:sz w:val="22"/>
        </w:rPr>
        <w:t>AI 요약 기능은 고객사의 업무 콘텐츠(보드, 카드, 댓글, 회의노트)를 처리 대상으로 하므로, 네오웍스의 개인정보처리방침 및 고객사와의 데이터처리계약(DPA)을 준수하는 것을 최우선 원칙으로 한다. 핵심 원칙은 다음 네 가지다: (1) 목적 제한 - 수집된 학습/평가 데이터는 요약 기능 개발 및 품질 개선 목적으로만 사용하며 타 프로젝트로 전용하지 않는다. (2) 동의 기반 처리 - 학습 데이터로 활용되는 고객 콘텐츠는 반드시 고객사의 명시적 파일럿 참여 동의를 전제로 하며, 동의하지 않은 고객사의 데이터는 실시간 요약 서비스 제공 목적 외에는 저장/활용하지 않는다. (3) 최소 수집 - 요약 생성에 필요한 최소 범위의 콘텐츠만 모델 컨텍스트에 포함하고, 불필요한 메타데이터(사용자 IP, 접속 기기 정보 등)는 프롬프트에서 제외한다. (4) 익명화 우선 - 학습/평가 목적의 데이터는 5절 파이프라인을 거쳐 반드시 익명화를 완료한 후에만 사용한다.</w:t>
      </w:r>
    </w:p>
    <w:p>
      <w:pPr>
        <w:spacing w:line="312" w:lineRule="auto" w:after="160"/>
      </w:pPr>
      <w:r>
        <w:rPr>
          <w:rFonts w:ascii="맑은 고딕" w:hAnsi="맑은 고딕" w:eastAsia="맑은 고딕"/>
          <w:b w:val="0"/>
          <w:sz w:val="22"/>
        </w:rPr>
        <w:t>고객사 간 데이터 격리(Tenant Isolation)는 다음과 같이 보장한다. 실시간 요약 서비스에서는 요청 시점에 해당 보드가 속한 고객사 ID를 기준으로 컨텍스트를 구성하며, 벡터DB 검색 시에도 고객사 ID를 파티션 키로 사용하여 타 고객사 데이터가 검색 결과에 혼입되지 않도록 원천 차단한다. 온프레미스 파인튜닝 모델은 전체 고객사 데이터를 통합 학습하는 단일 모델 구조이므로, 특정 고객사 데이터가 모델 응답에 그대로 재생성(memorization)되어 노출될 위험을 12절 리스크 대응에서 별도 관리하며, 학습 데이터 중복 제거(deduplication) 및 반복 패턴 검출을 통해 완화한다.</w:t>
      </w:r>
    </w:p>
    <w:p>
      <w:pPr>
        <w:spacing w:line="312" w:lineRule="auto" w:after="160"/>
      </w:pPr>
      <w:r>
        <w:rPr>
          <w:rFonts w:ascii="맑은 고딕" w:hAnsi="맑은 고딕" w:eastAsia="맑은 고딕"/>
          <w:b w:val="0"/>
          <w:sz w:val="22"/>
        </w:rPr>
        <w:t>상용 API 경로 이용 시 보드 내용이 외부 벤더 서버로 전송되는 점을 고려하여, 계약 시 학습 데이터 미활용(Zero Data Retention/Zero Data Retention 옵션) 조항 포함을 필수 요건으로 하고, 전송 데이터는 TLS 1.2 이상으로 암호화한다. 고객사 보안등급(일반/민감/온프레미스 전용) 태깅은 Board Service에서 관리하며, 민감 등급 이상은 API 라우팅 자체를 차단하고 온프레미스 경로로 강제 전환하는 로직을 게이트웨이에 하드코딩 수준으로 강제 적용하여 설정 오류로 인한 우회 전송을 방지한다.</w:t>
      </w:r>
    </w:p>
    <w:p>
      <w:pPr>
        <w:spacing w:line="312" w:lineRule="auto" w:after="160"/>
      </w:pPr>
      <w:r>
        <w:rPr>
          <w:rFonts w:ascii="맑은 고딕" w:hAnsi="맑은 고딕" w:eastAsia="맑은 고딕"/>
          <w:b w:val="0"/>
          <w:sz w:val="22"/>
        </w:rPr>
        <w:t>접근 통제 측면에서 학습 데이터 레이크와 벡터DB에 대한 접근 권한은 AI팀으로 한정하며, 프로덕션 환경 접근 로그는 6개월간 보관 후 감사팀 정책에 따라 처리한다. 보안팀은 분기 1회 AI 요약 기능 전체 파이프라인(수집~서빙)에 대한 정기 보안 점검을 수행하며, 점검 결과는 CTO에게 보고하고 중대 취약점 발견 시 해당 기능의 일시 중단을 포함한 대응 절차를 별도 마련한다. 사용자 대상으로는 개인정보처리방침 개정을 통해 AI 요약 기능이 콘텐츠를 분석/처리한다는 사실을 명시적으로 고지하고, 옵트아웃(기능 미사용) 옵션을 제공한다.</w:t>
      </w:r>
    </w:p>
    <w:p>
      <w:r>
        <w:rPr>
          <w:rFonts w:ascii="맑은 고딕" w:hAnsi="맑은 고딕" w:eastAsia="맑은 고딕"/>
          <w:b/>
          <w:color w:val="1F3864"/>
          <w:sz w:val="26"/>
        </w:rPr>
        <w:t>12. 리스크 및 대응</w:t>
      </w:r>
    </w:p>
    <w:p>
      <w:pPr>
        <w:spacing w:line="312" w:lineRule="auto" w:after="160"/>
      </w:pPr>
      <w:r>
        <w:rPr>
          <w:rFonts w:ascii="맑은 고딕" w:hAnsi="맑은 고딕" w:eastAsia="맑은 고딕"/>
          <w:b w:val="0"/>
          <w:sz w:val="22"/>
        </w:rPr>
        <w:t>환각(Hallucination) 리스크: 모델이 원문에 없는 내용을 사실인 것처럼 생성할 경우 사용자가 잘못된 의사결정을 내릴 수 있다. 대응으로 4절의 RAG 기반 근거 카드 명시, 7절의 환각률 정기 평가를 시행하며, UI 상에는 모든 요약 결과에 'AI 생성 콘텐츠이며 원문 확인이 필요합니다' 안내 문구와 근거 카드 바로가기 링크를 필수 노출한다.</w:t>
      </w:r>
    </w:p>
    <w:p>
      <w:pPr>
        <w:spacing w:line="312" w:lineRule="auto" w:after="160"/>
      </w:pPr>
      <w:r>
        <w:rPr>
          <w:rFonts w:ascii="맑은 고딕" w:hAnsi="맑은 고딕" w:eastAsia="맑은 고딕"/>
          <w:b w:val="0"/>
          <w:sz w:val="22"/>
        </w:rPr>
        <w:t>민감정보 외부 유출 리스크: 상용 API(후보 D) 경로 이용 시 보드 내용이 외부 서버로 전송된다. 대응으로 11절에서 정의한 보안등급 기반 강제 라우팅, API 벤더와의 Zero Data Retention 계약 조항, TLS 암호화 전송을 적용한다.</w:t>
      </w:r>
    </w:p>
    <w:p>
      <w:pPr>
        <w:spacing w:line="312" w:lineRule="auto" w:after="160"/>
      </w:pPr>
      <w:r>
        <w:rPr>
          <w:rFonts w:ascii="맑은 고딕" w:hAnsi="맑은 고딕" w:eastAsia="맑은 고딕"/>
          <w:b w:val="0"/>
          <w:sz w:val="22"/>
        </w:rPr>
        <w:t>비용 초과 리스크: 사용량이 예상을 초과할 경우 9절 목표 비용(고객사당 월 15만원)을 넘어설 수 있다. 대응으로 고객사별 월 요약 요청 횟수 소프트 캡을 설정하고, 캡 초과 시 자동으로 저비용 경로(후보 A, 온프레미스)로 폴백하도록 라우팅 로직을 구성한다. 또한 월별 실사용 비용을 대시보드로 상시 모니터링한다.</w:t>
      </w:r>
    </w:p>
    <w:p>
      <w:pPr>
        <w:spacing w:line="312" w:lineRule="auto" w:after="160"/>
      </w:pPr>
      <w:r>
        <w:rPr>
          <w:rFonts w:ascii="맑은 고딕" w:hAnsi="맑은 고딕" w:eastAsia="맑은 고딕"/>
          <w:b w:val="0"/>
          <w:sz w:val="22"/>
        </w:rPr>
        <w:t>벤더 종속(Lock-in) 리스크: 상용 API 단일 벤더 의존 시 가격 정책 변경이나 서비스 장애의 영향을 직접 받는다. 대응으로 프롬프트 및 출력 스키마를 벤더 중립적으로 설계하여 후보 C 등 대체 API로 전환 가능한 어댑터 구조를 유지하고, API 장애 시 온프레미스 경로로 자동 폴백하는 Circuit Breaker를 6절과 같이 적용한다.</w:t>
      </w:r>
    </w:p>
    <w:p>
      <w:pPr>
        <w:spacing w:line="312" w:lineRule="auto" w:after="160"/>
      </w:pPr>
      <w:r>
        <w:rPr>
          <w:rFonts w:ascii="맑은 고딕" w:hAnsi="맑은 고딕" w:eastAsia="맑은 고딕"/>
          <w:b w:val="0"/>
          <w:sz w:val="22"/>
        </w:rPr>
        <w:t>파인튜닝 데이터 편향/품질 리스크: 학습 데이터가 특정 업종(IT)에 편중될 경우 타 업종 고객사에서 요약 품질이 저하될 수 있다. 대응으로 7절 벤치마크셋과 동일하게 업종별 층화 기준을 5절 데이터 수집에도 적용하고, 분기별 재학습 시 업종별 성능 편차를 별도 리포트로 관리한다.</w:t>
      </w:r>
    </w:p>
    <w:p>
      <w:pPr>
        <w:spacing w:line="312" w:lineRule="auto" w:after="160"/>
      </w:pPr>
      <w:r>
        <w:rPr>
          <w:rFonts w:ascii="맑은 고딕" w:hAnsi="맑은 고딕" w:eastAsia="맑은 고딕"/>
          <w:b w:val="0"/>
          <w:sz w:val="22"/>
        </w:rPr>
        <w:t>모델 데이터 암기(Memorization) 리스크: 11절에서 언급한 바와 같이 온프레미스 파인튜닝 모델이 학습 데이터의 특정 고객사 콘텐츠를 그대로 재생성하여 타 세션에 노출될 가능성이 있다. 대응으로 학습 데이터 중복 제거, 반복 패턴 검출, 그리고 정기 레드팀 테스트(분기 1회, 특정 고객사 정보 추출 시도)를 수행하여 조기 발견 시 즉시 재학습한다.</w:t>
      </w:r>
    </w:p>
    <w:p>
      <w:pPr>
        <w:spacing w:line="312" w:lineRule="auto" w:after="160"/>
      </w:pPr>
      <w:r>
        <w:rPr>
          <w:rFonts w:ascii="맑은 고딕" w:hAnsi="맑은 고딕" w:eastAsia="맑은 고딕"/>
          <w:b w:val="0"/>
          <w:sz w:val="22"/>
        </w:rPr>
        <w:t>일정 리스크: 파인튜닝 모델의 목표 정확도 미달 시 온프레미스 경로 제공이 지연될 수 있다. 대응으로 2026년 4분기 베타는 상용 API 경로만으로 우선 출시하고, 온프레미스 경로는 목표치 달성이 확인되는 시점에 8절 점진적 롤아웃 절차에 따라 순차 오픈하는 단계적 출시 전략을 병행한다.</w:t>
      </w:r>
    </w:p>
    <w:p>
      <w:pPr>
        <w:spacing w:line="312" w:lineRule="auto" w:after="160"/>
      </w:pPr>
      <w:r>
        <w:rPr>
          <w:rFonts w:ascii="맑은 고딕" w:hAnsi="맑은 고딕" w:eastAsia="맑은 고딕"/>
          <w:b w:val="0"/>
          <w:sz w:val="22"/>
        </w:rPr>
        <w:t>다국어 품질 격차 리스크: 10절에서 다룬 바와 같이 온프레미스 경로의 일본어 품질이 초기에는 한국어 대비 낮을 수 있다. 대응으로 일본 파일럿 초기에는 상용 API 경로를 기본 경로로 우선 배정하고, 일본어 학습 데이터 확보 및 2단계 파인튜닝 완료 후 온프레미스 경로를 순차 확대한다.</w:t>
      </w:r>
    </w:p>
    <w:p>
      <w:r>
        <w:rPr>
          <w:rFonts w:ascii="맑은 고딕" w:hAnsi="맑은 고딕" w:eastAsia="맑은 고딕"/>
          <w:b/>
          <w:color w:val="1F3864"/>
          <w:sz w:val="26"/>
        </w:rPr>
        <w:t>13. 개발 로드맵 개요</w:t>
      </w:r>
    </w:p>
    <w:p>
      <w:pPr>
        <w:spacing w:line="312" w:lineRule="auto" w:after="160"/>
      </w:pPr>
      <w:r>
        <w:rPr>
          <w:rFonts w:ascii="맑은 고딕" w:hAnsi="맑은 고딕" w:eastAsia="맑은 고딕"/>
          <w:b w:val="0"/>
          <w:sz w:val="22"/>
        </w:rPr>
        <w:t>2026년 3분기(착수~파일럿): 모델 후보 비교 평가 완료(본 문서 2절), 선정 모델 확정, 5절 데이터 파이프라인 1차 구축, RAG 파이프라인 및 맵-리듀스 요약 로직 프로토타입 개발, LoRA 파인튜닝 1차 데이터셋 구축 착수.</w:t>
      </w:r>
    </w:p>
    <w:p>
      <w:pPr>
        <w:spacing w:line="312" w:lineRule="auto" w:after="160"/>
      </w:pPr>
      <w:r>
        <w:rPr>
          <w:rFonts w:ascii="맑은 고딕" w:hAnsi="맑은 고딕" w:eastAsia="맑은 고딕"/>
          <w:b w:val="0"/>
          <w:sz w:val="22"/>
        </w:rPr>
        <w:t>2026년 4분기(베타 출시): 상용 API 경로(후보 D) 기반 요약 기능을 8절 1~2단계(내부 도그푸딩, 클로즈드 베타) 절차에 따라 사내 및 파일럿 고객사 10곳 대상으로 출시. Board Service/Notification Service 연동 완료, 프론트엔드 요약 UI(근거 카드 링크 포함) 배포. 7절 벤치마크셋 기반 월간 정기 평가 체계 가동.</w:t>
      </w:r>
    </w:p>
    <w:p>
      <w:pPr>
        <w:spacing w:line="312" w:lineRule="auto" w:after="160"/>
      </w:pPr>
      <w:r>
        <w:rPr>
          <w:rFonts w:ascii="맑은 고딕" w:hAnsi="맑은 고딕" w:eastAsia="맑은 고딕"/>
          <w:b w:val="0"/>
          <w:sz w:val="22"/>
        </w:rPr>
        <w:t>2027년 1분기(GA 및 온프레미스 오픈): 8절 3~4단계(오픈 베타 A/B, 전면 확대) 절차를 통해 베타 피드백 반영 후 전체 고객사 대상 정식 출시(GA). LoRA 파인튜닝 모델(후보 A)의 목표 정확도(ROUGE-L 0.58 이상) 달성 확인 후 온프레미스 경로를 민감 등급 고객사부터 순차 오픈. 6절 GPU 증설(A100 2장) 완료, 비용 소프트 캡 및 자동 라우팅 로직 프로덕션 적용.</w:t>
      </w:r>
    </w:p>
    <w:p>
      <w:pPr>
        <w:spacing w:line="312" w:lineRule="auto" w:after="160"/>
      </w:pPr>
      <w:r>
        <w:rPr>
          <w:rFonts w:ascii="맑은 고딕" w:hAnsi="맑은 고딕" w:eastAsia="맑은 고딕"/>
          <w:b w:val="0"/>
          <w:sz w:val="22"/>
        </w:rPr>
        <w:t>2027년 2분기(고도화 및 다국어 확대): 사용자 피드백 누적 데이터를 활용한 2차 파인튜닝 재학습 수행, 업종별 성능 편차 분석 및 보정, 10절 일본어 대응 2~3단계 진행(일본어 파인튜닝 데이터 확보 및 벤치마크셋 확대). 회의노트 첨부파일(음성/영상 전사 포함) 요약 지원으로 기능 범위 확대 검토. 하이퍼클로바X(후보 E) 등 대체 온프레미스 옵션 재평가.</w:t>
      </w:r>
    </w:p>
    <w:p>
      <w:r>
        <w:rPr>
          <w:rFonts w:ascii="맑은 고딕" w:hAnsi="맑은 고딕" w:eastAsia="맑은 고딕"/>
          <w:b/>
          <w:color w:val="1F3864"/>
          <w:sz w:val="26"/>
        </w:rPr>
        <w:t>14. 상세 로드맵 (스프린트/월 단위)</w:t>
      </w:r>
    </w:p>
    <w:p>
      <w:pPr>
        <w:spacing w:line="312" w:lineRule="auto" w:after="160"/>
      </w:pPr>
      <w:r>
        <w:rPr>
          <w:rFonts w:ascii="맑은 고딕" w:hAnsi="맑은 고딕" w:eastAsia="맑은 고딕"/>
          <w:b w:val="0"/>
          <w:sz w:val="22"/>
        </w:rPr>
        <w:t>13절 개요를 실행 단위인 2주 스프린트 및 월 단위로 세분화한 일정은 표7과 같다. 각 스프린트 종료 시점에 AI팀 내부 데모를 진행하며, 마일스톤(베타 출시, GA, 다국어 오픈)에는 백엔드팀·프론트팀·인프라팀·보안팀이 참여하는 합동 점검 회의를 개최한다.</w:t>
      </w:r>
    </w:p>
    <w:p>
      <w:pPr>
        <w:spacing w:line="312" w:lineRule="auto" w:after="160"/>
      </w:pPr>
      <w:r>
        <w:rPr>
          <w:rFonts w:ascii="맑은 고딕" w:hAnsi="맑은 고딕" w:eastAsia="맑은 고딕"/>
          <w:b w:val="0"/>
          <w:sz w:val="22"/>
        </w:rPr>
        <w:t>일정 관리 원칙으로는 각 마일스톤 착수 2주 전 진입 기준(Entry Criteria) 충족 여부를 AI팀장이 사전 점검하며, 미충족 시 마일스톤을 지연하더라도 품질 기준(7절)을 우선한다. 스프린트별 세부 태스크와 담당자는 사내 프로젝트 관리 도구(네오보드 PRJ-2026-05 보드)에서 별도 관리하며, 본 표는 상위 마일스톤 기준 요약이다.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시기</w:t>
            </w:r>
          </w:p>
        </w:tc>
        <w:tc>
          <w:tcPr>
            <w:tcW w:type="dxa" w:w="1728"/>
            <w:shd w:val="clear" w:color="auto" w:fill="1F3864"/>
          </w:tcPr>
          <w:p>
            <w:pPr>
              <w:jc w:val="center"/>
            </w:pPr>
            <w:r>
              <w:rPr>
                <w:rFonts w:ascii="맑은 고딕" w:hAnsi="맑은 고딕" w:eastAsia="맑은 고딕"/>
                <w:b/>
                <w:color w:val="FFFFFF"/>
                <w:sz w:val="20"/>
              </w:rPr>
              <w:t>마일스톤</w:t>
            </w:r>
          </w:p>
        </w:tc>
        <w:tc>
          <w:tcPr>
            <w:tcW w:type="dxa" w:w="1728"/>
            <w:shd w:val="clear" w:color="auto" w:fill="1F3864"/>
          </w:tcPr>
          <w:p>
            <w:pPr>
              <w:jc w:val="center"/>
            </w:pPr>
            <w:r>
              <w:rPr>
                <w:rFonts w:ascii="맑은 고딕" w:hAnsi="맑은 고딕" w:eastAsia="맑은 고딕"/>
                <w:b/>
                <w:color w:val="FFFFFF"/>
                <w:sz w:val="20"/>
              </w:rPr>
              <w:t>주요 산출물</w:t>
            </w:r>
          </w:p>
        </w:tc>
        <w:tc>
          <w:tcPr>
            <w:tcW w:type="dxa" w:w="1728"/>
            <w:shd w:val="clear" w:color="auto" w:fill="1F3864"/>
          </w:tcPr>
          <w:p>
            <w:pPr>
              <w:jc w:val="center"/>
            </w:pPr>
            <w:r>
              <w:rPr>
                <w:rFonts w:ascii="맑은 고딕" w:hAnsi="맑은 고딕" w:eastAsia="맑은 고딕"/>
                <w:b/>
                <w:color w:val="FFFFFF"/>
                <w:sz w:val="20"/>
              </w:rPr>
              <w:t>관련 섹션</w:t>
            </w:r>
          </w:p>
        </w:tc>
        <w:tc>
          <w:tcPr>
            <w:tcW w:type="dxa" w:w="1728"/>
            <w:shd w:val="clear" w:color="auto" w:fill="1F3864"/>
          </w:tcPr>
          <w:p>
            <w:pPr>
              <w:jc w:val="center"/>
            </w:pPr>
            <w:r>
              <w:rPr>
                <w:rFonts w:ascii="맑은 고딕" w:hAnsi="맑은 고딕" w:eastAsia="맑은 고딕"/>
                <w:b/>
                <w:color w:val="FFFFFF"/>
                <w:sz w:val="20"/>
              </w:rPr>
              <w:t>게이트/승인</w:t>
            </w:r>
          </w:p>
        </w:tc>
      </w:tr>
      <w:tr>
        <w:tc>
          <w:tcPr>
            <w:tcW w:type="dxa" w:w="1728"/>
          </w:tcPr>
          <w:p>
            <w:r>
              <w:rPr>
                <w:rFonts w:ascii="맑은 고딕" w:hAnsi="맑은 고딕" w:eastAsia="맑은 고딕"/>
                <w:b w:val="0"/>
                <w:sz w:val="20"/>
              </w:rPr>
              <w:t>2026-08 (Sprint 1-2)</w:t>
            </w:r>
          </w:p>
        </w:tc>
        <w:tc>
          <w:tcPr>
            <w:tcW w:type="dxa" w:w="1728"/>
          </w:tcPr>
          <w:p>
            <w:r>
              <w:rPr>
                <w:rFonts w:ascii="맑은 고딕" w:hAnsi="맑은 고딕" w:eastAsia="맑은 고딕"/>
                <w:b w:val="0"/>
                <w:sz w:val="20"/>
              </w:rPr>
              <w:t>모델 후보 비교 완료</w:t>
            </w:r>
          </w:p>
        </w:tc>
        <w:tc>
          <w:tcPr>
            <w:tcW w:type="dxa" w:w="1728"/>
          </w:tcPr>
          <w:p>
            <w:r>
              <w:rPr>
                <w:rFonts w:ascii="맑은 고딕" w:hAnsi="맑은 고딕" w:eastAsia="맑은 고딕"/>
                <w:b w:val="0"/>
                <w:sz w:val="20"/>
              </w:rPr>
              <w:t>표1 비교 결과, 선정 모델 확정안</w:t>
            </w:r>
          </w:p>
        </w:tc>
        <w:tc>
          <w:tcPr>
            <w:tcW w:type="dxa" w:w="1728"/>
          </w:tcPr>
          <w:p>
            <w:r>
              <w:rPr>
                <w:rFonts w:ascii="맑은 고딕" w:hAnsi="맑은 고딕" w:eastAsia="맑은 고딕"/>
                <w:b w:val="0"/>
                <w:sz w:val="20"/>
              </w:rPr>
              <w:t>2, 3절</w:t>
            </w:r>
          </w:p>
        </w:tc>
        <w:tc>
          <w:tcPr>
            <w:tcW w:type="dxa" w:w="1728"/>
          </w:tcPr>
          <w:p>
            <w:r>
              <w:rPr>
                <w:rFonts w:ascii="맑은 고딕" w:hAnsi="맑은 고딕" w:eastAsia="맑은 고딕"/>
                <w:b w:val="0"/>
                <w:sz w:val="20"/>
              </w:rPr>
              <w:t>AI팀장 승인</w:t>
            </w:r>
          </w:p>
        </w:tc>
      </w:tr>
      <w:tr>
        <w:tc>
          <w:tcPr>
            <w:tcW w:type="dxa" w:w="1728"/>
            <w:shd w:val="clear" w:color="auto" w:fill="F2F2F2"/>
          </w:tcPr>
          <w:p>
            <w:r>
              <w:rPr>
                <w:rFonts w:ascii="맑은 고딕" w:hAnsi="맑은 고딕" w:eastAsia="맑은 고딕"/>
                <w:b w:val="0"/>
                <w:sz w:val="20"/>
              </w:rPr>
              <w:t>2026-09 (Sprint 3-4)</w:t>
            </w:r>
          </w:p>
        </w:tc>
        <w:tc>
          <w:tcPr>
            <w:tcW w:type="dxa" w:w="1728"/>
            <w:shd w:val="clear" w:color="auto" w:fill="F2F2F2"/>
          </w:tcPr>
          <w:p>
            <w:r>
              <w:rPr>
                <w:rFonts w:ascii="맑은 고딕" w:hAnsi="맑은 고딕" w:eastAsia="맑은 고딕"/>
                <w:b w:val="0"/>
                <w:sz w:val="20"/>
              </w:rPr>
              <w:t>데이터 파이프라인 1차 구축</w:t>
            </w:r>
          </w:p>
        </w:tc>
        <w:tc>
          <w:tcPr>
            <w:tcW w:type="dxa" w:w="1728"/>
            <w:shd w:val="clear" w:color="auto" w:fill="F2F2F2"/>
          </w:tcPr>
          <w:p>
            <w:r>
              <w:rPr>
                <w:rFonts w:ascii="맑은 고딕" w:hAnsi="맑은 고딕" w:eastAsia="맑은 고딕"/>
                <w:b w:val="0"/>
                <w:sz w:val="20"/>
              </w:rPr>
              <w:t>익명화 파이프라인, 학습 데이터셋 v1 (1,900건)</w:t>
            </w:r>
          </w:p>
        </w:tc>
        <w:tc>
          <w:tcPr>
            <w:tcW w:type="dxa" w:w="1728"/>
            <w:shd w:val="clear" w:color="auto" w:fill="F2F2F2"/>
          </w:tcPr>
          <w:p>
            <w:r>
              <w:rPr>
                <w:rFonts w:ascii="맑은 고딕" w:hAnsi="맑은 고딕" w:eastAsia="맑은 고딕"/>
                <w:b w:val="0"/>
                <w:sz w:val="20"/>
              </w:rPr>
              <w:t>5절</w:t>
            </w:r>
          </w:p>
        </w:tc>
        <w:tc>
          <w:tcPr>
            <w:tcW w:type="dxa" w:w="1728"/>
            <w:shd w:val="clear" w:color="auto" w:fill="F2F2F2"/>
          </w:tcPr>
          <w:p>
            <w:r>
              <w:rPr>
                <w:rFonts w:ascii="맑은 고딕" w:hAnsi="맑은 고딕" w:eastAsia="맑은 고딕"/>
                <w:b w:val="0"/>
                <w:sz w:val="20"/>
              </w:rPr>
              <w:t>보안팀 검수 통과</w:t>
            </w:r>
          </w:p>
        </w:tc>
      </w:tr>
      <w:tr>
        <w:tc>
          <w:tcPr>
            <w:tcW w:type="dxa" w:w="1728"/>
          </w:tcPr>
          <w:p>
            <w:r>
              <w:rPr>
                <w:rFonts w:ascii="맑은 고딕" w:hAnsi="맑은 고딕" w:eastAsia="맑은 고딕"/>
                <w:b w:val="0"/>
                <w:sz w:val="20"/>
              </w:rPr>
              <w:t>2026-09~10 (Sprint 4-6)</w:t>
            </w:r>
          </w:p>
        </w:tc>
        <w:tc>
          <w:tcPr>
            <w:tcW w:type="dxa" w:w="1728"/>
          </w:tcPr>
          <w:p>
            <w:r>
              <w:rPr>
                <w:rFonts w:ascii="맑은 고딕" w:hAnsi="맑은 고딕" w:eastAsia="맑은 고딕"/>
                <w:b w:val="0"/>
                <w:sz w:val="20"/>
              </w:rPr>
              <w:t>RAG/맵-리듀스 프로토타입</w:t>
            </w:r>
          </w:p>
        </w:tc>
        <w:tc>
          <w:tcPr>
            <w:tcW w:type="dxa" w:w="1728"/>
          </w:tcPr>
          <w:p>
            <w:r>
              <w:rPr>
                <w:rFonts w:ascii="맑은 고딕" w:hAnsi="맑은 고딕" w:eastAsia="맑은 고딕"/>
                <w:b w:val="0"/>
                <w:sz w:val="20"/>
              </w:rPr>
              <w:t>게이트웨이 프로토타입, 벡터DB 연동</w:t>
            </w:r>
          </w:p>
        </w:tc>
        <w:tc>
          <w:tcPr>
            <w:tcW w:type="dxa" w:w="1728"/>
          </w:tcPr>
          <w:p>
            <w:r>
              <w:rPr>
                <w:rFonts w:ascii="맑은 고딕" w:hAnsi="맑은 고딕" w:eastAsia="맑은 고딕"/>
                <w:b w:val="0"/>
                <w:sz w:val="20"/>
              </w:rPr>
              <w:t>4, 6절</w:t>
            </w:r>
          </w:p>
        </w:tc>
        <w:tc>
          <w:tcPr>
            <w:tcW w:type="dxa" w:w="1728"/>
          </w:tcPr>
          <w:p>
            <w:r>
              <w:rPr>
                <w:rFonts w:ascii="맑은 고딕" w:hAnsi="맑은 고딕" w:eastAsia="맑은 고딕"/>
                <w:b w:val="0"/>
                <w:sz w:val="20"/>
              </w:rPr>
              <w:t>AI팀 내부 데모</w:t>
            </w:r>
          </w:p>
        </w:tc>
      </w:tr>
      <w:tr>
        <w:tc>
          <w:tcPr>
            <w:tcW w:type="dxa" w:w="1728"/>
            <w:shd w:val="clear" w:color="auto" w:fill="F2F2F2"/>
          </w:tcPr>
          <w:p>
            <w:r>
              <w:rPr>
                <w:rFonts w:ascii="맑은 고딕" w:hAnsi="맑은 고딕" w:eastAsia="맑은 고딕"/>
                <w:b w:val="0"/>
                <w:sz w:val="20"/>
              </w:rPr>
              <w:t>2026-10 (Sprint 6-7)</w:t>
            </w:r>
          </w:p>
        </w:tc>
        <w:tc>
          <w:tcPr>
            <w:tcW w:type="dxa" w:w="1728"/>
            <w:shd w:val="clear" w:color="auto" w:fill="F2F2F2"/>
          </w:tcPr>
          <w:p>
            <w:r>
              <w:rPr>
                <w:rFonts w:ascii="맑은 고딕" w:hAnsi="맑은 고딕" w:eastAsia="맑은 고딕"/>
                <w:b w:val="0"/>
                <w:sz w:val="20"/>
              </w:rPr>
              <w:t>LoRA 1차 파인튜닝</w:t>
            </w:r>
          </w:p>
        </w:tc>
        <w:tc>
          <w:tcPr>
            <w:tcW w:type="dxa" w:w="1728"/>
            <w:shd w:val="clear" w:color="auto" w:fill="F2F2F2"/>
          </w:tcPr>
          <w:p>
            <w:r>
              <w:rPr>
                <w:rFonts w:ascii="맑은 고딕" w:hAnsi="맑은 고딕" w:eastAsia="맑은 고딕"/>
                <w:b w:val="0"/>
                <w:sz w:val="20"/>
              </w:rPr>
              <w:t>후보 A 파인튜닝 모델 v1, 벤치마크 평가 결과</w:t>
            </w:r>
          </w:p>
        </w:tc>
        <w:tc>
          <w:tcPr>
            <w:tcW w:type="dxa" w:w="1728"/>
            <w:shd w:val="clear" w:color="auto" w:fill="F2F2F2"/>
          </w:tcPr>
          <w:p>
            <w:r>
              <w:rPr>
                <w:rFonts w:ascii="맑은 고딕" w:hAnsi="맑은 고딕" w:eastAsia="맑은 고딕"/>
                <w:b w:val="0"/>
                <w:sz w:val="20"/>
              </w:rPr>
              <w:t>4, 7절</w:t>
            </w:r>
          </w:p>
        </w:tc>
        <w:tc>
          <w:tcPr>
            <w:tcW w:type="dxa" w:w="1728"/>
            <w:shd w:val="clear" w:color="auto" w:fill="F2F2F2"/>
          </w:tcPr>
          <w:p>
            <w:r>
              <w:rPr>
                <w:rFonts w:ascii="맑은 고딕" w:hAnsi="맑은 고딕" w:eastAsia="맑은 고딕"/>
                <w:b w:val="0"/>
                <w:sz w:val="20"/>
              </w:rPr>
              <w:t>목표 ROUGE-L 0.50 이상</w:t>
            </w:r>
          </w:p>
        </w:tc>
      </w:tr>
      <w:tr>
        <w:tc>
          <w:tcPr>
            <w:tcW w:type="dxa" w:w="1728"/>
          </w:tcPr>
          <w:p>
            <w:r>
              <w:rPr>
                <w:rFonts w:ascii="맑은 고딕" w:hAnsi="맑은 고딕" w:eastAsia="맑은 고딕"/>
                <w:b w:val="0"/>
                <w:sz w:val="20"/>
              </w:rPr>
              <w:t>2026-11 (Sprint 8-9)</w:t>
            </w:r>
          </w:p>
        </w:tc>
        <w:tc>
          <w:tcPr>
            <w:tcW w:type="dxa" w:w="1728"/>
          </w:tcPr>
          <w:p>
            <w:r>
              <w:rPr>
                <w:rFonts w:ascii="맑은 고딕" w:hAnsi="맑은 고딕" w:eastAsia="맑은 고딕"/>
                <w:b w:val="0"/>
                <w:sz w:val="20"/>
              </w:rPr>
              <w:t>8절 1단계: 내부 도그푸딩</w:t>
            </w:r>
          </w:p>
        </w:tc>
        <w:tc>
          <w:tcPr>
            <w:tcW w:type="dxa" w:w="1728"/>
          </w:tcPr>
          <w:p>
            <w:r>
              <w:rPr>
                <w:rFonts w:ascii="맑은 고딕" w:hAnsi="맑은 고딕" w:eastAsia="맑은 고딕"/>
                <w:b w:val="0"/>
                <w:sz w:val="20"/>
              </w:rPr>
              <w:t>내부 보드 30개 적용, 버그 리포트</w:t>
            </w:r>
          </w:p>
        </w:tc>
        <w:tc>
          <w:tcPr>
            <w:tcW w:type="dxa" w:w="1728"/>
          </w:tcPr>
          <w:p>
            <w:r>
              <w:rPr>
                <w:rFonts w:ascii="맑은 고딕" w:hAnsi="맑은 고딕" w:eastAsia="맑은 고딕"/>
                <w:b w:val="0"/>
                <w:sz w:val="20"/>
              </w:rPr>
              <w:t>8절</w:t>
            </w:r>
          </w:p>
        </w:tc>
        <w:tc>
          <w:tcPr>
            <w:tcW w:type="dxa" w:w="1728"/>
          </w:tcPr>
          <w:p>
            <w:r>
              <w:rPr>
                <w:rFonts w:ascii="맑은 고딕" w:hAnsi="맑은 고딕" w:eastAsia="맑은 고딕"/>
                <w:b w:val="0"/>
                <w:sz w:val="20"/>
              </w:rPr>
              <w:t>치명적 버그 0건</w:t>
            </w:r>
          </w:p>
        </w:tc>
      </w:tr>
      <w:tr>
        <w:tc>
          <w:tcPr>
            <w:tcW w:type="dxa" w:w="1728"/>
            <w:shd w:val="clear" w:color="auto" w:fill="F2F2F2"/>
          </w:tcPr>
          <w:p>
            <w:r>
              <w:rPr>
                <w:rFonts w:ascii="맑은 고딕" w:hAnsi="맑은 고딕" w:eastAsia="맑은 고딕"/>
                <w:b w:val="0"/>
                <w:sz w:val="20"/>
              </w:rPr>
              <w:t>2026-12 (Sprint 10-11)</w:t>
            </w:r>
          </w:p>
        </w:tc>
        <w:tc>
          <w:tcPr>
            <w:tcW w:type="dxa" w:w="1728"/>
            <w:shd w:val="clear" w:color="auto" w:fill="F2F2F2"/>
          </w:tcPr>
          <w:p>
            <w:r>
              <w:rPr>
                <w:rFonts w:ascii="맑은 고딕" w:hAnsi="맑은 고딕" w:eastAsia="맑은 고딕"/>
                <w:b w:val="0"/>
                <w:sz w:val="20"/>
              </w:rPr>
              <w:t>8절 2단계: 클로즈드 베타 + GPU 증설 착수</w:t>
            </w:r>
          </w:p>
        </w:tc>
        <w:tc>
          <w:tcPr>
            <w:tcW w:type="dxa" w:w="1728"/>
            <w:shd w:val="clear" w:color="auto" w:fill="F2F2F2"/>
          </w:tcPr>
          <w:p>
            <w:r>
              <w:rPr>
                <w:rFonts w:ascii="맑은 고딕" w:hAnsi="맑은 고딕" w:eastAsia="맑은 고딕"/>
                <w:b w:val="0"/>
                <w:sz w:val="20"/>
              </w:rPr>
              <w:t>파일럿 고객사 10곳 적용, GPU 증설 발주</w:t>
            </w:r>
          </w:p>
        </w:tc>
        <w:tc>
          <w:tcPr>
            <w:tcW w:type="dxa" w:w="1728"/>
            <w:shd w:val="clear" w:color="auto" w:fill="F2F2F2"/>
          </w:tcPr>
          <w:p>
            <w:r>
              <w:rPr>
                <w:rFonts w:ascii="맑은 고딕" w:hAnsi="맑은 고딕" w:eastAsia="맑은 고딕"/>
                <w:b w:val="0"/>
                <w:sz w:val="20"/>
              </w:rPr>
              <w:t>6, 8절</w:t>
            </w:r>
          </w:p>
        </w:tc>
        <w:tc>
          <w:tcPr>
            <w:tcW w:type="dxa" w:w="1728"/>
            <w:shd w:val="clear" w:color="auto" w:fill="F2F2F2"/>
          </w:tcPr>
          <w:p>
            <w:r>
              <w:rPr>
                <w:rFonts w:ascii="맑은 고딕" w:hAnsi="맑은 고딕" w:eastAsia="맑은 고딕"/>
                <w:b w:val="0"/>
                <w:sz w:val="20"/>
              </w:rPr>
              <w:t>CTO 승인</w:t>
            </w:r>
          </w:p>
        </w:tc>
      </w:tr>
      <w:tr>
        <w:tc>
          <w:tcPr>
            <w:tcW w:type="dxa" w:w="1728"/>
          </w:tcPr>
          <w:p>
            <w:r>
              <w:rPr>
                <w:rFonts w:ascii="맑은 고딕" w:hAnsi="맑은 고딕" w:eastAsia="맑은 고딕"/>
                <w:b w:val="0"/>
                <w:sz w:val="20"/>
              </w:rPr>
              <w:t>2027-01 (Sprint 12-13)</w:t>
            </w:r>
          </w:p>
        </w:tc>
        <w:tc>
          <w:tcPr>
            <w:tcW w:type="dxa" w:w="1728"/>
          </w:tcPr>
          <w:p>
            <w:r>
              <w:rPr>
                <w:rFonts w:ascii="맑은 고딕" w:hAnsi="맑은 고딕" w:eastAsia="맑은 고딕"/>
                <w:b w:val="0"/>
                <w:sz w:val="20"/>
              </w:rPr>
              <w:t>8절 3단계: 오픈 베타 A/B 개시</w:t>
            </w:r>
          </w:p>
        </w:tc>
        <w:tc>
          <w:tcPr>
            <w:tcW w:type="dxa" w:w="1728"/>
          </w:tcPr>
          <w:p>
            <w:r>
              <w:rPr>
                <w:rFonts w:ascii="맑은 고딕" w:hAnsi="맑은 고딕" w:eastAsia="맑은 고딕"/>
                <w:b w:val="0"/>
                <w:sz w:val="20"/>
              </w:rPr>
              <w:t>전체 고객사 20% A/B 테스트 착수</w:t>
            </w:r>
          </w:p>
        </w:tc>
        <w:tc>
          <w:tcPr>
            <w:tcW w:type="dxa" w:w="1728"/>
          </w:tcPr>
          <w:p>
            <w:r>
              <w:rPr>
                <w:rFonts w:ascii="맑은 고딕" w:hAnsi="맑은 고딕" w:eastAsia="맑은 고딕"/>
                <w:b w:val="0"/>
                <w:sz w:val="20"/>
              </w:rPr>
              <w:t>8절</w:t>
            </w:r>
          </w:p>
        </w:tc>
        <w:tc>
          <w:tcPr>
            <w:tcW w:type="dxa" w:w="1728"/>
          </w:tcPr>
          <w:p>
            <w:r>
              <w:rPr>
                <w:rFonts w:ascii="맑은 고딕" w:hAnsi="맑은 고딕" w:eastAsia="맑은 고딕"/>
                <w:b w:val="0"/>
                <w:sz w:val="20"/>
              </w:rPr>
              <w:t>7절 목표 지표 충족</w:t>
            </w:r>
          </w:p>
        </w:tc>
      </w:tr>
      <w:tr>
        <w:tc>
          <w:tcPr>
            <w:tcW w:type="dxa" w:w="1728"/>
            <w:shd w:val="clear" w:color="auto" w:fill="F2F2F2"/>
          </w:tcPr>
          <w:p>
            <w:r>
              <w:rPr>
                <w:rFonts w:ascii="맑은 고딕" w:hAnsi="맑은 고딕" w:eastAsia="맑은 고딕"/>
                <w:b w:val="0"/>
                <w:sz w:val="20"/>
              </w:rPr>
              <w:t>2027-02 (Sprint 14-15)</w:t>
            </w:r>
          </w:p>
        </w:tc>
        <w:tc>
          <w:tcPr>
            <w:tcW w:type="dxa" w:w="1728"/>
            <w:shd w:val="clear" w:color="auto" w:fill="F2F2F2"/>
          </w:tcPr>
          <w:p>
            <w:r>
              <w:rPr>
                <w:rFonts w:ascii="맑은 고딕" w:hAnsi="맑은 고딕" w:eastAsia="맑은 고딕"/>
                <w:b w:val="0"/>
                <w:sz w:val="20"/>
              </w:rPr>
              <w:t>8절 4단계: 전면 확대 + GA</w:t>
            </w:r>
          </w:p>
        </w:tc>
        <w:tc>
          <w:tcPr>
            <w:tcW w:type="dxa" w:w="1728"/>
            <w:shd w:val="clear" w:color="auto" w:fill="F2F2F2"/>
          </w:tcPr>
          <w:p>
            <w:r>
              <w:rPr>
                <w:rFonts w:ascii="맑은 고딕" w:hAnsi="맑은 고딕" w:eastAsia="맑은 고딕"/>
                <w:b w:val="0"/>
                <w:sz w:val="20"/>
              </w:rPr>
              <w:t>트래픽 60%→100% 확대, 정식 출시</w:t>
            </w:r>
          </w:p>
        </w:tc>
        <w:tc>
          <w:tcPr>
            <w:tcW w:type="dxa" w:w="1728"/>
            <w:shd w:val="clear" w:color="auto" w:fill="F2F2F2"/>
          </w:tcPr>
          <w:p>
            <w:r>
              <w:rPr>
                <w:rFonts w:ascii="맑은 고딕" w:hAnsi="맑은 고딕" w:eastAsia="맑은 고딕"/>
                <w:b w:val="0"/>
                <w:sz w:val="20"/>
              </w:rPr>
              <w:t>8, 13절</w:t>
            </w:r>
          </w:p>
        </w:tc>
        <w:tc>
          <w:tcPr>
            <w:tcW w:type="dxa" w:w="1728"/>
            <w:shd w:val="clear" w:color="auto" w:fill="F2F2F2"/>
          </w:tcPr>
          <w:p>
            <w:r>
              <w:rPr>
                <w:rFonts w:ascii="맑은 고딕" w:hAnsi="맑은 고딕" w:eastAsia="맑은 고딕"/>
                <w:b w:val="0"/>
                <w:sz w:val="20"/>
              </w:rPr>
              <w:t>전체 목표 지표 상시 충족</w:t>
            </w:r>
          </w:p>
        </w:tc>
      </w:tr>
      <w:tr>
        <w:tc>
          <w:tcPr>
            <w:tcW w:type="dxa" w:w="1728"/>
          </w:tcPr>
          <w:p>
            <w:r>
              <w:rPr>
                <w:rFonts w:ascii="맑은 고딕" w:hAnsi="맑은 고딕" w:eastAsia="맑은 고딕"/>
                <w:b w:val="0"/>
                <w:sz w:val="20"/>
              </w:rPr>
              <w:t>2027-03 (Sprint 16-17)</w:t>
            </w:r>
          </w:p>
        </w:tc>
        <w:tc>
          <w:tcPr>
            <w:tcW w:type="dxa" w:w="1728"/>
          </w:tcPr>
          <w:p>
            <w:r>
              <w:rPr>
                <w:rFonts w:ascii="맑은 고딕" w:hAnsi="맑은 고딕" w:eastAsia="맑은 고딕"/>
                <w:b w:val="0"/>
                <w:sz w:val="20"/>
              </w:rPr>
              <w:t>온프레미스 경로 순차 오픈</w:t>
            </w:r>
          </w:p>
        </w:tc>
        <w:tc>
          <w:tcPr>
            <w:tcW w:type="dxa" w:w="1728"/>
          </w:tcPr>
          <w:p>
            <w:r>
              <w:rPr>
                <w:rFonts w:ascii="맑은 고딕" w:hAnsi="맑은 고딕" w:eastAsia="맑은 고딕"/>
                <w:b w:val="0"/>
                <w:sz w:val="20"/>
              </w:rPr>
              <w:t>민감 등급 고객사 대상 후보 A 경로 오픈</w:t>
            </w:r>
          </w:p>
        </w:tc>
        <w:tc>
          <w:tcPr>
            <w:tcW w:type="dxa" w:w="1728"/>
          </w:tcPr>
          <w:p>
            <w:r>
              <w:rPr>
                <w:rFonts w:ascii="맑은 고딕" w:hAnsi="맑은 고딕" w:eastAsia="맑은 고딕"/>
                <w:b w:val="0"/>
                <w:sz w:val="20"/>
              </w:rPr>
              <w:t>3, 6절</w:t>
            </w:r>
          </w:p>
        </w:tc>
        <w:tc>
          <w:tcPr>
            <w:tcW w:type="dxa" w:w="1728"/>
          </w:tcPr>
          <w:p>
            <w:r>
              <w:rPr>
                <w:rFonts w:ascii="맑은 고딕" w:hAnsi="맑은 고딕" w:eastAsia="맑은 고딕"/>
                <w:b w:val="0"/>
                <w:sz w:val="20"/>
              </w:rPr>
              <w:t>ROUGE-L 0.58 이상 확인</w:t>
            </w:r>
          </w:p>
        </w:tc>
      </w:tr>
      <w:tr>
        <w:tc>
          <w:tcPr>
            <w:tcW w:type="dxa" w:w="1728"/>
            <w:shd w:val="clear" w:color="auto" w:fill="F2F2F2"/>
          </w:tcPr>
          <w:p>
            <w:r>
              <w:rPr>
                <w:rFonts w:ascii="맑은 고딕" w:hAnsi="맑은 고딕" w:eastAsia="맑은 고딕"/>
                <w:b w:val="0"/>
                <w:sz w:val="20"/>
              </w:rPr>
              <w:t>2027-04~05 (Sprint 18-20)</w:t>
            </w:r>
          </w:p>
        </w:tc>
        <w:tc>
          <w:tcPr>
            <w:tcW w:type="dxa" w:w="1728"/>
            <w:shd w:val="clear" w:color="auto" w:fill="F2F2F2"/>
          </w:tcPr>
          <w:p>
            <w:r>
              <w:rPr>
                <w:rFonts w:ascii="맑은 고딕" w:hAnsi="맑은 고딕" w:eastAsia="맑은 고딕"/>
                <w:b w:val="0"/>
                <w:sz w:val="20"/>
              </w:rPr>
              <w:t>일본어 대응 2단계</w:t>
            </w:r>
          </w:p>
        </w:tc>
        <w:tc>
          <w:tcPr>
            <w:tcW w:type="dxa" w:w="1728"/>
            <w:shd w:val="clear" w:color="auto" w:fill="F2F2F2"/>
          </w:tcPr>
          <w:p>
            <w:r>
              <w:rPr>
                <w:rFonts w:ascii="맑은 고딕" w:hAnsi="맑은 고딕" w:eastAsia="맑은 고딕"/>
                <w:b w:val="0"/>
                <w:sz w:val="20"/>
              </w:rPr>
              <w:t>일본어 학습 데이터 400건 확보, 파인튜닝 v2</w:t>
            </w:r>
          </w:p>
        </w:tc>
        <w:tc>
          <w:tcPr>
            <w:tcW w:type="dxa" w:w="1728"/>
            <w:shd w:val="clear" w:color="auto" w:fill="F2F2F2"/>
          </w:tcPr>
          <w:p>
            <w:r>
              <w:rPr>
                <w:rFonts w:ascii="맑은 고딕" w:hAnsi="맑은 고딕" w:eastAsia="맑은 고딕"/>
                <w:b w:val="0"/>
                <w:sz w:val="20"/>
              </w:rPr>
              <w:t>10절</w:t>
            </w:r>
          </w:p>
        </w:tc>
        <w:tc>
          <w:tcPr>
            <w:tcW w:type="dxa" w:w="1728"/>
            <w:shd w:val="clear" w:color="auto" w:fill="F2F2F2"/>
          </w:tcPr>
          <w:p>
            <w:r>
              <w:rPr>
                <w:rFonts w:ascii="맑은 고딕" w:hAnsi="맑은 고딕" w:eastAsia="맑은 고딕"/>
                <w:b w:val="0"/>
                <w:sz w:val="20"/>
              </w:rPr>
              <w:t>PRJ-2026-07 일정 정합</w:t>
            </w:r>
          </w:p>
        </w:tc>
      </w:tr>
      <w:tr>
        <w:tc>
          <w:tcPr>
            <w:tcW w:type="dxa" w:w="1728"/>
          </w:tcPr>
          <w:p>
            <w:r>
              <w:rPr>
                <w:rFonts w:ascii="맑은 고딕" w:hAnsi="맑은 고딕" w:eastAsia="맑은 고딕"/>
                <w:b w:val="0"/>
                <w:sz w:val="20"/>
              </w:rPr>
              <w:t>2027-06 (Sprint 21)</w:t>
            </w:r>
          </w:p>
        </w:tc>
        <w:tc>
          <w:tcPr>
            <w:tcW w:type="dxa" w:w="1728"/>
          </w:tcPr>
          <w:p>
            <w:r>
              <w:rPr>
                <w:rFonts w:ascii="맑은 고딕" w:hAnsi="맑은 고딕" w:eastAsia="맑은 고딕"/>
                <w:b w:val="0"/>
                <w:sz w:val="20"/>
              </w:rPr>
              <w:t>고도화 및 회의노트 첨부 요약 검토</w:t>
            </w:r>
          </w:p>
        </w:tc>
        <w:tc>
          <w:tcPr>
            <w:tcW w:type="dxa" w:w="1728"/>
          </w:tcPr>
          <w:p>
            <w:r>
              <w:rPr>
                <w:rFonts w:ascii="맑은 고딕" w:hAnsi="맑은 고딕" w:eastAsia="맑은 고딕"/>
                <w:b w:val="0"/>
                <w:sz w:val="20"/>
              </w:rPr>
              <w:t>2차 파인튜닝, 업종별 편차 보정 리포트</w:t>
            </w:r>
          </w:p>
        </w:tc>
        <w:tc>
          <w:tcPr>
            <w:tcW w:type="dxa" w:w="1728"/>
          </w:tcPr>
          <w:p>
            <w:r>
              <w:rPr>
                <w:rFonts w:ascii="맑은 고딕" w:hAnsi="맑은 고딕" w:eastAsia="맑은 고딕"/>
                <w:b w:val="0"/>
                <w:sz w:val="20"/>
              </w:rPr>
              <w:t>13절</w:t>
            </w:r>
          </w:p>
        </w:tc>
        <w:tc>
          <w:tcPr>
            <w:tcW w:type="dxa" w:w="1728"/>
          </w:tcPr>
          <w:p>
            <w:r>
              <w:rPr>
                <w:rFonts w:ascii="맑은 고딕" w:hAnsi="맑은 고딕" w:eastAsia="맑은 고딕"/>
                <w:b w:val="0"/>
                <w:sz w:val="20"/>
              </w:rPr>
              <w:t>AI팀장 승인</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개발본부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