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right"/>
        <w:tblLook w:firstColumn="1" w:firstRow="1" w:lastColumn="0" w:lastRow="0" w:noHBand="0" w:noVBand="1" w:val="04A0"/>
      </w:tblPr>
      <w:tblGrid>
        <w:gridCol w:w="2880"/>
        <w:gridCol w:w="2880"/>
        <w:gridCol w:w="2880"/>
      </w:tblGrid>
      <w:tr>
        <w:tc>
          <w:tcPr>
            <w:tcW w:type="dxa" w:w="1200"/>
            <w:shd w:val="clear" w:color="auto" w:fill="D9D9D9"/>
          </w:tcPr>
          <w:p>
            <w:pPr>
              <w:jc w:val="center"/>
            </w:pPr>
            <w:r>
              <w:rPr>
                <w:rFonts w:ascii="맑은 고딕" w:hAnsi="맑은 고딕" w:eastAsia="맑은 고딕"/>
                <w:b/>
                <w:sz w:val="18"/>
              </w:rPr>
              <w:t>기안</w:t>
            </w:r>
          </w:p>
        </w:tc>
        <w:tc>
          <w:tcPr>
            <w:tcW w:type="dxa" w:w="1200"/>
            <w:shd w:val="clear" w:color="auto" w:fill="D9D9D9"/>
          </w:tcPr>
          <w:p>
            <w:pPr>
              <w:jc w:val="center"/>
            </w:pPr>
            <w:r>
              <w:rPr>
                <w:rFonts w:ascii="맑은 고딕" w:hAnsi="맑은 고딕" w:eastAsia="맑은 고딕"/>
                <w:b/>
                <w:sz w:val="18"/>
              </w:rPr>
              <w:t>검토</w:t>
            </w:r>
          </w:p>
        </w:tc>
        <w:tc>
          <w:tcPr>
            <w:tcW w:type="dxa" w:w="1200"/>
            <w:shd w:val="clear" w:color="auto" w:fill="D9D9D9"/>
          </w:tcPr>
          <w:p>
            <w:pPr>
              <w:jc w:val="center"/>
            </w:pPr>
            <w:r>
              <w:rPr>
                <w:rFonts w:ascii="맑은 고딕" w:hAnsi="맑은 고딕" w:eastAsia="맑은 고딕"/>
                <w:b/>
                <w:sz w:val="18"/>
              </w:rPr>
              <w:t>승인</w:t>
            </w:r>
          </w:p>
        </w:tc>
      </w:tr>
      <w:tr>
        <w:tc>
          <w:tcPr>
            <w:tcW w:type="dxa" w:w="1200"/>
          </w:tcPr>
          <w:p>
            <w:pPr>
              <w:jc w:val="center"/>
            </w:pPr>
            <w:r>
              <w:rPr>
                <w:rFonts w:ascii="맑은 고딕" w:hAnsi="맑은 고딕" w:eastAsia="맑은 고딕"/>
                <w:b w:val="0"/>
                <w:sz w:val="18"/>
              </w:rPr>
              <w:t>오세훈</w:t>
            </w:r>
          </w:p>
        </w:tc>
        <w:tc>
          <w:tcPr>
            <w:tcW w:type="dxa" w:w="1200"/>
          </w:tcPr>
          <w:p>
            <w:pPr>
              <w:jc w:val="center"/>
            </w:pPr>
            <w:r>
              <w:rPr>
                <w:rFonts w:ascii="맑은 고딕" w:hAnsi="맑은 고딕" w:eastAsia="맑은 고딕"/>
                <w:b w:val="0"/>
                <w:sz w:val="18"/>
              </w:rPr>
              <w:t>이수민</w:t>
            </w:r>
          </w:p>
        </w:tc>
        <w:tc>
          <w:tcPr>
            <w:tcW w:type="dxa" w:w="1200"/>
          </w:tcPr>
          <w:p>
            <w:pPr>
              <w:jc w:val="center"/>
            </w:pPr>
            <w:r>
              <w:rPr>
                <w:rFonts w:ascii="맑은 고딕" w:hAnsi="맑은 고딕" w:eastAsia="맑은 고딕"/>
                <w:b w:val="0"/>
                <w:sz w:val="18"/>
              </w:rPr>
              <w:t>김도현</w:t>
            </w:r>
          </w:p>
        </w:tc>
      </w:tr>
    </w:tbl>
    <w:p/>
    <w:p>
      <w:pPr>
        <w:pBdr>
          <w:bottom w:val="single" w:sz="18" w:space="4" w:color="1F3864"/>
        </w:pBdr>
      </w:pPr>
      <w:r>
        <w:rPr>
          <w:rFonts w:ascii="맑은 고딕" w:hAnsi="맑은 고딕" w:eastAsia="맑은 고딕"/>
          <w:b/>
          <w:color w:val="1F3864"/>
          <w:sz w:val="36"/>
        </w:rPr>
        <w:t>일본 진출 리셀 파트너사 협상 자료 (확장판)</w:t>
      </w:r>
    </w:p>
    <w:p>
      <w:r>
        <w:rPr>
          <w:rFonts w:ascii="맑은 고딕" w:hAnsi="맑은 고딕" w:eastAsia="맑은 고딕"/>
          <w:b w:val="0"/>
          <w:color w:val="595959"/>
          <w:sz w:val="18"/>
        </w:rPr>
        <w:t>문서번호: NW-SALES-2026-013    작성일: 2026-08-15    작성자: 영업팀장 오세훈    배포범위: 영업팀·경영기획실 한정</w:t>
      </w:r>
    </w:p>
    <w:p/>
    <w:p>
      <w:r>
        <w:rPr>
          <w:rFonts w:ascii="맑은 고딕" w:hAnsi="맑은 고딕" w:eastAsia="맑은 고딕"/>
          <w:b/>
          <w:color w:val="1F3864"/>
          <w:sz w:val="26"/>
        </w:rPr>
        <w:t>1. 개요</w:t>
      </w:r>
    </w:p>
    <w:p>
      <w:pPr>
        <w:spacing w:line="312" w:lineRule="auto" w:after="160"/>
      </w:pPr>
      <w:r>
        <w:rPr>
          <w:rFonts w:ascii="맑은 고딕" w:hAnsi="맑은 고딕" w:eastAsia="맑은 고딕"/>
          <w:b w:val="0"/>
          <w:sz w:val="22"/>
        </w:rPr>
        <w:t>본 자료는 PRJ-2026-07(일본 진출) 추진의 일환으로, 네오보드(NeoBoard) 일본 현지 리셀 파트너십 후보 2개사의 제시 조건을 비교하고 향후 협상 전략을 정리한 것이다.</w:t>
      </w:r>
    </w:p>
    <w:p>
      <w:pPr>
        <w:spacing w:line="312" w:lineRule="auto" w:after="160"/>
      </w:pPr>
      <w:r>
        <w:rPr>
          <w:rFonts w:ascii="맑은 고딕" w:hAnsi="맑은 고딕" w:eastAsia="맑은 고딕"/>
          <w:b w:val="0"/>
          <w:sz w:val="22"/>
        </w:rPr>
        <w:t>대상 후보는 Tokyo Bridge Solutions K.K.(이하 'TBS')와 Sakura Partners K.K.(이하 'SPK') 2개사이며, 양사 모두 2026년 6~7월 실사(Due Diligence)를 완료하고 8월 중 조건 협상 단계에 있다.</w:t>
      </w:r>
    </w:p>
    <w:p>
      <w:pPr>
        <w:spacing w:line="312" w:lineRule="auto" w:after="160"/>
      </w:pPr>
      <w:r>
        <w:rPr>
          <w:rFonts w:ascii="맑은 고딕" w:hAnsi="맑은 고딕" w:eastAsia="맑은 고딕"/>
          <w:b w:val="0"/>
          <w:sz w:val="22"/>
        </w:rPr>
        <w:t>목표 일정은 2026년 10월 계약 체결, 2026년 4분기 일본 시장 정식 런칭이며, 최종 파트너사 선정 및 조건 확정은 경영기획실 검토를 거쳐 대표이사 승인으로 진행한다.</w:t>
      </w:r>
    </w:p>
    <w:p>
      <w:pPr>
        <w:spacing w:line="312" w:lineRule="auto" w:after="160"/>
      </w:pPr>
      <w:r>
        <w:rPr>
          <w:rFonts w:ascii="맑은 고딕" w:hAnsi="맑은 고딕" w:eastAsia="맑은 고딕"/>
          <w:b w:val="0"/>
          <w:sz w:val="22"/>
        </w:rPr>
        <w:t>당사(네오웍스) 초기 제시안: 수수료율 20%, 최소보장금액 연 JPY 60,000,000, 계약기간 2년, 지역 한정 독점(간토 지역).</w:t>
      </w:r>
    </w:p>
    <w:p>
      <w:pPr>
        <w:spacing w:line="312" w:lineRule="auto" w:after="160"/>
      </w:pPr>
      <w:r>
        <w:rPr>
          <w:rFonts w:ascii="맑은 고딕" w:hAnsi="맑은 고딕" w:eastAsia="맑은 고딕"/>
          <w:b w:val="0"/>
          <w:sz w:val="22"/>
        </w:rPr>
        <w:t>본 확장판은 기존 협상 자료(v1, 2026-08-10)에 후보사 상세 프로필, 협상 히스토리, 3개년 재무 시뮬레이션, 리스크 평가, 최종 권고안을 추가하여 경영기획실 및 대표이사 보고용으로 재작성한 것이다. 8월 말 임원 보고 및 9월 초 최종 조건 확정 회의의 근거 자료로 활용될 예정이다.</w:t>
      </w:r>
    </w:p>
    <w:p>
      <w:r>
        <w:rPr>
          <w:rFonts w:ascii="맑은 고딕" w:hAnsi="맑은 고딕" w:eastAsia="맑은 고딕"/>
          <w:b/>
          <w:color w:val="1F3864"/>
          <w:sz w:val="26"/>
        </w:rPr>
        <w:t>2. 후보사 상세 프로필</w:t>
      </w:r>
    </w:p>
    <w:p>
      <w:pPr>
        <w:spacing w:line="312" w:lineRule="auto" w:after="160"/>
      </w:pPr>
      <w:r>
        <w:rPr>
          <w:rFonts w:ascii="맑은 고딕" w:hAnsi="맑은 고딕" w:eastAsia="맑은 고딕"/>
          <w:b w:val="0"/>
          <w:sz w:val="22"/>
        </w:rPr>
        <w:t>2-1. TBS (Tokyo Bridge Solutions K.K.)</w:t>
      </w:r>
    </w:p>
    <w:p>
      <w:pPr>
        <w:spacing w:line="312" w:lineRule="auto" w:after="160"/>
      </w:pPr>
      <w:r>
        <w:rPr>
          <w:rFonts w:ascii="맑은 고딕" w:hAnsi="맑은 고딕" w:eastAsia="맑은 고딕"/>
          <w:b w:val="0"/>
          <w:sz w:val="22"/>
        </w:rPr>
        <w:t>TBS는 2011년 도쿄 미나토구에서 설립된 중견 SaaS·업무협업툴 리셀러로, 설립 15년차인 현재 임직원 약 140명 규모로 성장하였다. 초기에는 해외 CRM·ERP 솔루션의 일본 현지화 및 리셀 사업으로 출발하였으며, 2018년경부터 협업툴·화이트보드 SW 분야로 사업 영역을 확장해 왔다.</w:t>
      </w:r>
    </w:p>
    <w:p>
      <w:pPr>
        <w:spacing w:line="312" w:lineRule="auto" w:after="160"/>
      </w:pPr>
      <w:r>
        <w:rPr>
          <w:rFonts w:ascii="맑은 고딕" w:hAnsi="맑은 고딕" w:eastAsia="맑은 고딕"/>
          <w:b w:val="0"/>
          <w:sz w:val="22"/>
        </w:rPr>
        <w:t>주요 취급 제품군은 해외산 프로젝트관리 SW, 화상회의 연동 협업툴, 문서관리 SW 등이며, 고객 기반은 금융·제조 대기업 및 간토·간사이 지역 중견 상장기업 중심이다. 2025년 기준 추정 연매출은 약 JPY 4,200,000,000(원화 환산 약 380억원 상당) 수준이며, 리셀 사업부 매출 비중은 전체의 약 35%로 추정된다.</w:t>
      </w:r>
    </w:p>
    <w:p>
      <w:pPr>
        <w:spacing w:line="312" w:lineRule="auto" w:after="160"/>
      </w:pPr>
      <w:r>
        <w:rPr>
          <w:rFonts w:ascii="맑은 고딕" w:hAnsi="맑은 고딕" w:eastAsia="맑은 고딕"/>
          <w:b w:val="0"/>
          <w:sz w:val="22"/>
        </w:rPr>
        <w:t>대기업 채널 영업력이 강점이나, 신규 SW 브랜드 온보딩 속도는 상대적으로 느린 편으로 알려져 있으며, 계약 조건 협상 시 장기 계약과 초기 셋업비를 통한 안정적 수익 구조를 선호하는 경향이 뚜렷하다.</w:t>
      </w:r>
    </w:p>
    <w:p>
      <w:pPr>
        <w:spacing w:line="312" w:lineRule="auto" w:after="160"/>
      </w:pPr>
      <w:r>
        <w:rPr>
          <w:rFonts w:ascii="맑은 고딕" w:hAnsi="맑은 고딕" w:eastAsia="맑은 고딕"/>
          <w:b w:val="0"/>
          <w:sz w:val="22"/>
        </w:rPr>
        <w:t>2-2. SPK (Sakura Partners K.K.)</w:t>
      </w:r>
    </w:p>
    <w:p>
      <w:pPr>
        <w:spacing w:line="312" w:lineRule="auto" w:after="160"/>
      </w:pPr>
      <w:r>
        <w:rPr>
          <w:rFonts w:ascii="맑은 고딕" w:hAnsi="맑은 고딕" w:eastAsia="맑은 고딕"/>
          <w:b w:val="0"/>
          <w:sz w:val="22"/>
        </w:rPr>
        <w:t>SPK는 2019년 오사카에서 설립된 신흥 리셀러로, 설립 7년차의 비교적 젊은 조직이나 중소기업·스타트업 대상 SaaS 유통에서 빠른 성장세를 보이고 있다. 임직원 규모는 약 45명이며, 주요 취급 제품군은 클라우드 협업툴, 화상회의 SW, 생산성 관리 SW 등으로 네오보드와 제품군 궁합이 높다는 평가를 받는다.</w:t>
      </w:r>
    </w:p>
    <w:p>
      <w:pPr>
        <w:spacing w:line="312" w:lineRule="auto" w:after="160"/>
      </w:pPr>
      <w:r>
        <w:rPr>
          <w:rFonts w:ascii="맑은 고딕" w:hAnsi="맑은 고딕" w:eastAsia="맑은 고딕"/>
          <w:b w:val="0"/>
          <w:sz w:val="22"/>
        </w:rPr>
        <w:t>고객 기반은 간사이 지역을 중심으로 한 중소기업·스타트업·1인기업 채널이 주력이며, 최근 2년간 온라인 마케팅 기반 신규 고객 유치 실적이 두드러진다. 2025년 기준 추정 연매출은 약 JPY 1,100,000,000(원화 환산 약 100억원 상당)이며, 벤처캐피탈로부터 시리즈B 투자를 유치한 이력이 있어 공격적 확장 전략을 구사하는 것으로 파악된다.</w:t>
      </w:r>
    </w:p>
    <w:p>
      <w:pPr>
        <w:spacing w:line="312" w:lineRule="auto" w:after="160"/>
      </w:pPr>
      <w:r>
        <w:rPr>
          <w:rFonts w:ascii="맑은 고딕" w:hAnsi="맑은 고딕" w:eastAsia="맑은 고딕"/>
          <w:b w:val="0"/>
          <w:sz w:val="22"/>
        </w:rPr>
        <w:t>다만 조직 규모 대비 전국 단위 영업망은 아직 검증되지 않은 상태이며, 급격한 채용 확대에 따른 조직 안정성 리스크도 실사 과정에서 일부 확인되었다.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구분</w:t>
            </w:r>
          </w:p>
        </w:tc>
        <w:tc>
          <w:tcPr>
            <w:tcW w:type="dxa" w:w="2880"/>
            <w:shd w:val="clear" w:color="auto" w:fill="1F3864"/>
          </w:tcPr>
          <w:p>
            <w:pPr>
              <w:jc w:val="center"/>
            </w:pPr>
            <w:r>
              <w:rPr>
                <w:rFonts w:ascii="맑은 고딕" w:hAnsi="맑은 고딕" w:eastAsia="맑은 고딕"/>
                <w:b/>
                <w:color w:val="FFFFFF"/>
                <w:sz w:val="20"/>
              </w:rPr>
              <w:t>TBS (Tokyo Bridge Solutions K.K.)</w:t>
            </w:r>
          </w:p>
        </w:tc>
        <w:tc>
          <w:tcPr>
            <w:tcW w:type="dxa" w:w="2880"/>
            <w:shd w:val="clear" w:color="auto" w:fill="1F3864"/>
          </w:tcPr>
          <w:p>
            <w:pPr>
              <w:jc w:val="center"/>
            </w:pPr>
            <w:r>
              <w:rPr>
                <w:rFonts w:ascii="맑은 고딕" w:hAnsi="맑은 고딕" w:eastAsia="맑은 고딕"/>
                <w:b/>
                <w:color w:val="FFFFFF"/>
                <w:sz w:val="20"/>
              </w:rPr>
              <w:t>SPK (Sakura Partners K.K.)</w:t>
            </w:r>
          </w:p>
        </w:tc>
      </w:tr>
      <w:tr>
        <w:tc>
          <w:tcPr>
            <w:tcW w:type="dxa" w:w="2880"/>
          </w:tcPr>
          <w:p>
            <w:r>
              <w:rPr>
                <w:rFonts w:ascii="맑은 고딕" w:hAnsi="맑은 고딕" w:eastAsia="맑은 고딕"/>
                <w:b w:val="0"/>
                <w:sz w:val="20"/>
              </w:rPr>
              <w:t>설립연도</w:t>
            </w:r>
          </w:p>
        </w:tc>
        <w:tc>
          <w:tcPr>
            <w:tcW w:type="dxa" w:w="2880"/>
          </w:tcPr>
          <w:p>
            <w:r>
              <w:rPr>
                <w:rFonts w:ascii="맑은 고딕" w:hAnsi="맑은 고딕" w:eastAsia="맑은 고딕"/>
                <w:b w:val="0"/>
                <w:sz w:val="20"/>
              </w:rPr>
              <w:t>2011년</w:t>
            </w:r>
          </w:p>
        </w:tc>
        <w:tc>
          <w:tcPr>
            <w:tcW w:type="dxa" w:w="2880"/>
          </w:tcPr>
          <w:p>
            <w:r>
              <w:rPr>
                <w:rFonts w:ascii="맑은 고딕" w:hAnsi="맑은 고딕" w:eastAsia="맑은 고딕"/>
                <w:b w:val="0"/>
                <w:sz w:val="20"/>
              </w:rPr>
              <w:t>2019년</w:t>
            </w:r>
          </w:p>
        </w:tc>
      </w:tr>
      <w:tr>
        <w:tc>
          <w:tcPr>
            <w:tcW w:type="dxa" w:w="2880"/>
            <w:shd w:val="clear" w:color="auto" w:fill="F2F2F2"/>
          </w:tcPr>
          <w:p>
            <w:r>
              <w:rPr>
                <w:rFonts w:ascii="맑은 고딕" w:hAnsi="맑은 고딕" w:eastAsia="맑은 고딕"/>
                <w:b w:val="0"/>
                <w:sz w:val="20"/>
              </w:rPr>
              <w:t>본사 소재지</w:t>
            </w:r>
          </w:p>
        </w:tc>
        <w:tc>
          <w:tcPr>
            <w:tcW w:type="dxa" w:w="2880"/>
            <w:shd w:val="clear" w:color="auto" w:fill="F2F2F2"/>
          </w:tcPr>
          <w:p>
            <w:r>
              <w:rPr>
                <w:rFonts w:ascii="맑은 고딕" w:hAnsi="맑은 고딕" w:eastAsia="맑은 고딕"/>
                <w:b w:val="0"/>
                <w:sz w:val="20"/>
              </w:rPr>
              <w:t>도쿄 미나토구</w:t>
            </w:r>
          </w:p>
        </w:tc>
        <w:tc>
          <w:tcPr>
            <w:tcW w:type="dxa" w:w="2880"/>
            <w:shd w:val="clear" w:color="auto" w:fill="F2F2F2"/>
          </w:tcPr>
          <w:p>
            <w:r>
              <w:rPr>
                <w:rFonts w:ascii="맑은 고딕" w:hAnsi="맑은 고딕" w:eastAsia="맑은 고딕"/>
                <w:b w:val="0"/>
                <w:sz w:val="20"/>
              </w:rPr>
              <w:t>오사카</w:t>
            </w:r>
          </w:p>
        </w:tc>
      </w:tr>
      <w:tr>
        <w:tc>
          <w:tcPr>
            <w:tcW w:type="dxa" w:w="2880"/>
          </w:tcPr>
          <w:p>
            <w:r>
              <w:rPr>
                <w:rFonts w:ascii="맑은 고딕" w:hAnsi="맑은 고딕" w:eastAsia="맑은 고딕"/>
                <w:b w:val="0"/>
                <w:sz w:val="20"/>
              </w:rPr>
              <w:t>임직원 수</w:t>
            </w:r>
          </w:p>
        </w:tc>
        <w:tc>
          <w:tcPr>
            <w:tcW w:type="dxa" w:w="2880"/>
          </w:tcPr>
          <w:p>
            <w:r>
              <w:rPr>
                <w:rFonts w:ascii="맑은 고딕" w:hAnsi="맑은 고딕" w:eastAsia="맑은 고딕"/>
                <w:b w:val="0"/>
                <w:sz w:val="20"/>
              </w:rPr>
              <w:t>약 140명</w:t>
            </w:r>
          </w:p>
        </w:tc>
        <w:tc>
          <w:tcPr>
            <w:tcW w:type="dxa" w:w="2880"/>
          </w:tcPr>
          <w:p>
            <w:r>
              <w:rPr>
                <w:rFonts w:ascii="맑은 고딕" w:hAnsi="맑은 고딕" w:eastAsia="맑은 고딕"/>
                <w:b w:val="0"/>
                <w:sz w:val="20"/>
              </w:rPr>
              <w:t>약 45명</w:t>
            </w:r>
          </w:p>
        </w:tc>
      </w:tr>
      <w:tr>
        <w:tc>
          <w:tcPr>
            <w:tcW w:type="dxa" w:w="2880"/>
            <w:shd w:val="clear" w:color="auto" w:fill="F2F2F2"/>
          </w:tcPr>
          <w:p>
            <w:r>
              <w:rPr>
                <w:rFonts w:ascii="맑은 고딕" w:hAnsi="맑은 고딕" w:eastAsia="맑은 고딕"/>
                <w:b w:val="0"/>
                <w:sz w:val="20"/>
              </w:rPr>
              <w:t>2025년 추정 연매출</w:t>
            </w:r>
          </w:p>
        </w:tc>
        <w:tc>
          <w:tcPr>
            <w:tcW w:type="dxa" w:w="2880"/>
            <w:shd w:val="clear" w:color="auto" w:fill="F2F2F2"/>
          </w:tcPr>
          <w:p>
            <w:r>
              <w:rPr>
                <w:rFonts w:ascii="맑은 고딕" w:hAnsi="맑은 고딕" w:eastAsia="맑은 고딕"/>
                <w:b w:val="0"/>
                <w:sz w:val="20"/>
              </w:rPr>
              <w:t>JPY 4,200,000,000</w:t>
            </w:r>
          </w:p>
        </w:tc>
        <w:tc>
          <w:tcPr>
            <w:tcW w:type="dxa" w:w="2880"/>
            <w:shd w:val="clear" w:color="auto" w:fill="F2F2F2"/>
          </w:tcPr>
          <w:p>
            <w:r>
              <w:rPr>
                <w:rFonts w:ascii="맑은 고딕" w:hAnsi="맑은 고딕" w:eastAsia="맑은 고딕"/>
                <w:b w:val="0"/>
                <w:sz w:val="20"/>
              </w:rPr>
              <w:t>JPY 1,100,000,000</w:t>
            </w:r>
          </w:p>
        </w:tc>
      </w:tr>
      <w:tr>
        <w:tc>
          <w:tcPr>
            <w:tcW w:type="dxa" w:w="2880"/>
          </w:tcPr>
          <w:p>
            <w:r>
              <w:rPr>
                <w:rFonts w:ascii="맑은 고딕" w:hAnsi="맑은 고딕" w:eastAsia="맑은 고딕"/>
                <w:b w:val="0"/>
                <w:sz w:val="20"/>
              </w:rPr>
              <w:t>주요 취급 제품군</w:t>
            </w:r>
          </w:p>
        </w:tc>
        <w:tc>
          <w:tcPr>
            <w:tcW w:type="dxa" w:w="2880"/>
          </w:tcPr>
          <w:p>
            <w:r>
              <w:rPr>
                <w:rFonts w:ascii="맑은 고딕" w:hAnsi="맑은 고딕" w:eastAsia="맑은 고딕"/>
                <w:b w:val="0"/>
                <w:sz w:val="20"/>
              </w:rPr>
              <w:t>CRM·ERP, 프로젝트관리 SW, 협업툴, 문서관리 SW</w:t>
            </w:r>
          </w:p>
        </w:tc>
        <w:tc>
          <w:tcPr>
            <w:tcW w:type="dxa" w:w="2880"/>
          </w:tcPr>
          <w:p>
            <w:r>
              <w:rPr>
                <w:rFonts w:ascii="맑은 고딕" w:hAnsi="맑은 고딕" w:eastAsia="맑은 고딕"/>
                <w:b w:val="0"/>
                <w:sz w:val="20"/>
              </w:rPr>
              <w:t>클라우드 협업툴, 화상회의 SW, 생산성관리 SW</w:t>
            </w:r>
          </w:p>
        </w:tc>
      </w:tr>
      <w:tr>
        <w:tc>
          <w:tcPr>
            <w:tcW w:type="dxa" w:w="2880"/>
            <w:shd w:val="clear" w:color="auto" w:fill="F2F2F2"/>
          </w:tcPr>
          <w:p>
            <w:r>
              <w:rPr>
                <w:rFonts w:ascii="맑은 고딕" w:hAnsi="맑은 고딕" w:eastAsia="맑은 고딕"/>
                <w:b w:val="0"/>
                <w:sz w:val="20"/>
              </w:rPr>
              <w:t>주요 고객군</w:t>
            </w:r>
          </w:p>
        </w:tc>
        <w:tc>
          <w:tcPr>
            <w:tcW w:type="dxa" w:w="2880"/>
            <w:shd w:val="clear" w:color="auto" w:fill="F2F2F2"/>
          </w:tcPr>
          <w:p>
            <w:r>
              <w:rPr>
                <w:rFonts w:ascii="맑은 고딕" w:hAnsi="맑은 고딕" w:eastAsia="맑은 고딕"/>
                <w:b w:val="0"/>
                <w:sz w:val="20"/>
              </w:rPr>
              <w:t>금융·제조 대기업, 상장 중견기업</w:t>
            </w:r>
          </w:p>
        </w:tc>
        <w:tc>
          <w:tcPr>
            <w:tcW w:type="dxa" w:w="2880"/>
            <w:shd w:val="clear" w:color="auto" w:fill="F2F2F2"/>
          </w:tcPr>
          <w:p>
            <w:r>
              <w:rPr>
                <w:rFonts w:ascii="맑은 고딕" w:hAnsi="맑은 고딕" w:eastAsia="맑은 고딕"/>
                <w:b w:val="0"/>
                <w:sz w:val="20"/>
              </w:rPr>
              <w:t>중소기업·스타트업·1인기업</w:t>
            </w:r>
          </w:p>
        </w:tc>
      </w:tr>
      <w:tr>
        <w:tc>
          <w:tcPr>
            <w:tcW w:type="dxa" w:w="2880"/>
          </w:tcPr>
          <w:p>
            <w:r>
              <w:rPr>
                <w:rFonts w:ascii="맑은 고딕" w:hAnsi="맑은 고딕" w:eastAsia="맑은 고딕"/>
                <w:b w:val="0"/>
                <w:sz w:val="20"/>
              </w:rPr>
              <w:t>투자 유치 이력</w:t>
            </w:r>
          </w:p>
        </w:tc>
        <w:tc>
          <w:tcPr>
            <w:tcW w:type="dxa" w:w="2880"/>
          </w:tcPr>
          <w:p>
            <w:r>
              <w:rPr>
                <w:rFonts w:ascii="맑은 고딕" w:hAnsi="맑은 고딕" w:eastAsia="맑은 고딕"/>
                <w:b w:val="0"/>
                <w:sz w:val="20"/>
              </w:rPr>
              <w:t>없음 (자기자본 성장)</w:t>
            </w:r>
          </w:p>
        </w:tc>
        <w:tc>
          <w:tcPr>
            <w:tcW w:type="dxa" w:w="2880"/>
          </w:tcPr>
          <w:p>
            <w:r>
              <w:rPr>
                <w:rFonts w:ascii="맑은 고딕" w:hAnsi="맑은 고딕" w:eastAsia="맑은 고딕"/>
                <w:b w:val="0"/>
                <w:sz w:val="20"/>
              </w:rPr>
              <w:t>시리즈B 투자 유치</w:t>
            </w:r>
          </w:p>
        </w:tc>
      </w:tr>
      <w:tr>
        <w:tc>
          <w:tcPr>
            <w:tcW w:type="dxa" w:w="2880"/>
            <w:shd w:val="clear" w:color="auto" w:fill="F2F2F2"/>
          </w:tcPr>
          <w:p>
            <w:r>
              <w:rPr>
                <w:rFonts w:ascii="맑은 고딕" w:hAnsi="맑은 고딕" w:eastAsia="맑은 고딕"/>
                <w:b w:val="0"/>
                <w:sz w:val="20"/>
              </w:rPr>
              <w:t>강점</w:t>
            </w:r>
          </w:p>
        </w:tc>
        <w:tc>
          <w:tcPr>
            <w:tcW w:type="dxa" w:w="2880"/>
            <w:shd w:val="clear" w:color="auto" w:fill="F2F2F2"/>
          </w:tcPr>
          <w:p>
            <w:r>
              <w:rPr>
                <w:rFonts w:ascii="맑은 고딕" w:hAnsi="맑은 고딕" w:eastAsia="맑은 고딕"/>
                <w:b w:val="0"/>
                <w:sz w:val="20"/>
              </w:rPr>
              <w:t>대기업 채널, 계약 안정성</w:t>
            </w:r>
          </w:p>
        </w:tc>
        <w:tc>
          <w:tcPr>
            <w:tcW w:type="dxa" w:w="2880"/>
            <w:shd w:val="clear" w:color="auto" w:fill="F2F2F2"/>
          </w:tcPr>
          <w:p>
            <w:r>
              <w:rPr>
                <w:rFonts w:ascii="맑은 고딕" w:hAnsi="맑은 고딕" w:eastAsia="맑은 고딕"/>
                <w:b w:val="0"/>
                <w:sz w:val="20"/>
              </w:rPr>
              <w:t>온라인 마케팅, 성장 속도</w:t>
            </w:r>
          </w:p>
        </w:tc>
      </w:tr>
      <w:tr>
        <w:tc>
          <w:tcPr>
            <w:tcW w:type="dxa" w:w="2880"/>
          </w:tcPr>
          <w:p>
            <w:r>
              <w:rPr>
                <w:rFonts w:ascii="맑은 고딕" w:hAnsi="맑은 고딕" w:eastAsia="맑은 고딕"/>
                <w:b w:val="0"/>
                <w:sz w:val="20"/>
              </w:rPr>
              <w:t>약점</w:t>
            </w:r>
          </w:p>
        </w:tc>
        <w:tc>
          <w:tcPr>
            <w:tcW w:type="dxa" w:w="2880"/>
          </w:tcPr>
          <w:p>
            <w:r>
              <w:rPr>
                <w:rFonts w:ascii="맑은 고딕" w:hAnsi="맑은 고딕" w:eastAsia="맑은 고딕"/>
                <w:b w:val="0"/>
                <w:sz w:val="20"/>
              </w:rPr>
              <w:t>신규 브랜드 온보딩 속도 느림</w:t>
            </w:r>
          </w:p>
        </w:tc>
        <w:tc>
          <w:tcPr>
            <w:tcW w:type="dxa" w:w="2880"/>
          </w:tcPr>
          <w:p>
            <w:r>
              <w:rPr>
                <w:rFonts w:ascii="맑은 고딕" w:hAnsi="맑은 고딕" w:eastAsia="맑은 고딕"/>
                <w:b w:val="0"/>
                <w:sz w:val="20"/>
              </w:rPr>
              <w:t>전국 영업망 미검증, 조직 안정성</w:t>
            </w:r>
          </w:p>
        </w:tc>
      </w:tr>
    </w:tbl>
    <w:p/>
    <w:p>
      <w:r>
        <w:rPr>
          <w:rFonts w:ascii="맑은 고딕" w:hAnsi="맑은 고딕" w:eastAsia="맑은 고딕"/>
          <w:b/>
          <w:color w:val="1F3864"/>
          <w:sz w:val="26"/>
        </w:rPr>
        <w:t>3. 파트너사 후보 조건 비교</w:t>
      </w:r>
    </w:p>
    <w:p>
      <w:pPr>
        <w:spacing w:line="312" w:lineRule="auto" w:after="160"/>
      </w:pPr>
      <w:r>
        <w:rPr>
          <w:rFonts w:ascii="맑은 고딕" w:hAnsi="맑은 고딕" w:eastAsia="맑은 고딕"/>
          <w:b w:val="0"/>
          <w:sz w:val="22"/>
        </w:rPr>
        <w:t>TBS는 도쿄 소재 중견 SaaS 리셀러로 대기업 고객사 채널을 보유하고 있어 초기 진입 안정성이 높은 반면 수수료율 및 독점 지역 요구 수준이 상대적으로 높다.</w:t>
      </w:r>
    </w:p>
    <w:p>
      <w:pPr>
        <w:spacing w:line="312" w:lineRule="auto" w:after="160"/>
      </w:pPr>
      <w:r>
        <w:rPr>
          <w:rFonts w:ascii="맑은 고딕" w:hAnsi="맑은 고딕" w:eastAsia="맑은 고딕"/>
          <w:b w:val="0"/>
          <w:sz w:val="22"/>
        </w:rPr>
        <w:t>SPK는 오사카 소재 신흥 리셀러로 중소기업·스타트업 채널에 강점이 있으며 공격적인 판매목표를 제시하는 대신 전국 독점권을 요구하고 있다.</w:t>
      </w:r>
    </w:p>
    <w:p>
      <w:pPr>
        <w:spacing w:line="312" w:lineRule="auto" w:after="160"/>
      </w:pPr>
      <w:r>
        <w:rPr>
          <w:rFonts w:ascii="맑은 고딕" w:hAnsi="맑은 고딕" w:eastAsia="맑은 고딕"/>
          <w:b w:val="0"/>
          <w:sz w:val="22"/>
        </w:rPr>
        <w:t>NeoBoard 라이선스 정가는 좌석당 월 JPY 1,200(엔화 환산 기준)이며, 두 후보 모두 이 정가를 기준으로 수수료율을 적용받는다.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rFonts w:ascii="맑은 고딕" w:hAnsi="맑은 고딕" w:eastAsia="맑은 고딕"/>
                <w:b/>
                <w:color w:val="FFFFFF"/>
                <w:sz w:val="20"/>
              </w:rPr>
              <w:t>구분</w:t>
            </w:r>
          </w:p>
        </w:tc>
        <w:tc>
          <w:tcPr>
            <w:tcW w:type="dxa" w:w="2880"/>
            <w:shd w:val="clear" w:color="auto" w:fill="1F3864"/>
          </w:tcPr>
          <w:p>
            <w:pPr>
              <w:jc w:val="center"/>
            </w:pPr>
            <w:r>
              <w:rPr>
                <w:rFonts w:ascii="맑은 고딕" w:hAnsi="맑은 고딕" w:eastAsia="맑은 고딕"/>
                <w:b/>
                <w:color w:val="FFFFFF"/>
                <w:sz w:val="20"/>
              </w:rPr>
              <w:t>TBS (Tokyo Bridge Solutions K.K.)</w:t>
            </w:r>
          </w:p>
        </w:tc>
        <w:tc>
          <w:tcPr>
            <w:tcW w:type="dxa" w:w="2880"/>
            <w:shd w:val="clear" w:color="auto" w:fill="1F3864"/>
          </w:tcPr>
          <w:p>
            <w:pPr>
              <w:jc w:val="center"/>
            </w:pPr>
            <w:r>
              <w:rPr>
                <w:rFonts w:ascii="맑은 고딕" w:hAnsi="맑은 고딕" w:eastAsia="맑은 고딕"/>
                <w:b/>
                <w:color w:val="FFFFFF"/>
                <w:sz w:val="20"/>
              </w:rPr>
              <w:t>SPK (Sakura Partners K.K.)</w:t>
            </w:r>
          </w:p>
        </w:tc>
      </w:tr>
      <w:tr>
        <w:tc>
          <w:tcPr>
            <w:tcW w:type="dxa" w:w="2880"/>
          </w:tcPr>
          <w:p>
            <w:r>
              <w:rPr>
                <w:rFonts w:ascii="맑은 고딕" w:hAnsi="맑은 고딕" w:eastAsia="맑은 고딕"/>
                <w:b w:val="0"/>
                <w:sz w:val="20"/>
              </w:rPr>
              <w:t>수수료율</w:t>
            </w:r>
          </w:p>
        </w:tc>
        <w:tc>
          <w:tcPr>
            <w:tcW w:type="dxa" w:w="2880"/>
          </w:tcPr>
          <w:p>
            <w:r>
              <w:rPr>
                <w:rFonts w:ascii="맑은 고딕" w:hAnsi="맑은 고딕" w:eastAsia="맑은 고딕"/>
                <w:b w:val="0"/>
                <w:sz w:val="20"/>
              </w:rPr>
              <w:t>25% (매출 기준)</w:t>
            </w:r>
          </w:p>
        </w:tc>
        <w:tc>
          <w:tcPr>
            <w:tcW w:type="dxa" w:w="2880"/>
          </w:tcPr>
          <w:p>
            <w:r>
              <w:rPr>
                <w:rFonts w:ascii="맑은 고딕" w:hAnsi="맑은 고딕" w:eastAsia="맑은 고딕"/>
                <w:b w:val="0"/>
                <w:sz w:val="20"/>
              </w:rPr>
              <w:t>30% (매출 기준)</w:t>
            </w:r>
          </w:p>
        </w:tc>
      </w:tr>
      <w:tr>
        <w:tc>
          <w:tcPr>
            <w:tcW w:type="dxa" w:w="2880"/>
            <w:shd w:val="clear" w:color="auto" w:fill="F2F2F2"/>
          </w:tcPr>
          <w:p>
            <w:r>
              <w:rPr>
                <w:rFonts w:ascii="맑은 고딕" w:hAnsi="맑은 고딕" w:eastAsia="맑은 고딕"/>
                <w:b w:val="0"/>
                <w:sz w:val="20"/>
              </w:rPr>
              <w:t>최소보장금액(연)</w:t>
            </w:r>
          </w:p>
        </w:tc>
        <w:tc>
          <w:tcPr>
            <w:tcW w:type="dxa" w:w="2880"/>
            <w:shd w:val="clear" w:color="auto" w:fill="F2F2F2"/>
          </w:tcPr>
          <w:p>
            <w:r>
              <w:rPr>
                <w:rFonts w:ascii="맑은 고딕" w:hAnsi="맑은 고딕" w:eastAsia="맑은 고딕"/>
                <w:b w:val="0"/>
                <w:sz w:val="20"/>
              </w:rPr>
              <w:t>JPY 80,000,000</w:t>
            </w:r>
          </w:p>
        </w:tc>
        <w:tc>
          <w:tcPr>
            <w:tcW w:type="dxa" w:w="2880"/>
            <w:shd w:val="clear" w:color="auto" w:fill="F2F2F2"/>
          </w:tcPr>
          <w:p>
            <w:r>
              <w:rPr>
                <w:rFonts w:ascii="맑은 고딕" w:hAnsi="맑은 고딕" w:eastAsia="맑은 고딕"/>
                <w:b w:val="0"/>
                <w:sz w:val="20"/>
              </w:rPr>
              <w:t>JPY 50,000,000</w:t>
            </w:r>
          </w:p>
        </w:tc>
      </w:tr>
      <w:tr>
        <w:tc>
          <w:tcPr>
            <w:tcW w:type="dxa" w:w="2880"/>
          </w:tcPr>
          <w:p>
            <w:r>
              <w:rPr>
                <w:rFonts w:ascii="맑은 고딕" w:hAnsi="맑은 고딕" w:eastAsia="맑은 고딕"/>
                <w:b w:val="0"/>
                <w:sz w:val="20"/>
              </w:rPr>
              <w:t>계약기간</w:t>
            </w:r>
          </w:p>
        </w:tc>
        <w:tc>
          <w:tcPr>
            <w:tcW w:type="dxa" w:w="2880"/>
          </w:tcPr>
          <w:p>
            <w:r>
              <w:rPr>
                <w:rFonts w:ascii="맑은 고딕" w:hAnsi="맑은 고딕" w:eastAsia="맑은 고딕"/>
                <w:b w:val="0"/>
                <w:sz w:val="20"/>
              </w:rPr>
              <w:t>3년 (1년 단위 자동갱신)</w:t>
            </w:r>
          </w:p>
        </w:tc>
        <w:tc>
          <w:tcPr>
            <w:tcW w:type="dxa" w:w="2880"/>
          </w:tcPr>
          <w:p>
            <w:r>
              <w:rPr>
                <w:rFonts w:ascii="맑은 고딕" w:hAnsi="맑은 고딕" w:eastAsia="맑은 고딕"/>
                <w:b w:val="0"/>
                <w:sz w:val="20"/>
              </w:rPr>
              <w:t>2년 (만료 후 재협의)</w:t>
            </w:r>
          </w:p>
        </w:tc>
      </w:tr>
      <w:tr>
        <w:tc>
          <w:tcPr>
            <w:tcW w:type="dxa" w:w="2880"/>
            <w:shd w:val="clear" w:color="auto" w:fill="F2F2F2"/>
          </w:tcPr>
          <w:p>
            <w:r>
              <w:rPr>
                <w:rFonts w:ascii="맑은 고딕" w:hAnsi="맑은 고딕" w:eastAsia="맑은 고딕"/>
                <w:b w:val="0"/>
                <w:sz w:val="20"/>
              </w:rPr>
              <w:t>독점여부</w:t>
            </w:r>
          </w:p>
        </w:tc>
        <w:tc>
          <w:tcPr>
            <w:tcW w:type="dxa" w:w="2880"/>
            <w:shd w:val="clear" w:color="auto" w:fill="F2F2F2"/>
          </w:tcPr>
          <w:p>
            <w:r>
              <w:rPr>
                <w:rFonts w:ascii="맑은 고딕" w:hAnsi="맑은 고딕" w:eastAsia="맑은 고딕"/>
                <w:b w:val="0"/>
                <w:sz w:val="20"/>
              </w:rPr>
              <w:t>간토·간사이 지역 독점 / 기타 지역 비독점</w:t>
            </w:r>
          </w:p>
        </w:tc>
        <w:tc>
          <w:tcPr>
            <w:tcW w:type="dxa" w:w="2880"/>
            <w:shd w:val="clear" w:color="auto" w:fill="F2F2F2"/>
          </w:tcPr>
          <w:p>
            <w:r>
              <w:rPr>
                <w:rFonts w:ascii="맑은 고딕" w:hAnsi="맑은 고딕" w:eastAsia="맑은 고딕"/>
                <w:b w:val="0"/>
                <w:sz w:val="20"/>
              </w:rPr>
              <w:t>일본 전역 독점 요구</w:t>
            </w:r>
          </w:p>
        </w:tc>
      </w:tr>
      <w:tr>
        <w:tc>
          <w:tcPr>
            <w:tcW w:type="dxa" w:w="2880"/>
          </w:tcPr>
          <w:p>
            <w:r>
              <w:rPr>
                <w:rFonts w:ascii="맑은 고딕" w:hAnsi="맑은 고딕" w:eastAsia="맑은 고딕"/>
                <w:b w:val="0"/>
                <w:sz w:val="20"/>
              </w:rPr>
              <w:t>초기 셋업비</w:t>
            </w:r>
          </w:p>
        </w:tc>
        <w:tc>
          <w:tcPr>
            <w:tcW w:type="dxa" w:w="2880"/>
          </w:tcPr>
          <w:p>
            <w:r>
              <w:rPr>
                <w:rFonts w:ascii="맑은 고딕" w:hAnsi="맑은 고딕" w:eastAsia="맑은 고딕"/>
                <w:b w:val="0"/>
                <w:sz w:val="20"/>
              </w:rPr>
              <w:t>JPY 5,000,000 (일회성)</w:t>
            </w:r>
          </w:p>
        </w:tc>
        <w:tc>
          <w:tcPr>
            <w:tcW w:type="dxa" w:w="2880"/>
          </w:tcPr>
          <w:p>
            <w:r>
              <w:rPr>
                <w:rFonts w:ascii="맑은 고딕" w:hAnsi="맑은 고딕" w:eastAsia="맑은 고딕"/>
                <w:b w:val="0"/>
                <w:sz w:val="20"/>
              </w:rPr>
              <w:t>없음</w:t>
            </w:r>
          </w:p>
        </w:tc>
      </w:tr>
      <w:tr>
        <w:tc>
          <w:tcPr>
            <w:tcW w:type="dxa" w:w="2880"/>
            <w:shd w:val="clear" w:color="auto" w:fill="F2F2F2"/>
          </w:tcPr>
          <w:p>
            <w:r>
              <w:rPr>
                <w:rFonts w:ascii="맑은 고딕" w:hAnsi="맑은 고딕" w:eastAsia="맑은 고딕"/>
                <w:b w:val="0"/>
                <w:sz w:val="20"/>
              </w:rPr>
              <w:t>1차년도 판매목표</w:t>
            </w:r>
          </w:p>
        </w:tc>
        <w:tc>
          <w:tcPr>
            <w:tcW w:type="dxa" w:w="2880"/>
            <w:shd w:val="clear" w:color="auto" w:fill="F2F2F2"/>
          </w:tcPr>
          <w:p>
            <w:r>
              <w:rPr>
                <w:rFonts w:ascii="맑은 고딕" w:hAnsi="맑은 고딕" w:eastAsia="맑은 고딕"/>
                <w:b w:val="0"/>
                <w:sz w:val="20"/>
              </w:rPr>
              <w:t>200 라이선스(연간 계약 기준)</w:t>
            </w:r>
          </w:p>
        </w:tc>
        <w:tc>
          <w:tcPr>
            <w:tcW w:type="dxa" w:w="2880"/>
            <w:shd w:val="clear" w:color="auto" w:fill="F2F2F2"/>
          </w:tcPr>
          <w:p>
            <w:r>
              <w:rPr>
                <w:rFonts w:ascii="맑은 고딕" w:hAnsi="맑은 고딕" w:eastAsia="맑은 고딕"/>
                <w:b w:val="0"/>
                <w:sz w:val="20"/>
              </w:rPr>
              <w:t>350 라이선스(연간 계약 기준)</w:t>
            </w:r>
          </w:p>
        </w:tc>
      </w:tr>
      <w:tr>
        <w:tc>
          <w:tcPr>
            <w:tcW w:type="dxa" w:w="2880"/>
          </w:tcPr>
          <w:p>
            <w:r>
              <w:rPr>
                <w:rFonts w:ascii="맑은 고딕" w:hAnsi="맑은 고딕" w:eastAsia="맑은 고딕"/>
                <w:b w:val="0"/>
                <w:sz w:val="20"/>
              </w:rPr>
              <w:t>기술지원 인력</w:t>
            </w:r>
          </w:p>
        </w:tc>
        <w:tc>
          <w:tcPr>
            <w:tcW w:type="dxa" w:w="2880"/>
          </w:tcPr>
          <w:p>
            <w:r>
              <w:rPr>
                <w:rFonts w:ascii="맑은 고딕" w:hAnsi="맑은 고딕" w:eastAsia="맑은 고딕"/>
                <w:b w:val="0"/>
                <w:sz w:val="20"/>
              </w:rPr>
              <w:t>당사 전담 엔지니어 2명 상주 요청</w:t>
            </w:r>
          </w:p>
        </w:tc>
        <w:tc>
          <w:tcPr>
            <w:tcW w:type="dxa" w:w="2880"/>
          </w:tcPr>
          <w:p>
            <w:r>
              <w:rPr>
                <w:rFonts w:ascii="맑은 고딕" w:hAnsi="맑은 고딕" w:eastAsia="맑은 고딕"/>
                <w:b w:val="0"/>
                <w:sz w:val="20"/>
              </w:rPr>
              <w:t>파트너사 자체 인력 + 당사 교육 1회</w:t>
            </w:r>
          </w:p>
        </w:tc>
      </w:tr>
    </w:tbl>
    <w:p/>
    <w:p>
      <w:r>
        <w:rPr>
          <w:rFonts w:ascii="맑은 고딕" w:hAnsi="맑은 고딕" w:eastAsia="맑은 고딕"/>
          <w:b/>
          <w:color w:val="1F3864"/>
          <w:sz w:val="26"/>
        </w:rPr>
        <w:t>4. 협상 히스토리</w:t>
      </w:r>
    </w:p>
    <w:p>
      <w:pPr>
        <w:spacing w:line="312" w:lineRule="auto" w:after="160"/>
      </w:pPr>
      <w:r>
        <w:rPr>
          <w:rFonts w:ascii="맑은 고딕" w:hAnsi="맑은 고딕" w:eastAsia="맑은 고딕"/>
          <w:b w:val="0"/>
          <w:sz w:val="22"/>
        </w:rPr>
        <w:t>1차 미팅 (2026-06-15, TBS 도쿄 본사): 오세훈 영업팀장이 참석하였으며 TBS측에서는 영업총괄이사 외 2명이 배석하였다. 실사 킥오프 및 네오보드 제품 데모를 진행하였고, TBS는 초기 수수료율로 28%를 제시하며 3개 지역(간토·간사이·주부) 독점을 요구하였다.</w:t>
      </w:r>
    </w:p>
    <w:p>
      <w:pPr>
        <w:spacing w:line="312" w:lineRule="auto" w:after="160"/>
      </w:pPr>
      <w:r>
        <w:rPr>
          <w:rFonts w:ascii="맑은 고딕" w:hAnsi="맑은 고딕" w:eastAsia="맑은 고딕"/>
          <w:b w:val="0"/>
          <w:sz w:val="22"/>
        </w:rPr>
        <w:t>2차 미팅 (2026-07-02, 화상회의): 오세훈 영업팀장과 이수민 전략기획팀장이 참석하였고 SPK측에서는 대표이사 외 1명이 참석하였다. SPK는 수수료율 30%, 최소보장금액 연 JPY 50,000,000, 일본 전역 독점을 조건으로 제시하며 1차년도 350 라이선스라는 공격적 판매목표를 역제안하였다.</w:t>
      </w:r>
    </w:p>
    <w:p>
      <w:pPr>
        <w:spacing w:line="312" w:lineRule="auto" w:after="160"/>
      </w:pPr>
      <w:r>
        <w:rPr>
          <w:rFonts w:ascii="맑은 고딕" w:hAnsi="맑은 고딕" w:eastAsia="맑은 고딕"/>
          <w:b w:val="0"/>
          <w:sz w:val="22"/>
        </w:rPr>
        <w:t>3차 미팅 (2026-07-28, 도쿄 현지 실사 겸): 오세훈 영업팀장과 이수민 전략기획팀장이 TBS·SPK와 각각 별도 세션으로 미팅을 진행하였다. TBS는 수수료율을 28%에서 25%로 하향 조정하고 독점 지역을 간토·간사이 2개 지역으로 축소하는 대신 초기 셋업비 JPY 5,000,000을 신규로 요구하였다. SPK는 전국 독점 요구는 유지하되, 당사 온라인 자가가입 채널 예외조항 신설에 대해서는 '검토 가능'이라는 유보적 입장을 밝혔다.</w:t>
      </w:r>
    </w:p>
    <w:p>
      <w:pPr>
        <w:spacing w:line="312" w:lineRule="auto" w:after="160"/>
      </w:pPr>
      <w:r>
        <w:rPr>
          <w:rFonts w:ascii="맑은 고딕" w:hAnsi="맑은 고딕" w:eastAsia="맑은 고딕"/>
          <w:b w:val="0"/>
          <w:sz w:val="22"/>
        </w:rPr>
        <w:t>3차 미팅 이후 8월 중 4차 미팅(잠정) 및 경영기획실 중간 보고가 예정되어 있으며, 최종 조건 확정 전 대표이사 사전 보고를 1회 추가로 진행할 계획이다.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차수</w:t>
            </w:r>
          </w:p>
        </w:tc>
        <w:tc>
          <w:tcPr>
            <w:tcW w:type="dxa" w:w="1728"/>
            <w:shd w:val="clear" w:color="auto" w:fill="1F3864"/>
          </w:tcPr>
          <w:p>
            <w:pPr>
              <w:jc w:val="center"/>
            </w:pPr>
            <w:r>
              <w:rPr>
                <w:rFonts w:ascii="맑은 고딕" w:hAnsi="맑은 고딕" w:eastAsia="맑은 고딕"/>
                <w:b/>
                <w:color w:val="FFFFFF"/>
                <w:sz w:val="20"/>
              </w:rPr>
              <w:t>일자</w:t>
            </w:r>
          </w:p>
        </w:tc>
        <w:tc>
          <w:tcPr>
            <w:tcW w:type="dxa" w:w="1728"/>
            <w:shd w:val="clear" w:color="auto" w:fill="1F3864"/>
          </w:tcPr>
          <w:p>
            <w:pPr>
              <w:jc w:val="center"/>
            </w:pPr>
            <w:r>
              <w:rPr>
                <w:rFonts w:ascii="맑은 고딕" w:hAnsi="맑은 고딕" w:eastAsia="맑은 고딕"/>
                <w:b/>
                <w:color w:val="FFFFFF"/>
                <w:sz w:val="20"/>
              </w:rPr>
              <w:t>참석자</w:t>
            </w:r>
          </w:p>
        </w:tc>
        <w:tc>
          <w:tcPr>
            <w:tcW w:type="dxa" w:w="1728"/>
            <w:shd w:val="clear" w:color="auto" w:fill="1F3864"/>
          </w:tcPr>
          <w:p>
            <w:pPr>
              <w:jc w:val="center"/>
            </w:pPr>
            <w:r>
              <w:rPr>
                <w:rFonts w:ascii="맑은 고딕" w:hAnsi="맑은 고딕" w:eastAsia="맑은 고딕"/>
                <w:b/>
                <w:color w:val="FFFFFF"/>
                <w:sz w:val="20"/>
              </w:rPr>
              <w:t>주요 안건</w:t>
            </w:r>
          </w:p>
        </w:tc>
        <w:tc>
          <w:tcPr>
            <w:tcW w:type="dxa" w:w="1728"/>
            <w:shd w:val="clear" w:color="auto" w:fill="1F3864"/>
          </w:tcPr>
          <w:p>
            <w:pPr>
              <w:jc w:val="center"/>
            </w:pPr>
            <w:r>
              <w:rPr>
                <w:rFonts w:ascii="맑은 고딕" w:hAnsi="맑은 고딕" w:eastAsia="맑은 고딕"/>
                <w:b/>
                <w:color w:val="FFFFFF"/>
                <w:sz w:val="20"/>
              </w:rPr>
              <w:t>결과 / 후속조치</w:t>
            </w:r>
          </w:p>
        </w:tc>
      </w:tr>
      <w:tr>
        <w:tc>
          <w:tcPr>
            <w:tcW w:type="dxa" w:w="1728"/>
          </w:tcPr>
          <w:p>
            <w:r>
              <w:rPr>
                <w:rFonts w:ascii="맑은 고딕" w:hAnsi="맑은 고딕" w:eastAsia="맑은 고딕"/>
                <w:b w:val="0"/>
                <w:sz w:val="20"/>
              </w:rPr>
              <w:t>1차</w:t>
            </w:r>
          </w:p>
        </w:tc>
        <w:tc>
          <w:tcPr>
            <w:tcW w:type="dxa" w:w="1728"/>
          </w:tcPr>
          <w:p>
            <w:r>
              <w:rPr>
                <w:rFonts w:ascii="맑은 고딕" w:hAnsi="맑은 고딕" w:eastAsia="맑은 고딕"/>
                <w:b w:val="0"/>
                <w:sz w:val="20"/>
              </w:rPr>
              <w:t>2026-06-15</w:t>
            </w:r>
          </w:p>
        </w:tc>
        <w:tc>
          <w:tcPr>
            <w:tcW w:type="dxa" w:w="1728"/>
          </w:tcPr>
          <w:p>
            <w:r>
              <w:rPr>
                <w:rFonts w:ascii="맑은 고딕" w:hAnsi="맑은 고딕" w:eastAsia="맑은 고딕"/>
                <w:b w:val="0"/>
                <w:sz w:val="20"/>
              </w:rPr>
              <w:t>오세훈(당사) / TBS 영업총괄이사 외 2명</w:t>
            </w:r>
          </w:p>
        </w:tc>
        <w:tc>
          <w:tcPr>
            <w:tcW w:type="dxa" w:w="1728"/>
          </w:tcPr>
          <w:p>
            <w:r>
              <w:rPr>
                <w:rFonts w:ascii="맑은 고딕" w:hAnsi="맑은 고딕" w:eastAsia="맑은 고딕"/>
                <w:b w:val="0"/>
                <w:sz w:val="20"/>
              </w:rPr>
              <w:t>실사 킥오프, 제품 데모, 초기 조건 스크리닝</w:t>
            </w:r>
          </w:p>
        </w:tc>
        <w:tc>
          <w:tcPr>
            <w:tcW w:type="dxa" w:w="1728"/>
          </w:tcPr>
          <w:p>
            <w:r>
              <w:rPr>
                <w:rFonts w:ascii="맑은 고딕" w:hAnsi="맑은 고딕" w:eastAsia="맑은 고딕"/>
                <w:b w:val="0"/>
                <w:sz w:val="20"/>
              </w:rPr>
              <w:t>TBS 초기안: 수수료 28%, 3개 지역 독점 제시</w:t>
            </w:r>
          </w:p>
        </w:tc>
      </w:tr>
      <w:tr>
        <w:tc>
          <w:tcPr>
            <w:tcW w:type="dxa" w:w="1728"/>
            <w:shd w:val="clear" w:color="auto" w:fill="F2F2F2"/>
          </w:tcPr>
          <w:p>
            <w:r>
              <w:rPr>
                <w:rFonts w:ascii="맑은 고딕" w:hAnsi="맑은 고딕" w:eastAsia="맑은 고딕"/>
                <w:b w:val="0"/>
                <w:sz w:val="20"/>
              </w:rPr>
              <w:t>2차</w:t>
            </w:r>
          </w:p>
        </w:tc>
        <w:tc>
          <w:tcPr>
            <w:tcW w:type="dxa" w:w="1728"/>
            <w:shd w:val="clear" w:color="auto" w:fill="F2F2F2"/>
          </w:tcPr>
          <w:p>
            <w:r>
              <w:rPr>
                <w:rFonts w:ascii="맑은 고딕" w:hAnsi="맑은 고딕" w:eastAsia="맑은 고딕"/>
                <w:b w:val="0"/>
                <w:sz w:val="20"/>
              </w:rPr>
              <w:t>2026-07-02</w:t>
            </w:r>
          </w:p>
        </w:tc>
        <w:tc>
          <w:tcPr>
            <w:tcW w:type="dxa" w:w="1728"/>
            <w:shd w:val="clear" w:color="auto" w:fill="F2F2F2"/>
          </w:tcPr>
          <w:p>
            <w:r>
              <w:rPr>
                <w:rFonts w:ascii="맑은 고딕" w:hAnsi="맑은 고딕" w:eastAsia="맑은 고딕"/>
                <w:b w:val="0"/>
                <w:sz w:val="20"/>
              </w:rPr>
              <w:t>오세훈·이수민(당사) / SPK 대표이사 외 1명</w:t>
            </w:r>
          </w:p>
        </w:tc>
        <w:tc>
          <w:tcPr>
            <w:tcW w:type="dxa" w:w="1728"/>
            <w:shd w:val="clear" w:color="auto" w:fill="F2F2F2"/>
          </w:tcPr>
          <w:p>
            <w:r>
              <w:rPr>
                <w:rFonts w:ascii="맑은 고딕" w:hAnsi="맑은 고딕" w:eastAsia="맑은 고딕"/>
                <w:b w:val="0"/>
                <w:sz w:val="20"/>
              </w:rPr>
              <w:t>SPK 조건 제시 및 판매목표 협의</w:t>
            </w:r>
          </w:p>
        </w:tc>
        <w:tc>
          <w:tcPr>
            <w:tcW w:type="dxa" w:w="1728"/>
            <w:shd w:val="clear" w:color="auto" w:fill="F2F2F2"/>
          </w:tcPr>
          <w:p>
            <w:r>
              <w:rPr>
                <w:rFonts w:ascii="맑은 고딕" w:hAnsi="맑은 고딕" w:eastAsia="맑은 고딕"/>
                <w:b w:val="0"/>
                <w:sz w:val="20"/>
              </w:rPr>
              <w:t>SPK안: 수수료 30%, 전국 독점, 350 라이선스 목표</w:t>
            </w:r>
          </w:p>
        </w:tc>
      </w:tr>
      <w:tr>
        <w:tc>
          <w:tcPr>
            <w:tcW w:type="dxa" w:w="1728"/>
          </w:tcPr>
          <w:p>
            <w:r>
              <w:rPr>
                <w:rFonts w:ascii="맑은 고딕" w:hAnsi="맑은 고딕" w:eastAsia="맑은 고딕"/>
                <w:b w:val="0"/>
                <w:sz w:val="20"/>
              </w:rPr>
              <w:t>3차</w:t>
            </w:r>
          </w:p>
        </w:tc>
        <w:tc>
          <w:tcPr>
            <w:tcW w:type="dxa" w:w="1728"/>
          </w:tcPr>
          <w:p>
            <w:r>
              <w:rPr>
                <w:rFonts w:ascii="맑은 고딕" w:hAnsi="맑은 고딕" w:eastAsia="맑은 고딕"/>
                <w:b w:val="0"/>
                <w:sz w:val="20"/>
              </w:rPr>
              <w:t>2026-07-28</w:t>
            </w:r>
          </w:p>
        </w:tc>
        <w:tc>
          <w:tcPr>
            <w:tcW w:type="dxa" w:w="1728"/>
          </w:tcPr>
          <w:p>
            <w:r>
              <w:rPr>
                <w:rFonts w:ascii="맑은 고딕" w:hAnsi="맑은 고딕" w:eastAsia="맑은 고딕"/>
                <w:b w:val="0"/>
                <w:sz w:val="20"/>
              </w:rPr>
              <w:t>오세훈·이수민(당사) / TBS·SPK 개별 세션</w:t>
            </w:r>
          </w:p>
        </w:tc>
        <w:tc>
          <w:tcPr>
            <w:tcW w:type="dxa" w:w="1728"/>
          </w:tcPr>
          <w:p>
            <w:r>
              <w:rPr>
                <w:rFonts w:ascii="맑은 고딕" w:hAnsi="맑은 고딕" w:eastAsia="맑은 고딕"/>
                <w:b w:val="0"/>
                <w:sz w:val="20"/>
              </w:rPr>
              <w:t>양사 조건 조정 논의 및 절충안 타진</w:t>
            </w:r>
          </w:p>
        </w:tc>
        <w:tc>
          <w:tcPr>
            <w:tcW w:type="dxa" w:w="1728"/>
          </w:tcPr>
          <w:p>
            <w:r>
              <w:rPr>
                <w:rFonts w:ascii="맑은 고딕" w:hAnsi="맑은 고딕" w:eastAsia="맑은 고딕"/>
                <w:b w:val="0"/>
                <w:sz w:val="20"/>
              </w:rPr>
              <w:t>TBS 수수료 25%로 하향, 독점 2개 지역 축소 / SPK 온라인채널 예외조항 검토 여지 확인</w:t>
            </w:r>
          </w:p>
        </w:tc>
      </w:tr>
      <w:tr>
        <w:tc>
          <w:tcPr>
            <w:tcW w:type="dxa" w:w="1728"/>
            <w:shd w:val="clear" w:color="auto" w:fill="F2F2F2"/>
          </w:tcPr>
          <w:p>
            <w:r>
              <w:rPr>
                <w:rFonts w:ascii="맑은 고딕" w:hAnsi="맑은 고딕" w:eastAsia="맑은 고딕"/>
                <w:b w:val="0"/>
                <w:sz w:val="20"/>
              </w:rPr>
              <w:t>4차(예정)</w:t>
            </w:r>
          </w:p>
        </w:tc>
        <w:tc>
          <w:tcPr>
            <w:tcW w:type="dxa" w:w="1728"/>
            <w:shd w:val="clear" w:color="auto" w:fill="F2F2F2"/>
          </w:tcPr>
          <w:p>
            <w:r>
              <w:rPr>
                <w:rFonts w:ascii="맑은 고딕" w:hAnsi="맑은 고딕" w:eastAsia="맑은 고딕"/>
                <w:b w:val="0"/>
                <w:sz w:val="20"/>
              </w:rPr>
              <w:t>2026-08월 중</w:t>
            </w:r>
          </w:p>
        </w:tc>
        <w:tc>
          <w:tcPr>
            <w:tcW w:type="dxa" w:w="1728"/>
            <w:shd w:val="clear" w:color="auto" w:fill="F2F2F2"/>
          </w:tcPr>
          <w:p>
            <w:r>
              <w:rPr>
                <w:rFonts w:ascii="맑은 고딕" w:hAnsi="맑은 고딕" w:eastAsia="맑은 고딕"/>
                <w:b w:val="0"/>
                <w:sz w:val="20"/>
              </w:rPr>
              <w:t>오세훈·이수민(당사) / 양사</w:t>
            </w:r>
          </w:p>
        </w:tc>
        <w:tc>
          <w:tcPr>
            <w:tcW w:type="dxa" w:w="1728"/>
            <w:shd w:val="clear" w:color="auto" w:fill="F2F2F2"/>
          </w:tcPr>
          <w:p>
            <w:r>
              <w:rPr>
                <w:rFonts w:ascii="맑은 고딕" w:hAnsi="맑은 고딕" w:eastAsia="맑은 고딕"/>
                <w:b w:val="0"/>
                <w:sz w:val="20"/>
              </w:rPr>
              <w:t>최종 조건 절충 및 계약서 초안 검토</w:t>
            </w:r>
          </w:p>
        </w:tc>
        <w:tc>
          <w:tcPr>
            <w:tcW w:type="dxa" w:w="1728"/>
            <w:shd w:val="clear" w:color="auto" w:fill="F2F2F2"/>
          </w:tcPr>
          <w:p>
            <w:r>
              <w:rPr>
                <w:rFonts w:ascii="맑은 고딕" w:hAnsi="맑은 고딕" w:eastAsia="맑은 고딕"/>
                <w:b w:val="0"/>
                <w:sz w:val="20"/>
              </w:rPr>
              <w:t>경영기획실 중간 보고 예정</w:t>
            </w:r>
          </w:p>
        </w:tc>
      </w:tr>
    </w:tbl>
    <w:p/>
    <w:p>
      <w:r>
        <w:rPr>
          <w:rFonts w:ascii="맑은 고딕" w:hAnsi="맑은 고딕" w:eastAsia="맑은 고딕"/>
          <w:b/>
          <w:color w:val="1F3864"/>
          <w:sz w:val="26"/>
        </w:rPr>
        <w:t>5. 협상 쟁점</w:t>
      </w:r>
    </w:p>
    <w:p>
      <w:pPr>
        <w:spacing w:line="312" w:lineRule="auto" w:after="160"/>
      </w:pPr>
      <w:r>
        <w:rPr>
          <w:rFonts w:ascii="맑은 고딕" w:hAnsi="맑은 고딕" w:eastAsia="맑은 고딕"/>
          <w:b w:val="0"/>
          <w:sz w:val="22"/>
        </w:rPr>
        <w:t>- 수수료율 이견: 당사 제시안 20% 대비 TBS 25%, SPK 30%로 5~10%p 격차 존재. 수수료율 상향 시 순매출 마진 훼손 우려.</w:t>
      </w:r>
    </w:p>
    <w:p>
      <w:pPr>
        <w:spacing w:line="312" w:lineRule="auto" w:after="160"/>
      </w:pPr>
      <w:r>
        <w:rPr>
          <w:rFonts w:ascii="맑은 고딕" w:hAnsi="맑은 고딕" w:eastAsia="맑은 고딕"/>
          <w:b w:val="0"/>
          <w:sz w:val="22"/>
        </w:rPr>
        <w:t>- 독점권 범위: SPK의 전국 독점 요구 수용 시 당사 온라인 자가가입(Self-serve) 채널 잠식 가능성. TBS는 2개 지역 한정이라 상대적으로 리스크 낮음.</w:t>
      </w:r>
    </w:p>
    <w:p>
      <w:pPr>
        <w:spacing w:line="312" w:lineRule="auto" w:after="160"/>
      </w:pPr>
      <w:r>
        <w:rPr>
          <w:rFonts w:ascii="맑은 고딕" w:hAnsi="맑은 고딕" w:eastAsia="맑은 고딕"/>
          <w:b w:val="0"/>
          <w:sz w:val="22"/>
        </w:rPr>
        <w:t>- 최소판매목표 미달 시 처리: 최소보장금액 미달 구간에서 수수료율 자동 조정 또는 계약 해지권 부여 여부가 미확정 상태.</w:t>
      </w:r>
    </w:p>
    <w:p>
      <w:pPr>
        <w:spacing w:line="312" w:lineRule="auto" w:after="160"/>
      </w:pPr>
      <w:r>
        <w:rPr>
          <w:rFonts w:ascii="맑은 고딕" w:hAnsi="맑은 고딕" w:eastAsia="맑은 고딕"/>
          <w:b w:val="0"/>
          <w:sz w:val="22"/>
        </w:rPr>
        <w:t>- 가격정책 통제권: 엔화 환산가 및 net30 결제조건, 현지 프로모션·할인 권한을 파트너사에 어느 범위까지 위임할지 이견.</w:t>
      </w:r>
    </w:p>
    <w:p>
      <w:pPr>
        <w:spacing w:line="312" w:lineRule="auto" w:after="160"/>
      </w:pPr>
      <w:r>
        <w:rPr>
          <w:rFonts w:ascii="맑은 고딕" w:hAnsi="맑은 고딕" w:eastAsia="맑은 고딕"/>
          <w:b w:val="0"/>
          <w:sz w:val="22"/>
        </w:rPr>
        <w:t>- 계약기간 및 해지 조건: TBS의 3년 장기 계약과 SPK의 2년 단기 계약 간 조기해지 위약금 규모 및 재계약 조건 불일치.</w:t>
      </w:r>
    </w:p>
    <w:p>
      <w:pPr>
        <w:spacing w:line="312" w:lineRule="auto" w:after="160"/>
      </w:pPr>
      <w:r>
        <w:rPr>
          <w:rFonts w:ascii="맑은 고딕" w:hAnsi="맑은 고딕" w:eastAsia="맑은 고딕"/>
          <w:b w:val="0"/>
          <w:sz w:val="22"/>
        </w:rPr>
        <w:t>- 초기 셋업비: TBS가 3차 미팅에서 신규로 요구한 JPY 5,000,000 셋업비의 명목(현지화 작업비 vs. 단순 마진 보전)이 불명확하여 추가 확인이 필요한 상태.</w:t>
      </w:r>
    </w:p>
    <w:p>
      <w:r>
        <w:rPr>
          <w:rFonts w:ascii="맑은 고딕" w:hAnsi="맑은 고딕" w:eastAsia="맑은 고딕"/>
          <w:b/>
          <w:color w:val="1F3864"/>
          <w:sz w:val="26"/>
        </w:rPr>
        <w:t>6. 재무 시뮬레이션 (3개년 예상 순매출)</w:t>
      </w:r>
    </w:p>
    <w:p>
      <w:pPr>
        <w:spacing w:line="312" w:lineRule="auto" w:after="160"/>
      </w:pPr>
      <w:r>
        <w:rPr>
          <w:rFonts w:ascii="맑은 고딕" w:hAnsi="맑은 고딕" w:eastAsia="맑은 고딕"/>
          <w:b w:val="0"/>
          <w:sz w:val="22"/>
        </w:rPr>
        <w:t>본 시뮬레이션은 라이선스 1건당 평균 좌석수 TBS 50석 / SPK 30석(고객군 특성 반영), 좌석당 정가 JPY 1,200/월(연 JPY 14,400) 기준으로 환산한 추정치이며, 실제 계약 조건 및 판매 실적에 따라 변동될 수 있다.</w:t>
      </w:r>
    </w:p>
    <w:p>
      <w:pPr>
        <w:spacing w:line="312" w:lineRule="auto" w:after="160"/>
      </w:pPr>
      <w:r>
        <w:rPr>
          <w:rFonts w:ascii="맑은 고딕" w:hAnsi="맑은 고딕" w:eastAsia="맑은 고딕"/>
          <w:b w:val="0"/>
          <w:sz w:val="22"/>
        </w:rPr>
        <w:t>당사 순매출은 '총 라이선스 매출 x (1 - 파트너 수수료율)'로 산정하였고, 연도별 판매목표는 1차년도 대비 2차년도 +20%, 3차년도 +17% 성장을 가정하였다.</w:t>
      </w:r>
    </w:p>
    <w:p>
      <w:pPr>
        <w:spacing w:line="312" w:lineRule="auto" w:after="160"/>
      </w:pPr>
      <w:r>
        <w:rPr>
          <w:rFonts w:ascii="맑은 고딕" w:hAnsi="맑은 고딕" w:eastAsia="맑은 고딕"/>
          <w:b w:val="0"/>
          <w:sz w:val="22"/>
        </w:rPr>
        <w:t>TBS 협상목표안은 3차 미팅에서 논의된 수수료율 22%, 최소보장금액 JPY 90,000,000 상향안을 반영한 것이며, SPK 조정안은 온라인 자가가입 채널 예외조항 반영 시 당사 순매출이 약 8% 감소하는 것으로 가정한 보수적 추정치이다.</w:t>
      </w:r>
    </w:p>
    <w:p>
      <w:pPr>
        <w:spacing w:line="312" w:lineRule="auto" w:after="160"/>
      </w:pPr>
      <w:r>
        <w:rPr>
          <w:rFonts w:ascii="맑은 고딕" w:hAnsi="맑은 고딕" w:eastAsia="맑은 고딕"/>
          <w:b w:val="0"/>
          <w:sz w:val="22"/>
        </w:rPr>
        <w:t>TBS 원안 기준 3개년 누적 순매출은 약 JPY 389,000,000, TBS 협상목표안은 약 JPY 404,000,000으로 약 1,500만엔 차이가 발생한다. SPK는 원안 기준 약 JPY 366,000,000, 조정안 기준 약 JPY 337,000,000으로 추정되어, 두 후보 간 3개년 누적 순매출 격차는 시나리오에 따라 최대 약 6,700만엔까지 벌어질 수 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rFonts w:ascii="맑은 고딕" w:hAnsi="맑은 고딕" w:eastAsia="맑은 고딕"/>
                <w:b/>
                <w:color w:val="FFFFFF"/>
                <w:sz w:val="20"/>
              </w:rPr>
              <w:t>구분</w:t>
            </w:r>
          </w:p>
        </w:tc>
        <w:tc>
          <w:tcPr>
            <w:tcW w:type="dxa" w:w="1728"/>
            <w:shd w:val="clear" w:color="auto" w:fill="1F3864"/>
          </w:tcPr>
          <w:p>
            <w:pPr>
              <w:jc w:val="center"/>
            </w:pPr>
            <w:r>
              <w:rPr>
                <w:rFonts w:ascii="맑은 고딕" w:hAnsi="맑은 고딕" w:eastAsia="맑은 고딕"/>
                <w:b/>
                <w:color w:val="FFFFFF"/>
                <w:sz w:val="20"/>
              </w:rPr>
              <w:t>1년차 순매출(JPY)</w:t>
            </w:r>
          </w:p>
        </w:tc>
        <w:tc>
          <w:tcPr>
            <w:tcW w:type="dxa" w:w="1728"/>
            <w:shd w:val="clear" w:color="auto" w:fill="1F3864"/>
          </w:tcPr>
          <w:p>
            <w:pPr>
              <w:jc w:val="center"/>
            </w:pPr>
            <w:r>
              <w:rPr>
                <w:rFonts w:ascii="맑은 고딕" w:hAnsi="맑은 고딕" w:eastAsia="맑은 고딕"/>
                <w:b/>
                <w:color w:val="FFFFFF"/>
                <w:sz w:val="20"/>
              </w:rPr>
              <w:t>2년차 순매출(JPY)</w:t>
            </w:r>
          </w:p>
        </w:tc>
        <w:tc>
          <w:tcPr>
            <w:tcW w:type="dxa" w:w="1728"/>
            <w:shd w:val="clear" w:color="auto" w:fill="1F3864"/>
          </w:tcPr>
          <w:p>
            <w:pPr>
              <w:jc w:val="center"/>
            </w:pPr>
            <w:r>
              <w:rPr>
                <w:rFonts w:ascii="맑은 고딕" w:hAnsi="맑은 고딕" w:eastAsia="맑은 고딕"/>
                <w:b/>
                <w:color w:val="FFFFFF"/>
                <w:sz w:val="20"/>
              </w:rPr>
              <w:t>3년차 순매출(JPY)</w:t>
            </w:r>
          </w:p>
        </w:tc>
        <w:tc>
          <w:tcPr>
            <w:tcW w:type="dxa" w:w="1728"/>
            <w:shd w:val="clear" w:color="auto" w:fill="1F3864"/>
          </w:tcPr>
          <w:p>
            <w:pPr>
              <w:jc w:val="center"/>
            </w:pPr>
            <w:r>
              <w:rPr>
                <w:rFonts w:ascii="맑은 고딕" w:hAnsi="맑은 고딕" w:eastAsia="맑은 고딕"/>
                <w:b/>
                <w:color w:val="FFFFFF"/>
                <w:sz w:val="20"/>
              </w:rPr>
              <w:t>3개년 누적 순매출(JPY)</w:t>
            </w:r>
          </w:p>
        </w:tc>
      </w:tr>
      <w:tr>
        <w:tc>
          <w:tcPr>
            <w:tcW w:type="dxa" w:w="1728"/>
          </w:tcPr>
          <w:p>
            <w:r>
              <w:rPr>
                <w:rFonts w:ascii="맑은 고딕" w:hAnsi="맑은 고딕" w:eastAsia="맑은 고딕"/>
                <w:b w:val="0"/>
                <w:sz w:val="20"/>
              </w:rPr>
              <w:t>TBS 원안 (수수료 25%)</w:t>
            </w:r>
          </w:p>
        </w:tc>
        <w:tc>
          <w:tcPr>
            <w:tcW w:type="dxa" w:w="1728"/>
          </w:tcPr>
          <w:p>
            <w:r>
              <w:rPr>
                <w:rFonts w:ascii="맑은 고딕" w:hAnsi="맑은 고딕" w:eastAsia="맑은 고딕"/>
                <w:b w:val="0"/>
                <w:sz w:val="20"/>
              </w:rPr>
              <w:t>108,000,000</w:t>
            </w:r>
          </w:p>
        </w:tc>
        <w:tc>
          <w:tcPr>
            <w:tcW w:type="dxa" w:w="1728"/>
          </w:tcPr>
          <w:p>
            <w:r>
              <w:rPr>
                <w:rFonts w:ascii="맑은 고딕" w:hAnsi="맑은 고딕" w:eastAsia="맑은 고딕"/>
                <w:b w:val="0"/>
                <w:sz w:val="20"/>
              </w:rPr>
              <w:t>130,000,000</w:t>
            </w:r>
          </w:p>
        </w:tc>
        <w:tc>
          <w:tcPr>
            <w:tcW w:type="dxa" w:w="1728"/>
          </w:tcPr>
          <w:p>
            <w:r>
              <w:rPr>
                <w:rFonts w:ascii="맑은 고딕" w:hAnsi="맑은 고딕" w:eastAsia="맑은 고딕"/>
                <w:b w:val="0"/>
                <w:sz w:val="20"/>
              </w:rPr>
              <w:t>151,000,000</w:t>
            </w:r>
          </w:p>
        </w:tc>
        <w:tc>
          <w:tcPr>
            <w:tcW w:type="dxa" w:w="1728"/>
          </w:tcPr>
          <w:p>
            <w:r>
              <w:rPr>
                <w:rFonts w:ascii="맑은 고딕" w:hAnsi="맑은 고딕" w:eastAsia="맑은 고딕"/>
                <w:b w:val="0"/>
                <w:sz w:val="20"/>
              </w:rPr>
              <w:t>389,000,000</w:t>
            </w:r>
          </w:p>
        </w:tc>
      </w:tr>
      <w:tr>
        <w:tc>
          <w:tcPr>
            <w:tcW w:type="dxa" w:w="1728"/>
            <w:shd w:val="clear" w:color="auto" w:fill="F2F2F2"/>
          </w:tcPr>
          <w:p>
            <w:r>
              <w:rPr>
                <w:rFonts w:ascii="맑은 고딕" w:hAnsi="맑은 고딕" w:eastAsia="맑은 고딕"/>
                <w:b w:val="0"/>
                <w:sz w:val="20"/>
              </w:rPr>
              <w:t>TBS 협상목표안 (수수료 22%, 최소보장 9,000만엔)</w:t>
            </w:r>
          </w:p>
        </w:tc>
        <w:tc>
          <w:tcPr>
            <w:tcW w:type="dxa" w:w="1728"/>
            <w:shd w:val="clear" w:color="auto" w:fill="F2F2F2"/>
          </w:tcPr>
          <w:p>
            <w:r>
              <w:rPr>
                <w:rFonts w:ascii="맑은 고딕" w:hAnsi="맑은 고딕" w:eastAsia="맑은 고딕"/>
                <w:b w:val="0"/>
                <w:sz w:val="20"/>
              </w:rPr>
              <w:t>112,000,000</w:t>
            </w:r>
          </w:p>
        </w:tc>
        <w:tc>
          <w:tcPr>
            <w:tcW w:type="dxa" w:w="1728"/>
            <w:shd w:val="clear" w:color="auto" w:fill="F2F2F2"/>
          </w:tcPr>
          <w:p>
            <w:r>
              <w:rPr>
                <w:rFonts w:ascii="맑은 고딕" w:hAnsi="맑은 고딕" w:eastAsia="맑은 고딕"/>
                <w:b w:val="0"/>
                <w:sz w:val="20"/>
              </w:rPr>
              <w:t>135,000,000</w:t>
            </w:r>
          </w:p>
        </w:tc>
        <w:tc>
          <w:tcPr>
            <w:tcW w:type="dxa" w:w="1728"/>
            <w:shd w:val="clear" w:color="auto" w:fill="F2F2F2"/>
          </w:tcPr>
          <w:p>
            <w:r>
              <w:rPr>
                <w:rFonts w:ascii="맑은 고딕" w:hAnsi="맑은 고딕" w:eastAsia="맑은 고딕"/>
                <w:b w:val="0"/>
                <w:sz w:val="20"/>
              </w:rPr>
              <w:t>157,000,000</w:t>
            </w:r>
          </w:p>
        </w:tc>
        <w:tc>
          <w:tcPr>
            <w:tcW w:type="dxa" w:w="1728"/>
            <w:shd w:val="clear" w:color="auto" w:fill="F2F2F2"/>
          </w:tcPr>
          <w:p>
            <w:r>
              <w:rPr>
                <w:rFonts w:ascii="맑은 고딕" w:hAnsi="맑은 고딕" w:eastAsia="맑은 고딕"/>
                <w:b w:val="0"/>
                <w:sz w:val="20"/>
              </w:rPr>
              <w:t>404,000,000</w:t>
            </w:r>
          </w:p>
        </w:tc>
      </w:tr>
      <w:tr>
        <w:tc>
          <w:tcPr>
            <w:tcW w:type="dxa" w:w="1728"/>
          </w:tcPr>
          <w:p>
            <w:r>
              <w:rPr>
                <w:rFonts w:ascii="맑은 고딕" w:hAnsi="맑은 고딕" w:eastAsia="맑은 고딕"/>
                <w:b w:val="0"/>
                <w:sz w:val="20"/>
              </w:rPr>
              <w:t>SPK 원안 (수수료 30%, 전국독점)</w:t>
            </w:r>
          </w:p>
        </w:tc>
        <w:tc>
          <w:tcPr>
            <w:tcW w:type="dxa" w:w="1728"/>
          </w:tcPr>
          <w:p>
            <w:r>
              <w:rPr>
                <w:rFonts w:ascii="맑은 고딕" w:hAnsi="맑은 고딕" w:eastAsia="맑은 고딕"/>
                <w:b w:val="0"/>
                <w:sz w:val="20"/>
              </w:rPr>
              <w:t>106,000,000</w:t>
            </w:r>
          </w:p>
        </w:tc>
        <w:tc>
          <w:tcPr>
            <w:tcW w:type="dxa" w:w="1728"/>
          </w:tcPr>
          <w:p>
            <w:r>
              <w:rPr>
                <w:rFonts w:ascii="맑은 고딕" w:hAnsi="맑은 고딕" w:eastAsia="맑은 고딕"/>
                <w:b w:val="0"/>
                <w:sz w:val="20"/>
              </w:rPr>
              <w:t>121,000,000</w:t>
            </w:r>
          </w:p>
        </w:tc>
        <w:tc>
          <w:tcPr>
            <w:tcW w:type="dxa" w:w="1728"/>
          </w:tcPr>
          <w:p>
            <w:r>
              <w:rPr>
                <w:rFonts w:ascii="맑은 고딕" w:hAnsi="맑은 고딕" w:eastAsia="맑은 고딕"/>
                <w:b w:val="0"/>
                <w:sz w:val="20"/>
              </w:rPr>
              <w:t>139,000,000</w:t>
            </w:r>
          </w:p>
        </w:tc>
        <w:tc>
          <w:tcPr>
            <w:tcW w:type="dxa" w:w="1728"/>
          </w:tcPr>
          <w:p>
            <w:r>
              <w:rPr>
                <w:rFonts w:ascii="맑은 고딕" w:hAnsi="맑은 고딕" w:eastAsia="맑은 고딕"/>
                <w:b w:val="0"/>
                <w:sz w:val="20"/>
              </w:rPr>
              <w:t>366,000,000</w:t>
            </w:r>
          </w:p>
        </w:tc>
      </w:tr>
      <w:tr>
        <w:tc>
          <w:tcPr>
            <w:tcW w:type="dxa" w:w="1728"/>
            <w:shd w:val="clear" w:color="auto" w:fill="F2F2F2"/>
          </w:tcPr>
          <w:p>
            <w:r>
              <w:rPr>
                <w:rFonts w:ascii="맑은 고딕" w:hAnsi="맑은 고딕" w:eastAsia="맑은 고딕"/>
                <w:b w:val="0"/>
                <w:sz w:val="20"/>
              </w:rPr>
              <w:t>SPK 조정안 (온라인채널 예외 반영)</w:t>
            </w:r>
          </w:p>
        </w:tc>
        <w:tc>
          <w:tcPr>
            <w:tcW w:type="dxa" w:w="1728"/>
            <w:shd w:val="clear" w:color="auto" w:fill="F2F2F2"/>
          </w:tcPr>
          <w:p>
            <w:r>
              <w:rPr>
                <w:rFonts w:ascii="맑은 고딕" w:hAnsi="맑은 고딕" w:eastAsia="맑은 고딕"/>
                <w:b w:val="0"/>
                <w:sz w:val="20"/>
              </w:rPr>
              <w:t>98,000,000</w:t>
            </w:r>
          </w:p>
        </w:tc>
        <w:tc>
          <w:tcPr>
            <w:tcW w:type="dxa" w:w="1728"/>
            <w:shd w:val="clear" w:color="auto" w:fill="F2F2F2"/>
          </w:tcPr>
          <w:p>
            <w:r>
              <w:rPr>
                <w:rFonts w:ascii="맑은 고딕" w:hAnsi="맑은 고딕" w:eastAsia="맑은 고딕"/>
                <w:b w:val="0"/>
                <w:sz w:val="20"/>
              </w:rPr>
              <w:t>111,000,000</w:t>
            </w:r>
          </w:p>
        </w:tc>
        <w:tc>
          <w:tcPr>
            <w:tcW w:type="dxa" w:w="1728"/>
            <w:shd w:val="clear" w:color="auto" w:fill="F2F2F2"/>
          </w:tcPr>
          <w:p>
            <w:r>
              <w:rPr>
                <w:rFonts w:ascii="맑은 고딕" w:hAnsi="맑은 고딕" w:eastAsia="맑은 고딕"/>
                <w:b w:val="0"/>
                <w:sz w:val="20"/>
              </w:rPr>
              <w:t>128,000,000</w:t>
            </w:r>
          </w:p>
        </w:tc>
        <w:tc>
          <w:tcPr>
            <w:tcW w:type="dxa" w:w="1728"/>
            <w:shd w:val="clear" w:color="auto" w:fill="F2F2F2"/>
          </w:tcPr>
          <w:p>
            <w:r>
              <w:rPr>
                <w:rFonts w:ascii="맑은 고딕" w:hAnsi="맑은 고딕" w:eastAsia="맑은 고딕"/>
                <w:b w:val="0"/>
                <w:sz w:val="20"/>
              </w:rPr>
              <w:t>337,000,000</w:t>
            </w:r>
          </w:p>
        </w:tc>
      </w:tr>
    </w:tbl>
    <w:p/>
    <w:p>
      <w:r>
        <w:rPr>
          <w:rFonts w:ascii="맑은 고딕" w:hAnsi="맑은 고딕" w:eastAsia="맑은 고딕"/>
          <w:b/>
          <w:color w:val="1F3864"/>
          <w:sz w:val="26"/>
        </w:rPr>
        <w:t>7. 리스크 평가</w:t>
      </w:r>
    </w:p>
    <w:p>
      <w:pPr>
        <w:spacing w:line="312" w:lineRule="auto" w:after="160"/>
      </w:pPr>
      <w:r>
        <w:rPr>
          <w:rFonts w:ascii="맑은 고딕" w:hAnsi="맑은 고딕" w:eastAsia="맑은 고딕"/>
          <w:b w:val="0"/>
          <w:sz w:val="22"/>
        </w:rPr>
        <w:t>각 후보사별 주요 리스크 항목을 실사 결과 및 협상 히스토리를 바탕으로 평가하였으며, 리스크 수준은 '낮음/중간/높음' 3단계로 구분하였다.</w:t>
      </w:r>
    </w:p>
    <w:p>
      <w:pPr>
        <w:spacing w:line="312" w:lineRule="auto" w:after="160"/>
      </w:pPr>
      <w:r>
        <w:rPr>
          <w:rFonts w:ascii="맑은 고딕" w:hAnsi="맑은 고딕" w:eastAsia="맑은 고딕"/>
          <w:b w:val="0"/>
          <w:sz w:val="22"/>
        </w:rPr>
        <w:t>TBS는 계약 안정성과 대기업 채널 측면에서 낮은 리스크를 보이나 기술지원 인력 상주 요구에 따른 당사 인력 부담이 상대적으로 크며, SPK는 초기 진입 유연성은 높으나 공격적 판매목표 미달 및 전국 독점에 따른 채널 잠식 리스크가 두드러진다.</w:t>
      </w:r>
    </w:p>
    <w:p>
      <w:pPr>
        <w:spacing w:line="312" w:lineRule="auto" w:after="160"/>
      </w:pPr>
      <w:r>
        <w:rPr>
          <w:rFonts w:ascii="맑은 고딕" w:hAnsi="맑은 고딕" w:eastAsia="맑은 고딕"/>
          <w:b w:val="0"/>
          <w:sz w:val="22"/>
        </w:rPr>
        <w:t>환율 변동 리스크는 양사 공통 항목으로, 엔화 약세 국면이 장기화될 경우 JPY 고정 최소보장금액의 원화 환산 가치가 하락할 수 있어 계약서 내 환율 조정 조항 신설을 검토할 필요가 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rFonts w:ascii="맑은 고딕" w:hAnsi="맑은 고딕" w:eastAsia="맑은 고딕"/>
                <w:b/>
                <w:color w:val="FFFFFF"/>
                <w:sz w:val="20"/>
              </w:rPr>
              <w:t>리스크 항목</w:t>
            </w:r>
          </w:p>
        </w:tc>
        <w:tc>
          <w:tcPr>
            <w:tcW w:type="dxa" w:w="2160"/>
            <w:shd w:val="clear" w:color="auto" w:fill="1F3864"/>
          </w:tcPr>
          <w:p>
            <w:pPr>
              <w:jc w:val="center"/>
            </w:pPr>
            <w:r>
              <w:rPr>
                <w:rFonts w:ascii="맑은 고딕" w:hAnsi="맑은 고딕" w:eastAsia="맑은 고딕"/>
                <w:b/>
                <w:color w:val="FFFFFF"/>
                <w:sz w:val="20"/>
              </w:rPr>
              <w:t>TBS 리스크 수준</w:t>
            </w:r>
          </w:p>
        </w:tc>
        <w:tc>
          <w:tcPr>
            <w:tcW w:type="dxa" w:w="2160"/>
            <w:shd w:val="clear" w:color="auto" w:fill="1F3864"/>
          </w:tcPr>
          <w:p>
            <w:pPr>
              <w:jc w:val="center"/>
            </w:pPr>
            <w:r>
              <w:rPr>
                <w:rFonts w:ascii="맑은 고딕" w:hAnsi="맑은 고딕" w:eastAsia="맑은 고딕"/>
                <w:b/>
                <w:color w:val="FFFFFF"/>
                <w:sz w:val="20"/>
              </w:rPr>
              <w:t>SPK 리스크 수준</w:t>
            </w:r>
          </w:p>
        </w:tc>
        <w:tc>
          <w:tcPr>
            <w:tcW w:type="dxa" w:w="2160"/>
            <w:shd w:val="clear" w:color="auto" w:fill="1F3864"/>
          </w:tcPr>
          <w:p>
            <w:pPr>
              <w:jc w:val="center"/>
            </w:pPr>
            <w:r>
              <w:rPr>
                <w:rFonts w:ascii="맑은 고딕" w:hAnsi="맑은 고딕" w:eastAsia="맑은 고딕"/>
                <w:b/>
                <w:color w:val="FFFFFF"/>
                <w:sz w:val="20"/>
              </w:rPr>
              <w:t>대응방안</w:t>
            </w:r>
          </w:p>
        </w:tc>
      </w:tr>
      <w:tr>
        <w:tc>
          <w:tcPr>
            <w:tcW w:type="dxa" w:w="2160"/>
          </w:tcPr>
          <w:p>
            <w:r>
              <w:rPr>
                <w:rFonts w:ascii="맑은 고딕" w:hAnsi="맑은 고딕" w:eastAsia="맑은 고딕"/>
                <w:b w:val="0"/>
                <w:sz w:val="20"/>
              </w:rPr>
              <w:t>초기 진입 안정성</w:t>
            </w:r>
          </w:p>
        </w:tc>
        <w:tc>
          <w:tcPr>
            <w:tcW w:type="dxa" w:w="2160"/>
          </w:tcPr>
          <w:p>
            <w:r>
              <w:rPr>
                <w:rFonts w:ascii="맑은 고딕" w:hAnsi="맑은 고딕" w:eastAsia="맑은 고딕"/>
                <w:b w:val="0"/>
                <w:sz w:val="20"/>
              </w:rPr>
              <w:t>낮음 (대기업 채널 보유)</w:t>
            </w:r>
          </w:p>
        </w:tc>
        <w:tc>
          <w:tcPr>
            <w:tcW w:type="dxa" w:w="2160"/>
          </w:tcPr>
          <w:p>
            <w:r>
              <w:rPr>
                <w:rFonts w:ascii="맑은 고딕" w:hAnsi="맑은 고딕" w:eastAsia="맑은 고딕"/>
                <w:b w:val="0"/>
                <w:sz w:val="20"/>
              </w:rPr>
              <w:t>중간 (신흥 조직, 검증 필요)</w:t>
            </w:r>
          </w:p>
        </w:tc>
        <w:tc>
          <w:tcPr>
            <w:tcW w:type="dxa" w:w="2160"/>
          </w:tcPr>
          <w:p>
            <w:r>
              <w:rPr>
                <w:rFonts w:ascii="맑은 고딕" w:hAnsi="맑은 고딕" w:eastAsia="맑은 고딕"/>
                <w:b w:val="0"/>
                <w:sz w:val="20"/>
              </w:rPr>
              <w:t>SPK는 파일럿 기간 설정 후 확대 검토</w:t>
            </w:r>
          </w:p>
        </w:tc>
      </w:tr>
      <w:tr>
        <w:tc>
          <w:tcPr>
            <w:tcW w:type="dxa" w:w="2160"/>
            <w:shd w:val="clear" w:color="auto" w:fill="F2F2F2"/>
          </w:tcPr>
          <w:p>
            <w:r>
              <w:rPr>
                <w:rFonts w:ascii="맑은 고딕" w:hAnsi="맑은 고딕" w:eastAsia="맑은 고딕"/>
                <w:b w:val="0"/>
                <w:sz w:val="20"/>
              </w:rPr>
              <w:t>판매목표 미달</w:t>
            </w:r>
          </w:p>
        </w:tc>
        <w:tc>
          <w:tcPr>
            <w:tcW w:type="dxa" w:w="2160"/>
            <w:shd w:val="clear" w:color="auto" w:fill="F2F2F2"/>
          </w:tcPr>
          <w:p>
            <w:r>
              <w:rPr>
                <w:rFonts w:ascii="맑은 고딕" w:hAnsi="맑은 고딕" w:eastAsia="맑은 고딕"/>
                <w:b w:val="0"/>
                <w:sz w:val="20"/>
              </w:rPr>
              <w:t>낮음 (보수적 목표 설정)</w:t>
            </w:r>
          </w:p>
        </w:tc>
        <w:tc>
          <w:tcPr>
            <w:tcW w:type="dxa" w:w="2160"/>
            <w:shd w:val="clear" w:color="auto" w:fill="F2F2F2"/>
          </w:tcPr>
          <w:p>
            <w:r>
              <w:rPr>
                <w:rFonts w:ascii="맑은 고딕" w:hAnsi="맑은 고딕" w:eastAsia="맑은 고딕"/>
                <w:b w:val="0"/>
                <w:sz w:val="20"/>
              </w:rPr>
              <w:t>높음 (공격적 목표, 350 라이선스)</w:t>
            </w:r>
          </w:p>
        </w:tc>
        <w:tc>
          <w:tcPr>
            <w:tcW w:type="dxa" w:w="2160"/>
            <w:shd w:val="clear" w:color="auto" w:fill="F2F2F2"/>
          </w:tcPr>
          <w:p>
            <w:r>
              <w:rPr>
                <w:rFonts w:ascii="맑은 고딕" w:hAnsi="맑은 고딕" w:eastAsia="맑은 고딕"/>
                <w:b w:val="0"/>
                <w:sz w:val="20"/>
              </w:rPr>
              <w:t>미달 구간 수수료 자동조정 조항 신설</w:t>
            </w:r>
          </w:p>
        </w:tc>
      </w:tr>
      <w:tr>
        <w:tc>
          <w:tcPr>
            <w:tcW w:type="dxa" w:w="2160"/>
          </w:tcPr>
          <w:p>
            <w:r>
              <w:rPr>
                <w:rFonts w:ascii="맑은 고딕" w:hAnsi="맑은 고딕" w:eastAsia="맑은 고딕"/>
                <w:b w:val="0"/>
                <w:sz w:val="20"/>
              </w:rPr>
              <w:t>온라인 자가가입 채널 잠식</w:t>
            </w:r>
          </w:p>
        </w:tc>
        <w:tc>
          <w:tcPr>
            <w:tcW w:type="dxa" w:w="2160"/>
          </w:tcPr>
          <w:p>
            <w:r>
              <w:rPr>
                <w:rFonts w:ascii="맑은 고딕" w:hAnsi="맑은 고딕" w:eastAsia="맑은 고딕"/>
                <w:b w:val="0"/>
                <w:sz w:val="20"/>
              </w:rPr>
              <w:t>낮음 (지역 한정 독점)</w:t>
            </w:r>
          </w:p>
        </w:tc>
        <w:tc>
          <w:tcPr>
            <w:tcW w:type="dxa" w:w="2160"/>
          </w:tcPr>
          <w:p>
            <w:r>
              <w:rPr>
                <w:rFonts w:ascii="맑은 고딕" w:hAnsi="맑은 고딕" w:eastAsia="맑은 고딕"/>
                <w:b w:val="0"/>
                <w:sz w:val="20"/>
              </w:rPr>
              <w:t>높음 (전국 독점 요구)</w:t>
            </w:r>
          </w:p>
        </w:tc>
        <w:tc>
          <w:tcPr>
            <w:tcW w:type="dxa" w:w="2160"/>
          </w:tcPr>
          <w:p>
            <w:r>
              <w:rPr>
                <w:rFonts w:ascii="맑은 고딕" w:hAnsi="맑은 고딕" w:eastAsia="맑은 고딕"/>
                <w:b w:val="0"/>
                <w:sz w:val="20"/>
              </w:rPr>
              <w:t>온라인 채널 예외조항 계약서 명시</w:t>
            </w:r>
          </w:p>
        </w:tc>
      </w:tr>
      <w:tr>
        <w:tc>
          <w:tcPr>
            <w:tcW w:type="dxa" w:w="2160"/>
            <w:shd w:val="clear" w:color="auto" w:fill="F2F2F2"/>
          </w:tcPr>
          <w:p>
            <w:r>
              <w:rPr>
                <w:rFonts w:ascii="맑은 고딕" w:hAnsi="맑은 고딕" w:eastAsia="맑은 고딕"/>
                <w:b w:val="0"/>
                <w:sz w:val="20"/>
              </w:rPr>
              <w:t>계약 유연성</w:t>
            </w:r>
          </w:p>
        </w:tc>
        <w:tc>
          <w:tcPr>
            <w:tcW w:type="dxa" w:w="2160"/>
            <w:shd w:val="clear" w:color="auto" w:fill="F2F2F2"/>
          </w:tcPr>
          <w:p>
            <w:r>
              <w:rPr>
                <w:rFonts w:ascii="맑은 고딕" w:hAnsi="맑은 고딕" w:eastAsia="맑은 고딕"/>
                <w:b w:val="0"/>
                <w:sz w:val="20"/>
              </w:rPr>
              <w:t>중간 (3년 자동갱신)</w:t>
            </w:r>
          </w:p>
        </w:tc>
        <w:tc>
          <w:tcPr>
            <w:tcW w:type="dxa" w:w="2160"/>
            <w:shd w:val="clear" w:color="auto" w:fill="F2F2F2"/>
          </w:tcPr>
          <w:p>
            <w:r>
              <w:rPr>
                <w:rFonts w:ascii="맑은 고딕" w:hAnsi="맑은 고딕" w:eastAsia="맑은 고딕"/>
                <w:b w:val="0"/>
                <w:sz w:val="20"/>
              </w:rPr>
              <w:t>낮음 (2년 단기, 재협의 용이)</w:t>
            </w:r>
          </w:p>
        </w:tc>
        <w:tc>
          <w:tcPr>
            <w:tcW w:type="dxa" w:w="2160"/>
            <w:shd w:val="clear" w:color="auto" w:fill="F2F2F2"/>
          </w:tcPr>
          <w:p>
            <w:r>
              <w:rPr>
                <w:rFonts w:ascii="맑은 고딕" w:hAnsi="맑은 고딕" w:eastAsia="맑은 고딕"/>
                <w:b w:val="0"/>
                <w:sz w:val="20"/>
              </w:rPr>
              <w:t>조기해지 위약금 규모 사전 합의</w:t>
            </w:r>
          </w:p>
        </w:tc>
      </w:tr>
      <w:tr>
        <w:tc>
          <w:tcPr>
            <w:tcW w:type="dxa" w:w="2160"/>
          </w:tcPr>
          <w:p>
            <w:r>
              <w:rPr>
                <w:rFonts w:ascii="맑은 고딕" w:hAnsi="맑은 고딕" w:eastAsia="맑은 고딕"/>
                <w:b w:val="0"/>
                <w:sz w:val="20"/>
              </w:rPr>
              <w:t>기술지원 리소스 부담</w:t>
            </w:r>
          </w:p>
        </w:tc>
        <w:tc>
          <w:tcPr>
            <w:tcW w:type="dxa" w:w="2160"/>
          </w:tcPr>
          <w:p>
            <w:r>
              <w:rPr>
                <w:rFonts w:ascii="맑은 고딕" w:hAnsi="맑은 고딕" w:eastAsia="맑은 고딕"/>
                <w:b w:val="0"/>
                <w:sz w:val="20"/>
              </w:rPr>
              <w:t>높음 (전담 엔지니어 2명 상주 요청)</w:t>
            </w:r>
          </w:p>
        </w:tc>
        <w:tc>
          <w:tcPr>
            <w:tcW w:type="dxa" w:w="2160"/>
          </w:tcPr>
          <w:p>
            <w:r>
              <w:rPr>
                <w:rFonts w:ascii="맑은 고딕" w:hAnsi="맑은 고딕" w:eastAsia="맑은 고딕"/>
                <w:b w:val="0"/>
                <w:sz w:val="20"/>
              </w:rPr>
              <w:t>낮음 (자체 인력 활용)</w:t>
            </w:r>
          </w:p>
        </w:tc>
        <w:tc>
          <w:tcPr>
            <w:tcW w:type="dxa" w:w="2160"/>
          </w:tcPr>
          <w:p>
            <w:r>
              <w:rPr>
                <w:rFonts w:ascii="맑은 고딕" w:hAnsi="맑은 고딕" w:eastAsia="맑은 고딕"/>
                <w:b w:val="0"/>
                <w:sz w:val="20"/>
              </w:rPr>
              <w:t>TBS 상주 인력 규모 1명으로 축소 협상</w:t>
            </w:r>
          </w:p>
        </w:tc>
      </w:tr>
      <w:tr>
        <w:tc>
          <w:tcPr>
            <w:tcW w:type="dxa" w:w="2160"/>
            <w:shd w:val="clear" w:color="auto" w:fill="F2F2F2"/>
          </w:tcPr>
          <w:p>
            <w:r>
              <w:rPr>
                <w:rFonts w:ascii="맑은 고딕" w:hAnsi="맑은 고딕" w:eastAsia="맑은 고딕"/>
                <w:b w:val="0"/>
                <w:sz w:val="20"/>
              </w:rPr>
              <w:t>환율 변동</w:t>
            </w:r>
          </w:p>
        </w:tc>
        <w:tc>
          <w:tcPr>
            <w:tcW w:type="dxa" w:w="2160"/>
            <w:shd w:val="clear" w:color="auto" w:fill="F2F2F2"/>
          </w:tcPr>
          <w:p>
            <w:r>
              <w:rPr>
                <w:rFonts w:ascii="맑은 고딕" w:hAnsi="맑은 고딕" w:eastAsia="맑은 고딕"/>
                <w:b w:val="0"/>
                <w:sz w:val="20"/>
              </w:rPr>
              <w:t>중간</w:t>
            </w:r>
          </w:p>
        </w:tc>
        <w:tc>
          <w:tcPr>
            <w:tcW w:type="dxa" w:w="2160"/>
            <w:shd w:val="clear" w:color="auto" w:fill="F2F2F2"/>
          </w:tcPr>
          <w:p>
            <w:r>
              <w:rPr>
                <w:rFonts w:ascii="맑은 고딕" w:hAnsi="맑은 고딕" w:eastAsia="맑은 고딕"/>
                <w:b w:val="0"/>
                <w:sz w:val="20"/>
              </w:rPr>
              <w:t>중간</w:t>
            </w:r>
          </w:p>
        </w:tc>
        <w:tc>
          <w:tcPr>
            <w:tcW w:type="dxa" w:w="2160"/>
            <w:shd w:val="clear" w:color="auto" w:fill="F2F2F2"/>
          </w:tcPr>
          <w:p>
            <w:r>
              <w:rPr>
                <w:rFonts w:ascii="맑은 고딕" w:hAnsi="맑은 고딕" w:eastAsia="맑은 고딕"/>
                <w:b w:val="0"/>
                <w:sz w:val="20"/>
              </w:rPr>
              <w:t>계약서 내 환율 조정(재산정) 조항 신설</w:t>
            </w:r>
          </w:p>
        </w:tc>
      </w:tr>
      <w:tr>
        <w:tc>
          <w:tcPr>
            <w:tcW w:type="dxa" w:w="2160"/>
          </w:tcPr>
          <w:p>
            <w:r>
              <w:rPr>
                <w:rFonts w:ascii="맑은 고딕" w:hAnsi="맑은 고딕" w:eastAsia="맑은 고딕"/>
                <w:b w:val="0"/>
                <w:sz w:val="20"/>
              </w:rPr>
              <w:t>조직 안정성</w:t>
            </w:r>
          </w:p>
        </w:tc>
        <w:tc>
          <w:tcPr>
            <w:tcW w:type="dxa" w:w="2160"/>
          </w:tcPr>
          <w:p>
            <w:r>
              <w:rPr>
                <w:rFonts w:ascii="맑은 고딕" w:hAnsi="맑은 고딕" w:eastAsia="맑은 고딕"/>
                <w:b w:val="0"/>
                <w:sz w:val="20"/>
              </w:rPr>
              <w:t>낮음 (설립 15년, 안정적 구조)</w:t>
            </w:r>
          </w:p>
        </w:tc>
        <w:tc>
          <w:tcPr>
            <w:tcW w:type="dxa" w:w="2160"/>
          </w:tcPr>
          <w:p>
            <w:r>
              <w:rPr>
                <w:rFonts w:ascii="맑은 고딕" w:hAnsi="맑은 고딕" w:eastAsia="맑은 고딕"/>
                <w:b w:val="0"/>
                <w:sz w:val="20"/>
              </w:rPr>
              <w:t>중간 (급격한 채용 확대)</w:t>
            </w:r>
          </w:p>
        </w:tc>
        <w:tc>
          <w:tcPr>
            <w:tcW w:type="dxa" w:w="2160"/>
          </w:tcPr>
          <w:p>
            <w:r>
              <w:rPr>
                <w:rFonts w:ascii="맑은 고딕" w:hAnsi="맑은 고딕" w:eastAsia="맑은 고딕"/>
                <w:b w:val="0"/>
                <w:sz w:val="20"/>
              </w:rPr>
              <w:t>SPK 핵심 인력 이탈 방지 조항 검토</w:t>
            </w:r>
          </w:p>
        </w:tc>
      </w:tr>
    </w:tbl>
    <w:p/>
    <w:p>
      <w:r>
        <w:rPr>
          <w:rFonts w:ascii="맑은 고딕" w:hAnsi="맑은 고딕" w:eastAsia="맑은 고딕"/>
          <w:b/>
          <w:color w:val="1F3864"/>
          <w:sz w:val="26"/>
        </w:rPr>
        <w:t>8. 시나리오별 대응 전략</w:t>
      </w:r>
    </w:p>
    <w:p>
      <w:pPr>
        <w:spacing w:line="312" w:lineRule="auto" w:after="160"/>
      </w:pPr>
      <w:r>
        <w:rPr>
          <w:rFonts w:ascii="맑은 고딕" w:hAnsi="맑은 고딕" w:eastAsia="맑은 고딕"/>
          <w:b w:val="0"/>
          <w:sz w:val="22"/>
        </w:rPr>
        <w:t>시나리오 1 (TBS가 수수료율 22%까지 양보 요청 시): 최소보장금액을 연 JPY 90,000,000으로 상향하는 조건으로 부분 수용하되, 독점 지역 범위는 간토 1개 지역으로 축소 협상.</w:t>
      </w:r>
    </w:p>
    <w:p>
      <w:pPr>
        <w:spacing w:line="312" w:lineRule="auto" w:after="160"/>
      </w:pPr>
      <w:r>
        <w:rPr>
          <w:rFonts w:ascii="맑은 고딕" w:hAnsi="맑은 고딕" w:eastAsia="맑은 고딕"/>
          <w:b w:val="0"/>
          <w:sz w:val="22"/>
        </w:rPr>
        <w:t>시나리오 2 (SPK가 전국 독점을 끝까지 고수할 시): 온라인 자가가입 채널은 당사 직접 운영 예외 조항을 계약서에 명시하는 조건으로만 수용. 미수용 시 SPK 협상은 잠정 보류하고 TBS 우선 협상으로 전환.</w:t>
      </w:r>
    </w:p>
    <w:p>
      <w:pPr>
        <w:spacing w:line="312" w:lineRule="auto" w:after="160"/>
      </w:pPr>
      <w:r>
        <w:rPr>
          <w:rFonts w:ascii="맑은 고딕" w:hAnsi="맑은 고딕" w:eastAsia="맑은 고딕"/>
          <w:b w:val="0"/>
          <w:sz w:val="22"/>
        </w:rPr>
        <w:t>시나리오 3 (양사 모두 최소판매목표 하향을 요청할 시): 1차년도 목표를 TBS 150 라이선스, SPK 250 라이선스로 하향 조정하되 2차년도부터 원안(200/350) 복귀를 조건으로 명시.</w:t>
      </w:r>
    </w:p>
    <w:p>
      <w:pPr>
        <w:spacing w:line="312" w:lineRule="auto" w:after="160"/>
      </w:pPr>
      <w:r>
        <w:rPr>
          <w:rFonts w:ascii="맑은 고딕" w:hAnsi="맑은 고딕" w:eastAsia="맑은 고딕"/>
          <w:b w:val="0"/>
          <w:sz w:val="22"/>
        </w:rPr>
        <w:t>시나리오 4 (협상 장기화로 10월 계약 체결 목표가 지연될 시): 경영기획실(이수민 팀장) 보고 후 대표이사 결재를 거쳐 최종 조건을 확정하며, 필요시 TBS·SPK 동시 조건부 파일럿 계약(6개월)을 검토한다.</w:t>
      </w:r>
    </w:p>
    <w:p>
      <w:pPr>
        <w:spacing w:line="312" w:lineRule="auto" w:after="160"/>
      </w:pPr>
      <w:r>
        <w:rPr>
          <w:rFonts w:ascii="맑은 고딕" w:hAnsi="맑은 고딕" w:eastAsia="맑은 고딕"/>
          <w:b w:val="0"/>
          <w:sz w:val="22"/>
        </w:rPr>
        <w:t>시나리오 5 (TBS가 초기 셋업비 JPY 5,000,000을 끝까지 고수할 시): 셋업비 전액 인정 대신 1차년도 최소보장금액에서 동일 금액을 차감하는 방식으로 실질 부담을 상쇄하는 절충안을 제시한다.</w:t>
      </w:r>
    </w:p>
    <w:p>
      <w:r>
        <w:rPr>
          <w:rFonts w:ascii="맑은 고딕" w:hAnsi="맑은 고딕" w:eastAsia="맑은 고딕"/>
          <w:b/>
          <w:color w:val="1F3864"/>
          <w:sz w:val="26"/>
        </w:rPr>
        <w:t>9. 최종 권고안</w:t>
      </w:r>
    </w:p>
    <w:p>
      <w:pPr>
        <w:spacing w:line="312" w:lineRule="auto" w:after="160"/>
      </w:pPr>
      <w:r>
        <w:rPr>
          <w:rFonts w:ascii="맑은 고딕" w:hAnsi="맑은 고딕" w:eastAsia="맑은 고딕"/>
          <w:b w:val="0"/>
          <w:sz w:val="22"/>
        </w:rPr>
        <w:t>재무 시뮬레이션 및 리스크 평가 결과를 종합할 때, 3개년 누적 순매출과 리스크 수준 모두에서 TBS 협상목표안(수수료 22%, 최소보장 JPY 90,000,000)이 SPK 대비 우위에 있는 것으로 판단된다. 다만 SPK가 보유한 중소기업·스타트업 채널 및 성장 잠재력은 장기적으로 무시하기 어려운 자산이다.</w:t>
      </w:r>
    </w:p>
    <w:p>
      <w:pPr>
        <w:spacing w:line="312" w:lineRule="auto" w:after="160"/>
      </w:pPr>
      <w:r>
        <w:rPr>
          <w:rFonts w:ascii="맑은 고딕" w:hAnsi="맑은 고딕" w:eastAsia="맑은 고딕"/>
          <w:b w:val="0"/>
          <w:sz w:val="22"/>
        </w:rPr>
        <w:t>이에 따라 TBS를 1순위 협상 대상자로 선정하여 시나리오 1안(수수료 22%, 최소보장 9,000만엔, 간토 1개 지역 독점)을 기준으로 9월 초까지 조건 확정을 목표로 협상을 마무리할 것을 권고한다.</w:t>
      </w:r>
    </w:p>
    <w:p>
      <w:pPr>
        <w:spacing w:line="312" w:lineRule="auto" w:after="160"/>
      </w:pPr>
      <w:r>
        <w:rPr>
          <w:rFonts w:ascii="맑은 고딕" w:hAnsi="맑은 고딕" w:eastAsia="맑은 고딕"/>
          <w:b w:val="0"/>
          <w:sz w:val="22"/>
        </w:rPr>
        <w:t>SPK와는 전국 독점 대신 간사이 지역 한정 비독점 파일럿 계약(6개월, 온라인 자가가입 채널 예외조항 포함)을 병행 제안하여, 향후 TBS 채널이 커버하지 못하는 중소기업·스타트업 세그먼트를 보완하는 투 트랙(Two-Track) 전략을 채택한다.</w:t>
      </w:r>
    </w:p>
    <w:p>
      <w:pPr>
        <w:spacing w:line="312" w:lineRule="auto" w:after="160"/>
      </w:pPr>
      <w:r>
        <w:rPr>
          <w:rFonts w:ascii="맑은 고딕" w:hAnsi="맑은 고딕" w:eastAsia="맑은 고딕"/>
          <w:b w:val="0"/>
          <w:sz w:val="22"/>
        </w:rPr>
        <w:t>TBS 초기 셋업비(JPY 5,000,000)는 1차년도 최소보장금액에서 상계하는 방식으로 절충하며, 기술지원 상주 인력은 2명에서 1명으로 축소 협상한다.</w:t>
      </w:r>
    </w:p>
    <w:p>
      <w:pPr>
        <w:spacing w:line="312" w:lineRule="auto" w:after="160"/>
      </w:pPr>
      <w:r>
        <w:rPr>
          <w:rFonts w:ascii="맑은 고딕" w:hAnsi="맑은 고딕" w:eastAsia="맑은 고딕"/>
          <w:b w:val="0"/>
          <w:sz w:val="22"/>
        </w:rPr>
        <w:t>본 권고안은 2026년 8월 말 임원 보고를 거쳐 확정되며, 최종 계약 조건은 경영기획실(이수민 팀장) 검토 후 대표이사(김도현) 승인으로 확정한다. 목표 계약 체결일은 2026년 10월 중이며, 4분기 일본 시장 정식 런칭 일정에는 변동이 없다.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sz w:val="18"/>
      </w:rPr>
      <w:t xml:space="preserve">㈜네오웍스  -  </w:t>
    </w:r>
    <w:r>
      <w:rPr>
        <w:rFonts w:ascii="맑은 고딕" w:hAnsi="맑은 고딕" w:eastAsia="맑은 고딕"/>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color w:val="C00000"/>
        <w:sz w:val="18"/>
      </w:rPr>
      <w:t>대외비 - 영업팀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