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right"/>
        <w:tblLook w:firstColumn="1" w:firstRow="1" w:lastColumn="0" w:lastRow="0" w:noHBand="0" w:noVBand="1" w:val="04A0"/>
      </w:tblPr>
      <w:tblGrid>
        <w:gridCol w:w="2880"/>
        <w:gridCol w:w="2880"/>
        <w:gridCol w:w="2880"/>
      </w:tblGrid>
      <w:tr>
        <w:tc>
          <w:tcPr>
            <w:tcW w:type="dxa" w:w="1200"/>
            <w:shd w:val="clear" w:color="auto" w:fill="D9D9D9"/>
          </w:tcPr>
          <w:p>
            <w:pPr>
              <w:jc w:val="center"/>
            </w:pPr>
            <w:r>
              <w:rPr>
                <w:rFonts w:ascii="맑은 고딕" w:hAnsi="맑은 고딕" w:eastAsia="맑은 고딕"/>
                <w:b/>
                <w:sz w:val="18"/>
              </w:rPr>
              <w:t>면접관</w:t>
            </w:r>
          </w:p>
        </w:tc>
        <w:tc>
          <w:tcPr>
            <w:tcW w:type="dxa" w:w="1200"/>
            <w:shd w:val="clear" w:color="auto" w:fill="D9D9D9"/>
          </w:tcPr>
          <w:p>
            <w:pPr>
              <w:jc w:val="center"/>
            </w:pPr>
            <w:r>
              <w:rPr>
                <w:rFonts w:ascii="맑은 고딕" w:hAnsi="맑은 고딕" w:eastAsia="맑은 고딕"/>
                <w:b/>
                <w:sz w:val="18"/>
              </w:rPr>
              <w:t>면접관</w:t>
            </w:r>
          </w:p>
        </w:tc>
        <w:tc>
          <w:tcPr>
            <w:tcW w:type="dxa" w:w="1200"/>
            <w:shd w:val="clear" w:color="auto" w:fill="D9D9D9"/>
          </w:tcPr>
          <w:p>
            <w:pPr>
              <w:jc w:val="center"/>
            </w:pPr>
            <w:r>
              <w:rPr>
                <w:rFonts w:ascii="맑은 고딕" w:hAnsi="맑은 고딕" w:eastAsia="맑은 고딕"/>
                <w:b/>
                <w:sz w:val="18"/>
              </w:rPr>
              <w:t>인사담당</w:t>
            </w:r>
          </w:p>
        </w:tc>
      </w:tr>
      <w:tr>
        <w:tc>
          <w:tcPr>
            <w:tcW w:type="dxa" w:w="1200"/>
          </w:tcPr>
          <w:p>
            <w:pPr>
              <w:jc w:val="center"/>
            </w:pPr>
            <w:r>
              <w:rPr>
                <w:rFonts w:ascii="맑은 고딕" w:hAnsi="맑은 고딕" w:eastAsia="맑은 고딕"/>
                <w:b w:val="0"/>
                <w:sz w:val="18"/>
              </w:rPr>
              <w:t>강민석</w:t>
            </w:r>
          </w:p>
        </w:tc>
        <w:tc>
          <w:tcPr>
            <w:tcW w:type="dxa" w:w="1200"/>
          </w:tcPr>
          <w:p>
            <w:pPr>
              <w:jc w:val="center"/>
            </w:pPr>
            <w:r>
              <w:rPr>
                <w:rFonts w:ascii="맑은 고딕" w:hAnsi="맑은 고딕" w:eastAsia="맑은 고딕"/>
                <w:b w:val="0"/>
                <w:sz w:val="18"/>
              </w:rPr>
              <w:t>박현수</w:t>
            </w:r>
          </w:p>
        </w:tc>
        <w:tc>
          <w:tcPr>
            <w:tcW w:type="dxa" w:w="1200"/>
          </w:tcPr>
          <w:p>
            <w:pPr>
              <w:jc w:val="center"/>
            </w:pPr>
            <w:r>
              <w:rPr>
                <w:rFonts w:ascii="맑은 고딕" w:hAnsi="맑은 고딕" w:eastAsia="맑은 고딕"/>
                <w:b w:val="0"/>
                <w:sz w:val="18"/>
              </w:rPr>
              <w:t>정하늘</w:t>
            </w:r>
          </w:p>
        </w:tc>
      </w:tr>
    </w:tbl>
    <w:p/>
    <w:p>
      <w:pPr>
        <w:pBdr>
          <w:bottom w:val="single" w:sz="18" w:space="4" w:color="1F3864"/>
        </w:pBdr>
      </w:pPr>
      <w:r>
        <w:rPr>
          <w:rFonts w:ascii="맑은 고딕" w:hAnsi="맑은 고딕" w:eastAsia="맑은 고딕"/>
          <w:b/>
          <w:color w:val="1F3864"/>
          <w:sz w:val="36"/>
        </w:rPr>
        <w:t>신입 개발자(백엔드) 면접평가서</w:t>
      </w:r>
    </w:p>
    <w:p>
      <w:r>
        <w:rPr>
          <w:rFonts w:ascii="맑은 고딕" w:hAnsi="맑은 고딕" w:eastAsia="맑은 고딕"/>
          <w:b w:val="0"/>
          <w:color w:val="595959"/>
          <w:sz w:val="18"/>
        </w:rPr>
        <w:t>문서번호: NW-HR-2026-007    작성일: 2026-08-10    작성자: 인사팀장 정하늘    배포범위: 인사팀·개발본부 한정</w:t>
      </w:r>
    </w:p>
    <w:p/>
    <w:p>
      <w:r>
        <w:rPr>
          <w:rFonts w:ascii="맑은 고딕" w:hAnsi="맑은 고딕" w:eastAsia="맑은 고딕"/>
          <w:b/>
          <w:color w:val="1F3864"/>
          <w:sz w:val="26"/>
        </w:rPr>
        <w:t>1. 지원자 기본정보</w:t>
      </w:r>
    </w:p>
    <w:tbl>
      <w:tblPr>
        <w:tblStyle w:val="TableGrid"/>
        <w:tblW w:type="auto" w:w="0"/>
        <w:tblLook w:firstColumn="1" w:firstRow="1" w:lastColumn="0" w:lastRow="0" w:noHBand="0" w:noVBand="1" w:val="04A0"/>
      </w:tblPr>
      <w:tblGrid>
        <w:gridCol w:w="4320"/>
        <w:gridCol w:w="4320"/>
      </w:tblGrid>
      <w:tr>
        <w:tc>
          <w:tcPr>
            <w:tcW w:type="dxa" w:w="4320"/>
            <w:shd w:val="clear" w:color="auto" w:fill="1F3864"/>
          </w:tcPr>
          <w:p>
            <w:pPr>
              <w:jc w:val="center"/>
            </w:pPr>
            <w:r>
              <w:rPr>
                <w:rFonts w:ascii="맑은 고딕" w:hAnsi="맑은 고딕" w:eastAsia="맑은 고딕"/>
                <w:b/>
                <w:color w:val="FFFFFF"/>
                <w:sz w:val="20"/>
              </w:rPr>
              <w:t>항목</w:t>
            </w:r>
          </w:p>
        </w:tc>
        <w:tc>
          <w:tcPr>
            <w:tcW w:type="dxa" w:w="4320"/>
            <w:shd w:val="clear" w:color="auto" w:fill="1F3864"/>
          </w:tcPr>
          <w:p>
            <w:pPr>
              <w:jc w:val="center"/>
            </w:pPr>
            <w:r>
              <w:rPr>
                <w:rFonts w:ascii="맑은 고딕" w:hAnsi="맑은 고딕" w:eastAsia="맑은 고딕"/>
                <w:b/>
                <w:color w:val="FFFFFF"/>
                <w:sz w:val="20"/>
              </w:rPr>
              <w:t>내용</w:t>
            </w:r>
          </w:p>
        </w:tc>
      </w:tr>
      <w:tr>
        <w:tc>
          <w:tcPr>
            <w:tcW w:type="dxa" w:w="4320"/>
          </w:tcPr>
          <w:p>
            <w:r>
              <w:rPr>
                <w:rFonts w:ascii="맑은 고딕" w:hAnsi="맑은 고딕" w:eastAsia="맑은 고딕"/>
                <w:b w:val="0"/>
                <w:sz w:val="20"/>
              </w:rPr>
              <w:t>성명</w:t>
            </w:r>
          </w:p>
        </w:tc>
        <w:tc>
          <w:tcPr>
            <w:tcW w:type="dxa" w:w="4320"/>
          </w:tcPr>
          <w:p>
            <w:r>
              <w:rPr>
                <w:rFonts w:ascii="맑은 고딕" w:hAnsi="맑은 고딕" w:eastAsia="맑은 고딕"/>
                <w:b w:val="0"/>
                <w:sz w:val="20"/>
              </w:rPr>
              <w:t>이도윤</w:t>
            </w:r>
          </w:p>
        </w:tc>
      </w:tr>
      <w:tr>
        <w:tc>
          <w:tcPr>
            <w:tcW w:type="dxa" w:w="4320"/>
            <w:shd w:val="clear" w:color="auto" w:fill="F2F2F2"/>
          </w:tcPr>
          <w:p>
            <w:r>
              <w:rPr>
                <w:rFonts w:ascii="맑은 고딕" w:hAnsi="맑은 고딕" w:eastAsia="맑은 고딕"/>
                <w:b w:val="0"/>
                <w:sz w:val="20"/>
              </w:rPr>
              <w:t>생년월일</w:t>
            </w:r>
          </w:p>
        </w:tc>
        <w:tc>
          <w:tcPr>
            <w:tcW w:type="dxa" w:w="4320"/>
            <w:shd w:val="clear" w:color="auto" w:fill="F2F2F2"/>
          </w:tcPr>
          <w:p>
            <w:r>
              <w:rPr>
                <w:rFonts w:ascii="맑은 고딕" w:hAnsi="맑은 고딕" w:eastAsia="맑은 고딕"/>
                <w:b w:val="0"/>
                <w:sz w:val="20"/>
              </w:rPr>
              <w:t>1999.03.14</w:t>
            </w:r>
          </w:p>
        </w:tc>
      </w:tr>
      <w:tr>
        <w:tc>
          <w:tcPr>
            <w:tcW w:type="dxa" w:w="4320"/>
          </w:tcPr>
          <w:p>
            <w:r>
              <w:rPr>
                <w:rFonts w:ascii="맑은 고딕" w:hAnsi="맑은 고딕" w:eastAsia="맑은 고딕"/>
                <w:b w:val="0"/>
                <w:sz w:val="20"/>
              </w:rPr>
              <w:t>지원부서</w:t>
            </w:r>
          </w:p>
        </w:tc>
        <w:tc>
          <w:tcPr>
            <w:tcW w:type="dxa" w:w="4320"/>
          </w:tcPr>
          <w:p>
            <w:r>
              <w:rPr>
                <w:rFonts w:ascii="맑은 고딕" w:hAnsi="맑은 고딕" w:eastAsia="맑은 고딕"/>
                <w:b w:val="0"/>
                <w:sz w:val="20"/>
              </w:rPr>
              <w:t>개발본부 백엔드팀</w:t>
            </w:r>
          </w:p>
        </w:tc>
      </w:tr>
      <w:tr>
        <w:tc>
          <w:tcPr>
            <w:tcW w:type="dxa" w:w="4320"/>
            <w:shd w:val="clear" w:color="auto" w:fill="F2F2F2"/>
          </w:tcPr>
          <w:p>
            <w:r>
              <w:rPr>
                <w:rFonts w:ascii="맑은 고딕" w:hAnsi="맑은 고딕" w:eastAsia="맑은 고딕"/>
                <w:b w:val="0"/>
                <w:sz w:val="20"/>
              </w:rPr>
              <w:t>지원직무</w:t>
            </w:r>
          </w:p>
        </w:tc>
        <w:tc>
          <w:tcPr>
            <w:tcW w:type="dxa" w:w="4320"/>
            <w:shd w:val="clear" w:color="auto" w:fill="F2F2F2"/>
          </w:tcPr>
          <w:p>
            <w:r>
              <w:rPr>
                <w:rFonts w:ascii="맑은 고딕" w:hAnsi="맑은 고딕" w:eastAsia="맑은 고딕"/>
                <w:b w:val="0"/>
                <w:sz w:val="20"/>
              </w:rPr>
              <w:t>백엔드 개발자(신입)</w:t>
            </w:r>
          </w:p>
        </w:tc>
      </w:tr>
      <w:tr>
        <w:tc>
          <w:tcPr>
            <w:tcW w:type="dxa" w:w="4320"/>
          </w:tcPr>
          <w:p>
            <w:r>
              <w:rPr>
                <w:rFonts w:ascii="맑은 고딕" w:hAnsi="맑은 고딕" w:eastAsia="맑은 고딕"/>
                <w:b w:val="0"/>
                <w:sz w:val="20"/>
              </w:rPr>
              <w:t>연락처</w:t>
            </w:r>
          </w:p>
        </w:tc>
        <w:tc>
          <w:tcPr>
            <w:tcW w:type="dxa" w:w="4320"/>
          </w:tcPr>
          <w:p>
            <w:r>
              <w:rPr>
                <w:rFonts w:ascii="맑은 고딕" w:hAnsi="맑은 고딕" w:eastAsia="맑은 고딕"/>
                <w:b w:val="0"/>
                <w:sz w:val="20"/>
              </w:rPr>
              <w:t>010-4821-7793</w:t>
            </w:r>
          </w:p>
        </w:tc>
      </w:tr>
      <w:tr>
        <w:tc>
          <w:tcPr>
            <w:tcW w:type="dxa" w:w="4320"/>
            <w:shd w:val="clear" w:color="auto" w:fill="F2F2F2"/>
          </w:tcPr>
          <w:p>
            <w:r>
              <w:rPr>
                <w:rFonts w:ascii="맑은 고딕" w:hAnsi="맑은 고딕" w:eastAsia="맑은 고딕"/>
                <w:b w:val="0"/>
                <w:sz w:val="20"/>
              </w:rPr>
              <w:t>이메일</w:t>
            </w:r>
          </w:p>
        </w:tc>
        <w:tc>
          <w:tcPr>
            <w:tcW w:type="dxa" w:w="4320"/>
            <w:shd w:val="clear" w:color="auto" w:fill="F2F2F2"/>
          </w:tcPr>
          <w:p>
            <w:r>
              <w:rPr>
                <w:rFonts w:ascii="맑은 고딕" w:hAnsi="맑은 고딕" w:eastAsia="맑은 고딕"/>
                <w:b w:val="0"/>
                <w:sz w:val="20"/>
              </w:rPr>
              <w:t>dywlee0314@gmail.com</w:t>
            </w:r>
          </w:p>
        </w:tc>
      </w:tr>
      <w:tr>
        <w:tc>
          <w:tcPr>
            <w:tcW w:type="dxa" w:w="4320"/>
          </w:tcPr>
          <w:p>
            <w:r>
              <w:rPr>
                <w:rFonts w:ascii="맑은 고딕" w:hAnsi="맑은 고딕" w:eastAsia="맑은 고딕"/>
                <w:b w:val="0"/>
                <w:sz w:val="20"/>
              </w:rPr>
              <w:t>면접일시</w:t>
            </w:r>
          </w:p>
        </w:tc>
        <w:tc>
          <w:tcPr>
            <w:tcW w:type="dxa" w:w="4320"/>
          </w:tcPr>
          <w:p>
            <w:r>
              <w:rPr>
                <w:rFonts w:ascii="맑은 고딕" w:hAnsi="맑은 고딕" w:eastAsia="맑은 고딕"/>
                <w:b w:val="0"/>
                <w:sz w:val="20"/>
              </w:rPr>
              <w:t>2026.08.08 14:00~15:10</w:t>
            </w:r>
          </w:p>
        </w:tc>
      </w:tr>
      <w:tr>
        <w:tc>
          <w:tcPr>
            <w:tcW w:type="dxa" w:w="4320"/>
            <w:shd w:val="clear" w:color="auto" w:fill="F2F2F2"/>
          </w:tcPr>
          <w:p>
            <w:r>
              <w:rPr>
                <w:rFonts w:ascii="맑은 고딕" w:hAnsi="맑은 고딕" w:eastAsia="맑은 고딕"/>
                <w:b w:val="0"/>
                <w:sz w:val="20"/>
              </w:rPr>
              <w:t>면접장소</w:t>
            </w:r>
          </w:p>
        </w:tc>
        <w:tc>
          <w:tcPr>
            <w:tcW w:type="dxa" w:w="4320"/>
            <w:shd w:val="clear" w:color="auto" w:fill="F2F2F2"/>
          </w:tcPr>
          <w:p>
            <w:r>
              <w:rPr>
                <w:rFonts w:ascii="맑은 고딕" w:hAnsi="맑은 고딕" w:eastAsia="맑은 고딕"/>
                <w:b w:val="0"/>
                <w:sz w:val="20"/>
              </w:rPr>
              <w:t>본사 3층 대회의실</w:t>
            </w:r>
          </w:p>
        </w:tc>
      </w:tr>
    </w:tbl>
    <w:p/>
    <w:p>
      <w:r>
        <w:rPr>
          <w:rFonts w:ascii="맑은 고딕" w:hAnsi="맑은 고딕" w:eastAsia="맑은 고딕"/>
          <w:b/>
          <w:color w:val="1F3864"/>
          <w:sz w:val="26"/>
        </w:rPr>
        <w:t>2. 평가위원별 점수 (5점 척도)</w:t>
      </w:r>
    </w:p>
    <w:p>
      <w:pPr>
        <w:spacing w:line="312" w:lineRule="auto" w:after="160"/>
      </w:pPr>
      <w:r>
        <w:rPr>
          <w:rFonts w:ascii="맑은 고딕" w:hAnsi="맑은 고딕" w:eastAsia="맑은 고딕"/>
          <w:b w:val="0"/>
          <w:sz w:val="22"/>
        </w:rPr>
        <w:t>평가위원: 강민석(CTO), 박현수(백엔드팀장), 정하늘(인사팀장). 각 항목은 1~5점 척도로 채점하며, 평균은 소수점 둘째 자리에서 반올림한다.</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3864"/>
          </w:tcPr>
          <w:p>
            <w:pPr>
              <w:jc w:val="center"/>
            </w:pPr>
            <w:r>
              <w:rPr>
                <w:rFonts w:ascii="맑은 고딕" w:hAnsi="맑은 고딕" w:eastAsia="맑은 고딕"/>
                <w:b/>
                <w:color w:val="FFFFFF"/>
                <w:sz w:val="20"/>
              </w:rPr>
              <w:t>평가항목</w:t>
            </w:r>
          </w:p>
        </w:tc>
        <w:tc>
          <w:tcPr>
            <w:tcW w:type="dxa" w:w="1728"/>
            <w:shd w:val="clear" w:color="auto" w:fill="1F3864"/>
          </w:tcPr>
          <w:p>
            <w:pPr>
              <w:jc w:val="center"/>
            </w:pPr>
            <w:r>
              <w:rPr>
                <w:rFonts w:ascii="맑은 고딕" w:hAnsi="맑은 고딕" w:eastAsia="맑은 고딕"/>
                <w:b/>
                <w:color w:val="FFFFFF"/>
                <w:sz w:val="20"/>
              </w:rPr>
              <w:t>강민석</w:t>
            </w:r>
          </w:p>
        </w:tc>
        <w:tc>
          <w:tcPr>
            <w:tcW w:type="dxa" w:w="1728"/>
            <w:shd w:val="clear" w:color="auto" w:fill="1F3864"/>
          </w:tcPr>
          <w:p>
            <w:pPr>
              <w:jc w:val="center"/>
            </w:pPr>
            <w:r>
              <w:rPr>
                <w:rFonts w:ascii="맑은 고딕" w:hAnsi="맑은 고딕" w:eastAsia="맑은 고딕"/>
                <w:b/>
                <w:color w:val="FFFFFF"/>
                <w:sz w:val="20"/>
              </w:rPr>
              <w:t>박현수</w:t>
            </w:r>
          </w:p>
        </w:tc>
        <w:tc>
          <w:tcPr>
            <w:tcW w:type="dxa" w:w="1728"/>
            <w:shd w:val="clear" w:color="auto" w:fill="1F3864"/>
          </w:tcPr>
          <w:p>
            <w:pPr>
              <w:jc w:val="center"/>
            </w:pPr>
            <w:r>
              <w:rPr>
                <w:rFonts w:ascii="맑은 고딕" w:hAnsi="맑은 고딕" w:eastAsia="맑은 고딕"/>
                <w:b/>
                <w:color w:val="FFFFFF"/>
                <w:sz w:val="20"/>
              </w:rPr>
              <w:t>정하늘</w:t>
            </w:r>
          </w:p>
        </w:tc>
        <w:tc>
          <w:tcPr>
            <w:tcW w:type="dxa" w:w="1728"/>
            <w:shd w:val="clear" w:color="auto" w:fill="1F3864"/>
          </w:tcPr>
          <w:p>
            <w:pPr>
              <w:jc w:val="center"/>
            </w:pPr>
            <w:r>
              <w:rPr>
                <w:rFonts w:ascii="맑은 고딕" w:hAnsi="맑은 고딕" w:eastAsia="맑은 고딕"/>
                <w:b/>
                <w:color w:val="FFFFFF"/>
                <w:sz w:val="20"/>
              </w:rPr>
              <w:t>평균</w:t>
            </w:r>
          </w:p>
        </w:tc>
      </w:tr>
      <w:tr>
        <w:tc>
          <w:tcPr>
            <w:tcW w:type="dxa" w:w="1728"/>
          </w:tcPr>
          <w:p>
            <w:r>
              <w:rPr>
                <w:rFonts w:ascii="맑은 고딕" w:hAnsi="맑은 고딕" w:eastAsia="맑은 고딕"/>
                <w:b w:val="0"/>
                <w:sz w:val="20"/>
              </w:rPr>
              <w:t>직무 전문성</w:t>
            </w:r>
          </w:p>
        </w:tc>
        <w:tc>
          <w:tcPr>
            <w:tcW w:type="dxa" w:w="1728"/>
          </w:tcPr>
          <w:p>
            <w:r>
              <w:rPr>
                <w:rFonts w:ascii="맑은 고딕" w:hAnsi="맑은 고딕" w:eastAsia="맑은 고딕"/>
                <w:b w:val="0"/>
                <w:sz w:val="20"/>
              </w:rPr>
              <w:t>4</w:t>
            </w:r>
          </w:p>
        </w:tc>
        <w:tc>
          <w:tcPr>
            <w:tcW w:type="dxa" w:w="1728"/>
          </w:tcPr>
          <w:p>
            <w:r>
              <w:rPr>
                <w:rFonts w:ascii="맑은 고딕" w:hAnsi="맑은 고딕" w:eastAsia="맑은 고딕"/>
                <w:b w:val="0"/>
                <w:sz w:val="20"/>
              </w:rPr>
              <w:t>5</w:t>
            </w:r>
          </w:p>
        </w:tc>
        <w:tc>
          <w:tcPr>
            <w:tcW w:type="dxa" w:w="1728"/>
          </w:tcPr>
          <w:p>
            <w:r>
              <w:rPr>
                <w:rFonts w:ascii="맑은 고딕" w:hAnsi="맑은 고딕" w:eastAsia="맑은 고딕"/>
                <w:b w:val="0"/>
                <w:sz w:val="20"/>
              </w:rPr>
              <w:t>4</w:t>
            </w:r>
          </w:p>
        </w:tc>
        <w:tc>
          <w:tcPr>
            <w:tcW w:type="dxa" w:w="1728"/>
          </w:tcPr>
          <w:p>
            <w:r>
              <w:rPr>
                <w:rFonts w:ascii="맑은 고딕" w:hAnsi="맑은 고딕" w:eastAsia="맑은 고딕"/>
                <w:b w:val="0"/>
                <w:sz w:val="20"/>
              </w:rPr>
              <w:t>4.3</w:t>
            </w:r>
          </w:p>
        </w:tc>
      </w:tr>
      <w:tr>
        <w:tc>
          <w:tcPr>
            <w:tcW w:type="dxa" w:w="1728"/>
            <w:shd w:val="clear" w:color="auto" w:fill="F2F2F2"/>
          </w:tcPr>
          <w:p>
            <w:r>
              <w:rPr>
                <w:rFonts w:ascii="맑은 고딕" w:hAnsi="맑은 고딕" w:eastAsia="맑은 고딕"/>
                <w:b w:val="0"/>
                <w:sz w:val="20"/>
              </w:rPr>
              <w:t>문제해결능력</w:t>
            </w:r>
          </w:p>
        </w:tc>
        <w:tc>
          <w:tcPr>
            <w:tcW w:type="dxa" w:w="1728"/>
            <w:shd w:val="clear" w:color="auto" w:fill="F2F2F2"/>
          </w:tcPr>
          <w:p>
            <w:r>
              <w:rPr>
                <w:rFonts w:ascii="맑은 고딕" w:hAnsi="맑은 고딕" w:eastAsia="맑은 고딕"/>
                <w:b w:val="0"/>
                <w:sz w:val="20"/>
              </w:rPr>
              <w:t>4</w:t>
            </w:r>
          </w:p>
        </w:tc>
        <w:tc>
          <w:tcPr>
            <w:tcW w:type="dxa" w:w="1728"/>
            <w:shd w:val="clear" w:color="auto" w:fill="F2F2F2"/>
          </w:tcPr>
          <w:p>
            <w:r>
              <w:rPr>
                <w:rFonts w:ascii="맑은 고딕" w:hAnsi="맑은 고딕" w:eastAsia="맑은 고딕"/>
                <w:b w:val="0"/>
                <w:sz w:val="20"/>
              </w:rPr>
              <w:t>5</w:t>
            </w:r>
          </w:p>
        </w:tc>
        <w:tc>
          <w:tcPr>
            <w:tcW w:type="dxa" w:w="1728"/>
            <w:shd w:val="clear" w:color="auto" w:fill="F2F2F2"/>
          </w:tcPr>
          <w:p>
            <w:r>
              <w:rPr>
                <w:rFonts w:ascii="맑은 고딕" w:hAnsi="맑은 고딕" w:eastAsia="맑은 고딕"/>
                <w:b w:val="0"/>
                <w:sz w:val="20"/>
              </w:rPr>
              <w:t>3</w:t>
            </w:r>
          </w:p>
        </w:tc>
        <w:tc>
          <w:tcPr>
            <w:tcW w:type="dxa" w:w="1728"/>
            <w:shd w:val="clear" w:color="auto" w:fill="F2F2F2"/>
          </w:tcPr>
          <w:p>
            <w:r>
              <w:rPr>
                <w:rFonts w:ascii="맑은 고딕" w:hAnsi="맑은 고딕" w:eastAsia="맑은 고딕"/>
                <w:b w:val="0"/>
                <w:sz w:val="20"/>
              </w:rPr>
              <w:t>4.0</w:t>
            </w:r>
          </w:p>
        </w:tc>
      </w:tr>
      <w:tr>
        <w:tc>
          <w:tcPr>
            <w:tcW w:type="dxa" w:w="1728"/>
          </w:tcPr>
          <w:p>
            <w:r>
              <w:rPr>
                <w:rFonts w:ascii="맑은 고딕" w:hAnsi="맑은 고딕" w:eastAsia="맑은 고딕"/>
                <w:b w:val="0"/>
                <w:sz w:val="20"/>
              </w:rPr>
              <w:t>커뮤니케이션</w:t>
            </w:r>
          </w:p>
        </w:tc>
        <w:tc>
          <w:tcPr>
            <w:tcW w:type="dxa" w:w="1728"/>
          </w:tcPr>
          <w:p>
            <w:r>
              <w:rPr>
                <w:rFonts w:ascii="맑은 고딕" w:hAnsi="맑은 고딕" w:eastAsia="맑은 고딕"/>
                <w:b w:val="0"/>
                <w:sz w:val="20"/>
              </w:rPr>
              <w:t>3</w:t>
            </w:r>
          </w:p>
        </w:tc>
        <w:tc>
          <w:tcPr>
            <w:tcW w:type="dxa" w:w="1728"/>
          </w:tcPr>
          <w:p>
            <w:r>
              <w:rPr>
                <w:rFonts w:ascii="맑은 고딕" w:hAnsi="맑은 고딕" w:eastAsia="맑은 고딕"/>
                <w:b w:val="0"/>
                <w:sz w:val="20"/>
              </w:rPr>
              <w:t>3</w:t>
            </w:r>
          </w:p>
        </w:tc>
        <w:tc>
          <w:tcPr>
            <w:tcW w:type="dxa" w:w="1728"/>
          </w:tcPr>
          <w:p>
            <w:r>
              <w:rPr>
                <w:rFonts w:ascii="맑은 고딕" w:hAnsi="맑은 고딕" w:eastAsia="맑은 고딕"/>
                <w:b w:val="0"/>
                <w:sz w:val="20"/>
              </w:rPr>
              <w:t>4</w:t>
            </w:r>
          </w:p>
        </w:tc>
        <w:tc>
          <w:tcPr>
            <w:tcW w:type="dxa" w:w="1728"/>
          </w:tcPr>
          <w:p>
            <w:r>
              <w:rPr>
                <w:rFonts w:ascii="맑은 고딕" w:hAnsi="맑은 고딕" w:eastAsia="맑은 고딕"/>
                <w:b w:val="0"/>
                <w:sz w:val="20"/>
              </w:rPr>
              <w:t>3.3</w:t>
            </w:r>
          </w:p>
        </w:tc>
      </w:tr>
      <w:tr>
        <w:tc>
          <w:tcPr>
            <w:tcW w:type="dxa" w:w="1728"/>
            <w:shd w:val="clear" w:color="auto" w:fill="F2F2F2"/>
          </w:tcPr>
          <w:p>
            <w:r>
              <w:rPr>
                <w:rFonts w:ascii="맑은 고딕" w:hAnsi="맑은 고딕" w:eastAsia="맑은 고딕"/>
                <w:b w:val="0"/>
                <w:sz w:val="20"/>
              </w:rPr>
              <w:t>조직적합성</w:t>
            </w:r>
          </w:p>
        </w:tc>
        <w:tc>
          <w:tcPr>
            <w:tcW w:type="dxa" w:w="1728"/>
            <w:shd w:val="clear" w:color="auto" w:fill="F2F2F2"/>
          </w:tcPr>
          <w:p>
            <w:r>
              <w:rPr>
                <w:rFonts w:ascii="맑은 고딕" w:hAnsi="맑은 고딕" w:eastAsia="맑은 고딕"/>
                <w:b w:val="0"/>
                <w:sz w:val="20"/>
              </w:rPr>
              <w:t>4</w:t>
            </w:r>
          </w:p>
        </w:tc>
        <w:tc>
          <w:tcPr>
            <w:tcW w:type="dxa" w:w="1728"/>
            <w:shd w:val="clear" w:color="auto" w:fill="F2F2F2"/>
          </w:tcPr>
          <w:p>
            <w:r>
              <w:rPr>
                <w:rFonts w:ascii="맑은 고딕" w:hAnsi="맑은 고딕" w:eastAsia="맑은 고딕"/>
                <w:b w:val="0"/>
                <w:sz w:val="20"/>
              </w:rPr>
              <w:t>4</w:t>
            </w:r>
          </w:p>
        </w:tc>
        <w:tc>
          <w:tcPr>
            <w:tcW w:type="dxa" w:w="1728"/>
            <w:shd w:val="clear" w:color="auto" w:fill="F2F2F2"/>
          </w:tcPr>
          <w:p>
            <w:r>
              <w:rPr>
                <w:rFonts w:ascii="맑은 고딕" w:hAnsi="맑은 고딕" w:eastAsia="맑은 고딕"/>
                <w:b w:val="0"/>
                <w:sz w:val="20"/>
              </w:rPr>
              <w:t>5</w:t>
            </w:r>
          </w:p>
        </w:tc>
        <w:tc>
          <w:tcPr>
            <w:tcW w:type="dxa" w:w="1728"/>
            <w:shd w:val="clear" w:color="auto" w:fill="F2F2F2"/>
          </w:tcPr>
          <w:p>
            <w:r>
              <w:rPr>
                <w:rFonts w:ascii="맑은 고딕" w:hAnsi="맑은 고딕" w:eastAsia="맑은 고딕"/>
                <w:b w:val="0"/>
                <w:sz w:val="20"/>
              </w:rPr>
              <w:t>4.3</w:t>
            </w:r>
          </w:p>
        </w:tc>
      </w:tr>
      <w:tr>
        <w:tc>
          <w:tcPr>
            <w:tcW w:type="dxa" w:w="1728"/>
          </w:tcPr>
          <w:p>
            <w:r>
              <w:rPr>
                <w:rFonts w:ascii="맑은 고딕" w:hAnsi="맑은 고딕" w:eastAsia="맑은 고딕"/>
                <w:b w:val="0"/>
                <w:sz w:val="20"/>
              </w:rPr>
              <w:t>성장가능성</w:t>
            </w:r>
          </w:p>
        </w:tc>
        <w:tc>
          <w:tcPr>
            <w:tcW w:type="dxa" w:w="1728"/>
          </w:tcPr>
          <w:p>
            <w:r>
              <w:rPr>
                <w:rFonts w:ascii="맑은 고딕" w:hAnsi="맑은 고딕" w:eastAsia="맑은 고딕"/>
                <w:b w:val="0"/>
                <w:sz w:val="20"/>
              </w:rPr>
              <w:t>5</w:t>
            </w:r>
          </w:p>
        </w:tc>
        <w:tc>
          <w:tcPr>
            <w:tcW w:type="dxa" w:w="1728"/>
          </w:tcPr>
          <w:p>
            <w:r>
              <w:rPr>
                <w:rFonts w:ascii="맑은 고딕" w:hAnsi="맑은 고딕" w:eastAsia="맑은 고딕"/>
                <w:b w:val="0"/>
                <w:sz w:val="20"/>
              </w:rPr>
              <w:t>5</w:t>
            </w:r>
          </w:p>
        </w:tc>
        <w:tc>
          <w:tcPr>
            <w:tcW w:type="dxa" w:w="1728"/>
          </w:tcPr>
          <w:p>
            <w:r>
              <w:rPr>
                <w:rFonts w:ascii="맑은 고딕" w:hAnsi="맑은 고딕" w:eastAsia="맑은 고딕"/>
                <w:b w:val="0"/>
                <w:sz w:val="20"/>
              </w:rPr>
              <w:t>4</w:t>
            </w:r>
          </w:p>
        </w:tc>
        <w:tc>
          <w:tcPr>
            <w:tcW w:type="dxa" w:w="1728"/>
          </w:tcPr>
          <w:p>
            <w:r>
              <w:rPr>
                <w:rFonts w:ascii="맑은 고딕" w:hAnsi="맑은 고딕" w:eastAsia="맑은 고딕"/>
                <w:b w:val="0"/>
                <w:sz w:val="20"/>
              </w:rPr>
              <w:t>4.7</w:t>
            </w:r>
          </w:p>
        </w:tc>
      </w:tr>
      <w:tr>
        <w:tc>
          <w:tcPr>
            <w:tcW w:type="dxa" w:w="1728"/>
            <w:shd w:val="clear" w:color="auto" w:fill="F2F2F2"/>
          </w:tcPr>
          <w:p>
            <w:r>
              <w:rPr>
                <w:rFonts w:ascii="맑은 고딕" w:hAnsi="맑은 고딕" w:eastAsia="맑은 고딕"/>
                <w:b w:val="0"/>
                <w:sz w:val="20"/>
              </w:rPr>
              <w:t>종합 평균</w:t>
            </w:r>
          </w:p>
        </w:tc>
        <w:tc>
          <w:tcPr>
            <w:tcW w:type="dxa" w:w="1728"/>
            <w:shd w:val="clear" w:color="auto" w:fill="F2F2F2"/>
          </w:tcPr>
          <w:p>
            <w:r>
              <w:rPr>
                <w:rFonts w:ascii="맑은 고딕" w:hAnsi="맑은 고딕" w:eastAsia="맑은 고딕"/>
                <w:b w:val="0"/>
                <w:sz w:val="20"/>
              </w:rPr>
            </w:r>
          </w:p>
        </w:tc>
        <w:tc>
          <w:tcPr>
            <w:tcW w:type="dxa" w:w="1728"/>
            <w:shd w:val="clear" w:color="auto" w:fill="F2F2F2"/>
          </w:tcPr>
          <w:p>
            <w:r>
              <w:rPr>
                <w:rFonts w:ascii="맑은 고딕" w:hAnsi="맑은 고딕" w:eastAsia="맑은 고딕"/>
                <w:b w:val="0"/>
                <w:sz w:val="20"/>
              </w:rPr>
            </w:r>
          </w:p>
        </w:tc>
        <w:tc>
          <w:tcPr>
            <w:tcW w:type="dxa" w:w="1728"/>
            <w:shd w:val="clear" w:color="auto" w:fill="F2F2F2"/>
          </w:tcPr>
          <w:p>
            <w:r>
              <w:rPr>
                <w:rFonts w:ascii="맑은 고딕" w:hAnsi="맑은 고딕" w:eastAsia="맑은 고딕"/>
                <w:b w:val="0"/>
                <w:sz w:val="20"/>
              </w:rPr>
            </w:r>
          </w:p>
        </w:tc>
        <w:tc>
          <w:tcPr>
            <w:tcW w:type="dxa" w:w="1728"/>
            <w:shd w:val="clear" w:color="auto" w:fill="F2F2F2"/>
          </w:tcPr>
          <w:p>
            <w:r>
              <w:rPr>
                <w:rFonts w:ascii="맑은 고딕" w:hAnsi="맑은 고딕" w:eastAsia="맑은 고딕"/>
                <w:b w:val="0"/>
                <w:sz w:val="20"/>
              </w:rPr>
              <w:t>4.1</w:t>
            </w:r>
          </w:p>
        </w:tc>
      </w:tr>
    </w:tbl>
    <w:p/>
    <w:p>
      <w:r>
        <w:rPr>
          <w:rFonts w:ascii="맑은 고딕" w:hAnsi="맑은 고딕" w:eastAsia="맑은 고딕"/>
          <w:b/>
          <w:color w:val="1F3864"/>
          <w:sz w:val="26"/>
        </w:rPr>
        <w:t>3. 평가위원 코멘트</w:t>
      </w:r>
    </w:p>
    <w:p>
      <w:pPr>
        <w:spacing w:line="312" w:lineRule="auto" w:after="160"/>
      </w:pPr>
      <w:r>
        <w:rPr>
          <w:rFonts w:ascii="맑은 고딕" w:hAnsi="맑은 고딕" w:eastAsia="맑은 고딕"/>
          <w:b w:val="0"/>
          <w:sz w:val="22"/>
        </w:rPr>
        <w:t>강민석(CTO): 자료구조·네트워크 기본기가 탄탄하고, 대학 프로젝트에서 API 서버를 직접 설계·배포한 경험이 인상적이었음. 다만 대규모 트래픽 환경에서의 경험이 없어 실무 투입 초반에는 코드 리뷰를 통한 밀착 가이드가 필요해 보임. 질문에 대한 답변 속도가 다소 느린 편이라 순발력 면에서는 보완이 필요.</w:t>
      </w:r>
    </w:p>
    <w:p>
      <w:pPr>
        <w:spacing w:line="312" w:lineRule="auto" w:after="160"/>
      </w:pPr>
      <w:r>
        <w:rPr>
          <w:rFonts w:ascii="맑은 고딕" w:hAnsi="맑은 고딕" w:eastAsia="맑은 고딕"/>
          <w:b w:val="0"/>
          <w:sz w:val="22"/>
        </w:rPr>
        <w:t>박현수(백엔드팀장): 스프링 부트와 RDB 설계에 대한 이해도가 신입 지원자 중 상위권이며, 트랜잭션 처리 관련 꼬리질문에도 논리적으로 답변함. 실제 협업 시나리오를 제시했을 때 문제를 구조적으로 쪼개어 설명하는 태도가 좋았고, 우리 팀 코드베이스에 빠르게 적응할 수 있을 것으로 판단됨.</w:t>
      </w:r>
    </w:p>
    <w:p>
      <w:pPr>
        <w:spacing w:line="312" w:lineRule="auto" w:after="160"/>
      </w:pPr>
      <w:r>
        <w:rPr>
          <w:rFonts w:ascii="맑은 고딕" w:hAnsi="맑은 고딕" w:eastAsia="맑은 고딕"/>
          <w:b w:val="0"/>
          <w:sz w:val="22"/>
        </w:rPr>
        <w:t>정하늘(인사팀장): 태도와 인성 측면에서 무난하며 조직 적응력이 높아 보임. 다만 기술 질문에 대한 설명이 다소 장황하여 핵심을 간결하게 전달하는 커뮤니케이션 스킬은 개선이 필요함. 성장 의지와 학습 태도는 세 명의 지원자 중 가장 뛰어났음.</w:t>
      </w:r>
    </w:p>
    <w:p>
      <w:r>
        <w:rPr>
          <w:rFonts w:ascii="맑은 고딕" w:hAnsi="맑은 고딕" w:eastAsia="맑은 고딕"/>
          <w:b/>
          <w:color w:val="1F3864"/>
          <w:sz w:val="26"/>
        </w:rPr>
        <w:t>4. 종합의견 및 채용여부</w:t>
      </w:r>
    </w:p>
    <w:p>
      <w:pPr>
        <w:spacing w:line="312" w:lineRule="auto" w:after="160"/>
      </w:pPr>
      <w:r>
        <w:rPr>
          <w:rFonts w:ascii="맑은 고딕" w:hAnsi="맑은 고딕" w:eastAsia="맑은 고딕"/>
          <w:b w:val="0"/>
          <w:sz w:val="22"/>
        </w:rPr>
        <w:t>세 평가위원의 항목별 점수 편차는 있으나(커뮤니케이션 3.3점으로 상대적 최저, 성장가능성 4.7점으로 최고), 종합 평균 4.1점으로 채용 기준선(3.5점)을 상회한다. 직무 전문성과 문제해결능력에서 신입 지원자 평균 대비 우수한 역량을 확인하였으며, 커뮤니케이션 부분은 입사 후 온보딩 과정에서 보완 가능한 수준으로 판단된다.</w:t>
      </w:r>
    </w:p>
    <w:p>
      <w:pPr>
        <w:spacing w:line="312" w:lineRule="auto" w:after="160"/>
      </w:pPr>
      <w:r>
        <w:rPr>
          <w:rFonts w:ascii="맑은 고딕" w:hAnsi="맑은 고딕" w:eastAsia="맑은 고딕"/>
          <w:b w:val="0"/>
          <w:sz w:val="22"/>
        </w:rPr>
        <w:t>채용여부: 합격. 배치 부서는 개발본부 백엔드팀(팀장 박현수)으로 하며, 입사일은 2026년 9월 1일자로 협의한다. 입사 후 1개월간 박현수 팀장을 멘토로 지정하여 코드 리뷰 중심의 온보딩을 진행할 것을 권고함.</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b w:val="0"/>
        <w:sz w:val="18"/>
      </w:rPr>
      <w:t xml:space="preserve">㈜네오웍스  -  </w:t>
    </w:r>
    <w:r>
      <w:rPr>
        <w:rFonts w:ascii="맑은 고딕" w:hAnsi="맑은 고딕" w:eastAsia="맑은 고딕"/>
        <w:b w:val="0"/>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맑은 고딕" w:hAnsi="맑은 고딕" w:eastAsia="맑은 고딕"/>
        <w:b/>
        <w:color w:val="C00000"/>
        <w:sz w:val="18"/>
      </w:rPr>
      <w:t>대외비 - 인사팀</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