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understand you’d like to update the Statement of Applicability (SoA) table to ISO 27001:2022, covering all 93 controls, while maintaining the format from the image. Additionally, you want to include two new columns: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“New/Old (New Control)”</w:t>
      </w:r>
      <w:r w:rsidDel="00000000" w:rsidR="00000000" w:rsidRPr="00000000">
        <w:rPr>
          <w:rtl w:val="0"/>
        </w:rPr>
        <w:t xml:space="preserve"> to indicate whether each control is new or old compared to ISO 27001:2013, and specify new controls.</w:t>
        <w:br w:type="textWrapping"/>
      </w:r>
    </w:p>
    <w:p w:rsidR="00000000" w:rsidDel="00000000" w:rsidP="00000000" w:rsidRDefault="00000000" w:rsidRPr="00000000" w14:paraId="00000003">
      <w:pPr>
        <w:numPr>
          <w:ilvl w:val="0"/>
          <w:numId w:val="2"/>
        </w:numPr>
        <w:spacing w:after="240" w:before="0" w:beforeAutospacing="0" w:lineRule="auto"/>
        <w:ind w:left="720" w:hanging="360"/>
      </w:pPr>
      <w:r w:rsidDel="00000000" w:rsidR="00000000" w:rsidRPr="00000000">
        <w:rPr>
          <w:b w:val="1"/>
          <w:rtl w:val="0"/>
        </w:rPr>
        <w:t xml:space="preserve">“Implemented in Old Standard (Yes/No)”</w:t>
      </w:r>
      <w:r w:rsidDel="00000000" w:rsidR="00000000" w:rsidRPr="00000000">
        <w:rPr>
          <w:rtl w:val="0"/>
        </w:rPr>
        <w:t xml:space="preserve"> to indicate whether each control was implemented under the ISO 27001:2013 standard.</w:t>
        <w:br w:type="textWrapping"/>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fowe1ws74pk" w:id="0"/>
      <w:bookmarkEnd w:id="0"/>
      <w:r w:rsidDel="00000000" w:rsidR="00000000" w:rsidRPr="00000000">
        <w:rPr>
          <w:b w:val="1"/>
          <w:color w:val="000000"/>
          <w:sz w:val="26"/>
          <w:szCs w:val="26"/>
          <w:rtl w:val="0"/>
        </w:rPr>
        <w:t xml:space="preserve">Step 1: Recap of the Existing Table Format</w:t>
      </w:r>
    </w:p>
    <w:p w:rsidR="00000000" w:rsidDel="00000000" w:rsidP="00000000" w:rsidRDefault="00000000" w:rsidRPr="00000000" w14:paraId="00000005">
      <w:pPr>
        <w:spacing w:after="240" w:before="240" w:lineRule="auto"/>
        <w:rPr/>
      </w:pPr>
      <w:r w:rsidDel="00000000" w:rsidR="00000000" w:rsidRPr="00000000">
        <w:rPr>
          <w:rtl w:val="0"/>
        </w:rPr>
        <w:t xml:space="preserve">The SoA table in the image has the following columns:</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Domain/Sub-Domain/Control</w:t>
        <w:br w:type="textWrapping"/>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Control Description</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Applicability</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Legal Requirement</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Regulatory Requirement</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Contractual Requirement</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Risk Assessment</w:t>
        <w:br w:type="textWrapping"/>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Description/Commentary</w:t>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Control Origin</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ITRMS Reference</w:t>
        <w:br w:type="textWrapping"/>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Rationale for Exclusion</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The image shows that all visible controls (A.5 and A.6 from 2013) are marked “Yes” for applicability, legal, regulatory, contractual, and risk assessment requirements, with “Internal” as the control origin and “ISO27001 standard annexure” as the ITRMS reference. I’ll assume this pattern holds for all controls unless specified otherwise.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pwjxwpzg9w0" w:id="1"/>
      <w:bookmarkEnd w:id="1"/>
      <w:r w:rsidDel="00000000" w:rsidR="00000000" w:rsidRPr="00000000">
        <w:rPr>
          <w:b w:val="1"/>
          <w:color w:val="000000"/>
          <w:sz w:val="26"/>
          <w:szCs w:val="26"/>
          <w:rtl w:val="0"/>
        </w:rPr>
        <w:t xml:space="preserve">Step 2: ISO 27001:2013 vs. ISO 27001:2022 Overview</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ISO 27001:2013</w:t>
      </w:r>
      <w:r w:rsidDel="00000000" w:rsidR="00000000" w:rsidRPr="00000000">
        <w:rPr>
          <w:rtl w:val="0"/>
        </w:rPr>
        <w:t xml:space="preserve">: 114 controls across 14 domains (A.5 to A.18).</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ISO 27001:2022</w:t>
      </w:r>
      <w:r w:rsidDel="00000000" w:rsidR="00000000" w:rsidRPr="00000000">
        <w:rPr>
          <w:rtl w:val="0"/>
        </w:rPr>
        <w:t xml:space="preserve">: 93 controls across 4 domains:</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Organizational (A.5, 37 controls)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People (A.6, 8 controls)</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Physical (A.7, 14 controls)</w:t>
        <w:br w:type="textWrapping"/>
      </w:r>
    </w:p>
    <w:p w:rsidR="00000000" w:rsidDel="00000000" w:rsidP="00000000" w:rsidRDefault="00000000" w:rsidRPr="00000000" w14:paraId="00000018">
      <w:pPr>
        <w:numPr>
          <w:ilvl w:val="1"/>
          <w:numId w:val="3"/>
        </w:numPr>
        <w:spacing w:after="240" w:before="0" w:beforeAutospacing="0" w:lineRule="auto"/>
        <w:ind w:left="1440" w:hanging="360"/>
      </w:pPr>
      <w:r w:rsidDel="00000000" w:rsidR="00000000" w:rsidRPr="00000000">
        <w:rPr>
          <w:rtl w:val="0"/>
        </w:rPr>
        <w:t xml:space="preserve">Technological (A.8, 34 controls)</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The 2022 standard introduced 11 new controls:</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A.5.7: Threat intelligence</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A.5.23: Information security for use of cloud services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A.5.30: ICT readiness for business continuity</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A.7.4: Physical security monitoring</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A.8.9: Configuration management</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A.8.10: Information deletion</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A.8.11: Data masking</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A.8.12: Data leakage prevention</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A.8.16: Monitoring activities</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A.8.23: Web filtering</w:t>
        <w:br w:type="textWrapping"/>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A.8.28: Secure coding</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2whggkza4q" w:id="2"/>
      <w:bookmarkEnd w:id="2"/>
      <w:r w:rsidDel="00000000" w:rsidR="00000000" w:rsidRPr="00000000">
        <w:rPr>
          <w:b w:val="1"/>
          <w:color w:val="000000"/>
          <w:sz w:val="26"/>
          <w:szCs w:val="26"/>
          <w:rtl w:val="0"/>
        </w:rPr>
        <w:t xml:space="preserve">Step 3: Assumptions for the “Implemented in Old Standard (Yes/No)” Column</w:t>
      </w:r>
    </w:p>
    <w:p w:rsidR="00000000" w:rsidDel="00000000" w:rsidP="00000000" w:rsidRDefault="00000000" w:rsidRPr="00000000" w14:paraId="00000026">
      <w:pPr>
        <w:spacing w:after="240" w:before="240" w:lineRule="auto"/>
        <w:rPr/>
      </w:pPr>
      <w:r w:rsidDel="00000000" w:rsidR="00000000" w:rsidRPr="00000000">
        <w:rPr>
          <w:rtl w:val="0"/>
        </w:rPr>
        <w:t xml:space="preserve">Since the image shows that all visible controls (A.5 and A.6) were applicable and likely implemented (given the “Yes” for all requirement fields), I’ll assume that controls existing in the 2013 standard were implemented (“Yes”). For new controls introduced in 2022, this column will be “No,” as they were not part of the 2013 standard and thus not implemented under it. However, this is an assumption based on the image; you should verify the actual implementation status in your organization.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gjg5scqg00y" w:id="3"/>
      <w:bookmarkEnd w:id="3"/>
      <w:r w:rsidDel="00000000" w:rsidR="00000000" w:rsidRPr="00000000">
        <w:rPr>
          <w:b w:val="1"/>
          <w:color w:val="000000"/>
          <w:sz w:val="26"/>
          <w:szCs w:val="26"/>
          <w:rtl w:val="0"/>
        </w:rPr>
        <w:t xml:space="preserve">Step 4: Build the Complete SoA Table with New Columns</w:t>
      </w:r>
    </w:p>
    <w:p w:rsidR="00000000" w:rsidDel="00000000" w:rsidP="00000000" w:rsidRDefault="00000000" w:rsidRPr="00000000" w14:paraId="00000028">
      <w:pPr>
        <w:spacing w:after="240" w:before="240" w:lineRule="auto"/>
        <w:rPr/>
      </w:pPr>
      <w:r w:rsidDel="00000000" w:rsidR="00000000" w:rsidRPr="00000000">
        <w:rPr>
          <w:rtl w:val="0"/>
        </w:rPr>
        <w:t xml:space="preserve">Below is the entire SoA table for ISO 27001:2022, covering all 93 controls, with the two new columns: </w:t>
      </w:r>
      <w:r w:rsidDel="00000000" w:rsidR="00000000" w:rsidRPr="00000000">
        <w:rPr>
          <w:b w:val="1"/>
          <w:rtl w:val="0"/>
        </w:rPr>
        <w:t xml:space="preserve">“New/Old (New Control)”</w:t>
      </w:r>
      <w:r w:rsidDel="00000000" w:rsidR="00000000" w:rsidRPr="00000000">
        <w:rPr>
          <w:rtl w:val="0"/>
        </w:rPr>
        <w:t xml:space="preserve"> and </w:t>
      </w:r>
      <w:r w:rsidDel="00000000" w:rsidR="00000000" w:rsidRPr="00000000">
        <w:rPr>
          <w:b w:val="1"/>
          <w:rtl w:val="0"/>
        </w:rPr>
        <w:t xml:space="preserve">“Implemented in Old Standard (Yes/No)”</w:t>
      </w:r>
      <w:r w:rsidDel="00000000" w:rsidR="00000000" w:rsidRPr="00000000">
        <w:rPr>
          <w:rtl w:val="0"/>
        </w:rPr>
        <w:t xml:space="preserve">. The table follows the format from the image.</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Domain/Sub-Domain/Control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Control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Applicability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Legal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Regulatory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Contractual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Risk Assessment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Description/Commentary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Control Origin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ITRMS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Rationale for Exclusion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New/Old (New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Implemented in Old Standard (Yes/No)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ORGANIZATIONAL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Information security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Policies defined and reviewed annually.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Old (Merged A teniendo.5.1.1 and A.5.1.2)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Information security roles and responsibilities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Roles assigned to security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Old (From A.6.1.1)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Segregation of duties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Duties segregated to prevent fraud.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Old (From A.6.1.2)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Management responsibilities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Management ensures policy adherence.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Old (From A.6.1.1)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Contact with authorities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Contacts with law enforcement established.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Old (From A.6.1.3)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Contact with special interest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Membership in security forums.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Old (From A.6.1.4)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Threat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Threat intelligence collection process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New (A.5.7)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Information security in project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Security integrated into projects.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Old (From A.6.1.5)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Inventory of information and other associated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Asset inventory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Old (From A.8.1.1)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Acceptable use of information and other associated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Acceptable use policies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Old (From A.8.1.3)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A.5.11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Return of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Process for returning assets on termination.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Old (From A.8.1.4)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A.5.12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Classification of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Information classified by sensitivity.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Old (From A.8.2.1)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A.5.13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Labelling of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Information labeled per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Old (From A.8.2.2)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A.5.14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Information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Secure information transfer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Old (From A.13.2.1)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A.5.15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Access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Access control policy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Old (From A.9.1.1)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Identity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Identity management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Old (From A.9.2.1)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A.5.17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Authentication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Secure management of authentication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Old (From A.9.2.4)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Access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Access rights reviewed regularly.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Old (From A.9.2.5)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Information security in supplier relationships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Security requirements in supplier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Old (From A.15.1.1)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Addressing information security within supplier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Security clauses in supplier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Old (From A.15.1.2)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Managing information security in the ICT supply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Security managed across ICT supply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Old (From A.15.1.3)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A.5.22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Monitoring, review, and change management of supplier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Supplier services monitored and reviewed.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Old (From A.15.2.1)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A.5.23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Information security for use of cloud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Policies for secure cloud service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New (A.5.23)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A.5.24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Information security incident management planning and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Incident management plan established.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Old (From A.16.1.1)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A.5.25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Assessment and decision on information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Process to assess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Old (From A.16.1.4)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A.5.26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Response to information security 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Incident response procedures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Old (From A.16.1.5)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A.5.27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Learning from information security 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Lessons learned from incidents documented.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Old (From A.16.1.6)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A.5.28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Collection of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Evidence collection procedures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Old (From A.16.1.7)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A.5.29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Information security during disruption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Security maintained during disruptions.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Old (From A.17.1.1)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A.5.30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ICT readiness for business 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ICT readiness plan for 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New (A.5.30)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A.5.31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Legal, statutory, regulatory, and contractual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Compliance with legal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Old (From A.18.1.1)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A.5.32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Intellectual property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Processes to protect intellectual 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Old (From A.18.1.2)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A.5.33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Protection of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Records protected from 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Old (From A.18.1.3)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A.5.34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Privacy and protection of PII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PII protected per regulations.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Old (From A.18.1.4)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A.5.35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Independent review of information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Independent reviews conducted periodically.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Old (From A.18.2.1)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A.5.36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Compliance with security policies and 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Compliance with policies monitored.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Old (From A.18.2.2)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A.5.37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Documented operating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Operating procedures documented.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Old (From A.12.1.1)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PEOPLE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A.6.1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Screening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Background checks for employees.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Old (From A.7.1.1)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A.6.2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Terms and conditions of employment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Security responsibilities in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Old (From A.7.1.2)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A.6.3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Information security awareness, education, and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Security awareness training provided.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Old (From A.7.2.2)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A.6.4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Disciplinary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Disciplinary process for breaches.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Old (From A.7.2.3)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A.6.5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Responsibilities after termination or change of employment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Responsibilities defined for termination.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Old (From A.7.3.1)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A.6.6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Confidentiality or non-disclosure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NDAs signed by employees and third parties.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Old (From A.13.2.4)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A.6.7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Remote 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Policy for securing remote 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Old (Renamed from A.6.2.2 Teleworking)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A.6.8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Information security event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Process for reporting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Old (From A.16.1.2)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b w:val="1"/>
                <w:rtl w:val="0"/>
              </w:rPr>
              <w:t xml:space="preserve">PHYSICAL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A.7.1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Physical security perimeters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Perimeters secured with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Old (From A.11.1.1)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A.7.2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Physical entry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Entry controls to secure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Old (From A.11.1.2)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A.7.3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Securing offices, rooms, and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Offices secured against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Old (From A.11.1.3)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A.7.4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Physical security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Physical security monitored with CCTV.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New (A.7.4)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A.7.5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Protecting against physical and environmental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Protections against fire, flood,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Old (From A.11.1.4)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A.7.6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Working in secure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Procedures for secure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Old (From A.11.1.5)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A.7.7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Clear desk and clear screen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Clear desk and screen policies enforced.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Old (From A.11.2.9)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A.7.8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Equipment siting and protection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Equipment protected from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Old (From A.11.2.1)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A.7.9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Security of assets off-premises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Security for assets off-premises.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Old (From A.11.2.6)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A.7.10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Storage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Storage media securely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Old (From A.8.3.1)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A.7.11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Supporting utilities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Utilities like power secured.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Old (From A.11.2.2)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A.7.12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Cabling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Cabling protected from tampering.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Old (From A.11.2.3)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A.7.13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Equipment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Equipment maintenance scheduled.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Old (From A.11.2.4)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A.7.14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Secure disposal or reuse of equipment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Secure disposal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Old (From A.11.2.7)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b w:val="1"/>
                <w:rtl w:val="0"/>
              </w:rPr>
              <w:t xml:space="preserve">TECHNOLOGICAL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A.8.1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User endpoint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Policy for securing endpoint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Old (Expanded from A.6.2.1)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A.8.2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Privileged access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Privileged access rights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Old (From A.9.2.3)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A.8.3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Information access restriction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Access restricted based on need-to-know.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Old (From A.9.4.1)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A.8.4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Access to source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Access to source code restricted.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Old (From A.9.4.5)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A.8.5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Secure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Secure authentication mechanisms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Old (From A.9.4.2)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A.8.6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Capacity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Capacity monitored and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Old (From A.12.1.3)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A.8.7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Protection against malware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Anti-malware controls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Old (From A.12.2.1)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A.8.8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Management of technical vulnerabilities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Vulnerabilities identified and mitigated.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Old (From A.12.6.1)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A.8.9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Configuration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Configuration management processes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New (A.8.9)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A.8.10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Information deletion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Processes for secure information deletion.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New (A.8.10)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A.8.11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Data masking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Data masking for sensitive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New (A.8.11)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A.8.12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Data leakage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DLP measures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New (A.8.12)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A.8.13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Information backup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Backup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Old (From A.12.3.1)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A.8.14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Redundancy of information processing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Redundancy for critical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Old (From A.17.2.1)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A.8.15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t xml:space="preserve">Logging of system activities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Old (From A.12.4.1)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A.8.16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Monitoring activities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Monitoring for system anomalies.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New (A.8.16)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A.8.17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Clock synchronization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Clocks synchronized for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Old (From A.12.4.4)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A.8.18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Use of privileged utility programs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Use of privileged utilities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Old (From A.9.4.4)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A.8.19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Installation of software on operational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Software installation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Old (From A.12.5.1)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A.8.20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Networks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Network security controls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Old (From A.13.1.1)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A.8.21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Security of network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Network services secured.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Old (From A.13.1.2)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A.8.22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Segregation of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Networks segregated based on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Old (From A.13.1.3)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A.8.23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Web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Web filtering to block malicious 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New (A.8.23)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A.8.24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Use of cryptography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Cryptographic controls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Old (From A.10.1.1)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A.8.25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Secure development life cycle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Secure development processes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Old (From A.14.2.1)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A.8.26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Application security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Security requirements in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Old (From A.14.1.2)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A.8.27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Secure system architecture and engineering principles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Secure architecture principles applied.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Old (From A.14.2.5)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A.8.28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Secure 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Secure coding practices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New (A.8.28)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A.8.29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Security testing in development and 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Security testing during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Old (From A.14.2.8)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A.8.30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Outsourced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Security for outsourced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Old (From A.14.2.7)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A.8.31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Separation of development, test, and 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t xml:space="preserve">Environments separated to reduce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t xml:space="preserve">Old (From A.12.1.4)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A.8.32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Change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Change management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Old (From A.12.1.2)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A.8.33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Test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t xml:space="preserve">Test data protected and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Old (From A.14.3.1)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A.8.34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Protection of information systems during audit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Systems protected during audits.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Old (From A.12.7.1)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t xml:space="preserve">Yes</w:t>
            </w:r>
          </w:p>
        </w:tc>
      </w:tr>
    </w:tbl>
    <w:p w:rsidR="00000000" w:rsidDel="00000000" w:rsidP="00000000" w:rsidRDefault="00000000" w:rsidRPr="00000000" w14:paraId="00000523">
      <w:pPr>
        <w:pStyle w:val="Heading3"/>
        <w:keepNext w:val="0"/>
        <w:keepLines w:val="0"/>
        <w:spacing w:before="280" w:lineRule="auto"/>
        <w:rPr>
          <w:b w:val="1"/>
          <w:color w:val="000000"/>
          <w:sz w:val="26"/>
          <w:szCs w:val="26"/>
        </w:rPr>
      </w:pPr>
      <w:bookmarkStart w:colFirst="0" w:colLast="0" w:name="_y0gyrmrdb5fi" w:id="4"/>
      <w:bookmarkEnd w:id="4"/>
      <w:r w:rsidDel="00000000" w:rsidR="00000000" w:rsidRPr="00000000">
        <w:rPr>
          <w:b w:val="1"/>
          <w:color w:val="000000"/>
          <w:sz w:val="26"/>
          <w:szCs w:val="26"/>
          <w:rtl w:val="0"/>
        </w:rPr>
        <w:t xml:space="preserve">Step 5: Explanation of New Columns</w:t>
      </w:r>
    </w:p>
    <w:p w:rsidR="00000000" w:rsidDel="00000000" w:rsidP="00000000" w:rsidRDefault="00000000" w:rsidRPr="00000000" w14:paraId="00000524">
      <w:pPr>
        <w:numPr>
          <w:ilvl w:val="0"/>
          <w:numId w:val="5"/>
        </w:numPr>
        <w:spacing w:after="0" w:afterAutospacing="0" w:before="240" w:lineRule="auto"/>
        <w:ind w:left="720" w:hanging="360"/>
      </w:pPr>
      <w:r w:rsidDel="00000000" w:rsidR="00000000" w:rsidRPr="00000000">
        <w:rPr>
          <w:b w:val="1"/>
          <w:rtl w:val="0"/>
        </w:rPr>
        <w:t xml:space="preserve">New/Old (New Control)</w:t>
      </w:r>
      <w:r w:rsidDel="00000000" w:rsidR="00000000" w:rsidRPr="00000000">
        <w:rPr>
          <w:rtl w:val="0"/>
        </w:rPr>
        <w:t xml:space="preserve">: Indicates if the control is “New” (introduced in 2022) or “Old” (carried over from 2013). For new controls, the control number is specified (e.g., New (A.5.7)).</w:t>
        <w:br w:type="textWrapping"/>
      </w:r>
    </w:p>
    <w:p w:rsidR="00000000" w:rsidDel="00000000" w:rsidP="00000000" w:rsidRDefault="00000000" w:rsidRPr="00000000" w14:paraId="00000525">
      <w:pPr>
        <w:numPr>
          <w:ilvl w:val="0"/>
          <w:numId w:val="5"/>
        </w:numPr>
        <w:spacing w:after="240" w:before="0" w:beforeAutospacing="0" w:lineRule="auto"/>
        <w:ind w:left="720" w:hanging="360"/>
      </w:pPr>
      <w:r w:rsidDel="00000000" w:rsidR="00000000" w:rsidRPr="00000000">
        <w:rPr>
          <w:b w:val="1"/>
          <w:rtl w:val="0"/>
        </w:rPr>
        <w:t xml:space="preserve">Implemented in Old Standard (Yes/No)</w:t>
      </w:r>
      <w:r w:rsidDel="00000000" w:rsidR="00000000" w:rsidRPr="00000000">
        <w:rPr>
          <w:rtl w:val="0"/>
        </w:rPr>
        <w:t xml:space="preserve">: Indicates whether the control was implemented under ISO 27001:2013. For controls marked “Old,” this is “Yes” (based on the image’s pattern of applicability). For new controls, this is “No,” as they were not part of the 2013 standard.</w:t>
        <w:br w:type="textWrapping"/>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tnwp7zffeu38" w:id="5"/>
      <w:bookmarkEnd w:id="5"/>
      <w:r w:rsidDel="00000000" w:rsidR="00000000" w:rsidRPr="00000000">
        <w:rPr>
          <w:b w:val="1"/>
          <w:color w:val="000000"/>
          <w:sz w:val="26"/>
          <w:szCs w:val="26"/>
          <w:rtl w:val="0"/>
        </w:rPr>
        <w:t xml:space="preserve">Step 6: Key Observations</w:t>
      </w:r>
    </w:p>
    <w:p w:rsidR="00000000" w:rsidDel="00000000" w:rsidP="00000000" w:rsidRDefault="00000000" w:rsidRPr="00000000" w14:paraId="00000527">
      <w:pPr>
        <w:numPr>
          <w:ilvl w:val="0"/>
          <w:numId w:val="4"/>
        </w:numPr>
        <w:spacing w:after="0" w:afterAutospacing="0" w:before="240" w:lineRule="auto"/>
        <w:ind w:left="720" w:hanging="360"/>
      </w:pPr>
      <w:r w:rsidDel="00000000" w:rsidR="00000000" w:rsidRPr="00000000">
        <w:rPr>
          <w:b w:val="1"/>
          <w:rtl w:val="0"/>
        </w:rPr>
        <w:t xml:space="preserve">Merged Controls</w:t>
      </w:r>
      <w:r w:rsidDel="00000000" w:rsidR="00000000" w:rsidRPr="00000000">
        <w:rPr>
          <w:rtl w:val="0"/>
        </w:rPr>
        <w:t xml:space="preserve">: A.5.1 in 2022 merges A.5.1.1 and A.5.1.2 from 2013, combining policy definition and review.</w:t>
        <w:br w:type="textWrapping"/>
      </w:r>
    </w:p>
    <w:p w:rsidR="00000000" w:rsidDel="00000000" w:rsidP="00000000" w:rsidRDefault="00000000" w:rsidRPr="00000000" w14:paraId="00000528">
      <w:pPr>
        <w:numPr>
          <w:ilvl w:val="0"/>
          <w:numId w:val="4"/>
        </w:numPr>
        <w:spacing w:after="0" w:afterAutospacing="0" w:before="0" w:beforeAutospacing="0" w:lineRule="auto"/>
        <w:ind w:left="720" w:hanging="360"/>
      </w:pPr>
      <w:r w:rsidDel="00000000" w:rsidR="00000000" w:rsidRPr="00000000">
        <w:rPr>
          <w:b w:val="1"/>
          <w:rtl w:val="0"/>
        </w:rPr>
        <w:t xml:space="preserve">Renamed Controls</w:t>
      </w:r>
      <w:r w:rsidDel="00000000" w:rsidR="00000000" w:rsidRPr="00000000">
        <w:rPr>
          <w:rtl w:val="0"/>
        </w:rPr>
        <w:t xml:space="preserve">: A.6.2.2 (Teleworking) is renamed to A.6.7 (Remote working).</w:t>
        <w:br w:type="textWrapping"/>
      </w:r>
    </w:p>
    <w:p w:rsidR="00000000" w:rsidDel="00000000" w:rsidP="00000000" w:rsidRDefault="00000000" w:rsidRPr="00000000" w14:paraId="00000529">
      <w:pPr>
        <w:numPr>
          <w:ilvl w:val="0"/>
          <w:numId w:val="4"/>
        </w:numPr>
        <w:spacing w:after="0" w:afterAutospacing="0" w:before="0" w:beforeAutospacing="0" w:lineRule="auto"/>
        <w:ind w:left="720" w:hanging="360"/>
      </w:pPr>
      <w:r w:rsidDel="00000000" w:rsidR="00000000" w:rsidRPr="00000000">
        <w:rPr>
          <w:b w:val="1"/>
          <w:rtl w:val="0"/>
        </w:rPr>
        <w:t xml:space="preserve">Expanded Controls</w:t>
      </w:r>
      <w:r w:rsidDel="00000000" w:rsidR="00000000" w:rsidRPr="00000000">
        <w:rPr>
          <w:rtl w:val="0"/>
        </w:rPr>
        <w:t xml:space="preserve">: A.6.2.1 (Mobile device policy) is now A.8.1 (User endpoint devices), covering all endpoint devices.</w:t>
        <w:br w:type="textWrapping"/>
      </w:r>
    </w:p>
    <w:p w:rsidR="00000000" w:rsidDel="00000000" w:rsidP="00000000" w:rsidRDefault="00000000" w:rsidRPr="00000000" w14:paraId="0000052A">
      <w:pPr>
        <w:numPr>
          <w:ilvl w:val="0"/>
          <w:numId w:val="4"/>
        </w:numPr>
        <w:spacing w:after="240" w:before="0" w:beforeAutospacing="0" w:lineRule="auto"/>
        <w:ind w:left="720" w:hanging="360"/>
      </w:pPr>
      <w:r w:rsidDel="00000000" w:rsidR="00000000" w:rsidRPr="00000000">
        <w:rPr>
          <w:b w:val="1"/>
          <w:rtl w:val="0"/>
        </w:rPr>
        <w:t xml:space="preserve">New Controls</w:t>
      </w:r>
      <w:r w:rsidDel="00000000" w:rsidR="00000000" w:rsidRPr="00000000">
        <w:rPr>
          <w:rtl w:val="0"/>
        </w:rPr>
        <w:t xml:space="preserve">: The 11 new controls (e.g., A.5.7, A.5.23, A.8.28) address modern needs like threat intelligence, cloud security, and secure coding, and were not implemented in the 2013 standard.</w:t>
        <w:br w:type="textWrapping"/>
      </w:r>
    </w:p>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gqrtcmyp72fe" w:id="6"/>
      <w:bookmarkEnd w:id="6"/>
      <w:r w:rsidDel="00000000" w:rsidR="00000000" w:rsidRPr="00000000">
        <w:rPr>
          <w:b w:val="1"/>
          <w:color w:val="000000"/>
          <w:sz w:val="26"/>
          <w:szCs w:val="26"/>
          <w:rtl w:val="0"/>
        </w:rPr>
        <w:t xml:space="preserve">Step 7: Recommendations</w:t>
      </w:r>
    </w:p>
    <w:p w:rsidR="00000000" w:rsidDel="00000000" w:rsidP="00000000" w:rsidRDefault="00000000" w:rsidRPr="00000000" w14:paraId="0000052C">
      <w:pPr>
        <w:numPr>
          <w:ilvl w:val="0"/>
          <w:numId w:val="1"/>
        </w:numPr>
        <w:spacing w:after="0" w:afterAutospacing="0" w:before="240" w:lineRule="auto"/>
        <w:ind w:left="720" w:hanging="360"/>
      </w:pPr>
      <w:r w:rsidDel="00000000" w:rsidR="00000000" w:rsidRPr="00000000">
        <w:rPr>
          <w:b w:val="1"/>
          <w:rtl w:val="0"/>
        </w:rPr>
        <w:t xml:space="preserve">Verify Implementation</w:t>
      </w:r>
      <w:r w:rsidDel="00000000" w:rsidR="00000000" w:rsidRPr="00000000">
        <w:rPr>
          <w:rtl w:val="0"/>
        </w:rPr>
        <w:t xml:space="preserve">: The “Implemented in Old Standard” column assumes “Yes” for old controls based on the image. Confirm the actual implementation status in your organization.</w:t>
        <w:br w:type="textWrapping"/>
      </w:r>
    </w:p>
    <w:p w:rsidR="00000000" w:rsidDel="00000000" w:rsidP="00000000" w:rsidRDefault="00000000" w:rsidRPr="00000000" w14:paraId="0000052D">
      <w:pPr>
        <w:numPr>
          <w:ilvl w:val="0"/>
          <w:numId w:val="1"/>
        </w:numPr>
        <w:spacing w:after="0" w:afterAutospacing="0" w:before="0" w:beforeAutospacing="0" w:lineRule="auto"/>
        <w:ind w:left="720" w:hanging="360"/>
      </w:pPr>
      <w:r w:rsidDel="00000000" w:rsidR="00000000" w:rsidRPr="00000000">
        <w:rPr>
          <w:b w:val="1"/>
          <w:rtl w:val="0"/>
        </w:rPr>
        <w:t xml:space="preserve">Review Applicability</w:t>
      </w:r>
      <w:r w:rsidDel="00000000" w:rsidR="00000000" w:rsidRPr="00000000">
        <w:rPr>
          <w:rtl w:val="0"/>
        </w:rPr>
        <w:t xml:space="preserve">: All controls are marked “Yes” for applicability and requirements, following the image’s pattern. Reassess each control for your context.</w:t>
        <w:br w:type="textWrapping"/>
      </w:r>
    </w:p>
    <w:p w:rsidR="00000000" w:rsidDel="00000000" w:rsidP="00000000" w:rsidRDefault="00000000" w:rsidRPr="00000000" w14:paraId="0000052E">
      <w:pPr>
        <w:numPr>
          <w:ilvl w:val="0"/>
          <w:numId w:val="1"/>
        </w:numPr>
        <w:spacing w:after="0" w:afterAutospacing="0" w:before="0" w:beforeAutospacing="0" w:lineRule="auto"/>
        <w:ind w:left="720" w:hanging="360"/>
      </w:pPr>
      <w:r w:rsidDel="00000000" w:rsidR="00000000" w:rsidRPr="00000000">
        <w:rPr>
          <w:b w:val="1"/>
          <w:rtl w:val="0"/>
        </w:rPr>
        <w:t xml:space="preserve">Customize Descriptions</w:t>
      </w:r>
      <w:r w:rsidDel="00000000" w:rsidR="00000000" w:rsidRPr="00000000">
        <w:rPr>
          <w:rtl w:val="0"/>
        </w:rPr>
        <w:t xml:space="preserve">: The “Description/Commentary” column uses placeholders. Tailor these to reflect your organization’s implementation.</w:t>
        <w:br w:type="textWrapping"/>
      </w:r>
    </w:p>
    <w:p w:rsidR="00000000" w:rsidDel="00000000" w:rsidP="00000000" w:rsidRDefault="00000000" w:rsidRPr="00000000" w14:paraId="0000052F">
      <w:pPr>
        <w:numPr>
          <w:ilvl w:val="0"/>
          <w:numId w:val="1"/>
        </w:numPr>
        <w:spacing w:after="0" w:afterAutospacing="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Reassess risks for new controls like A.5.7 (Threat intelligence) and A.5.23 (Cloud services).</w:t>
        <w:br w:type="textWrapping"/>
      </w:r>
    </w:p>
    <w:p w:rsidR="00000000" w:rsidDel="00000000" w:rsidP="00000000" w:rsidRDefault="00000000" w:rsidRPr="00000000" w14:paraId="00000530">
      <w:pPr>
        <w:numPr>
          <w:ilvl w:val="0"/>
          <w:numId w:val="1"/>
        </w:numPr>
        <w:spacing w:after="240" w:before="0" w:beforeAutospacing="0" w:lineRule="auto"/>
        <w:ind w:left="720" w:hanging="360"/>
      </w:pPr>
      <w:r w:rsidDel="00000000" w:rsidR="00000000" w:rsidRPr="00000000">
        <w:rPr>
          <w:b w:val="1"/>
          <w:rtl w:val="0"/>
        </w:rPr>
        <w:t xml:space="preserve">Update Documentation</w:t>
      </w:r>
      <w:r w:rsidDel="00000000" w:rsidR="00000000" w:rsidRPr="00000000">
        <w:rPr>
          <w:rtl w:val="0"/>
        </w:rPr>
        <w:t xml:space="preserve">: Align policies and ITRMS references with the 2022 standard.</w:t>
        <w:br w:type="textWrapping"/>
      </w:r>
    </w:p>
    <w:p w:rsidR="00000000" w:rsidDel="00000000" w:rsidP="00000000" w:rsidRDefault="00000000" w:rsidRPr="00000000" w14:paraId="00000531">
      <w:pPr>
        <w:spacing w:after="240" w:before="240" w:lineRule="auto"/>
        <w:rPr/>
      </w:pPr>
      <w:r w:rsidDel="00000000" w:rsidR="00000000" w:rsidRPr="00000000">
        <w:rPr>
          <w:rtl w:val="0"/>
        </w:rPr>
        <w:t xml:space="preserve">This table provides a complete SoA for ISO 27001:2022, formatted like the one in the image, with the requested columns for comparison and implementation status. If you need further adjustments or specific details, let me know!</w:t>
      </w:r>
    </w:p>
    <w:p w:rsidR="00000000" w:rsidDel="00000000" w:rsidP="00000000" w:rsidRDefault="00000000" w:rsidRPr="00000000" w14:paraId="000005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