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contextualSpacing w:val="0"/>
        <w:jc w:val="center"/>
      </w:pPr>
      <w:r w:rsidDel="00000000" w:rsidR="00000000" w:rsidRPr="00000000">
        <w:rPr>
          <w:rFonts w:ascii="Verdana" w:cs="Verdana" w:eastAsia="Verdana" w:hAnsi="Verdana"/>
          <w:smallCaps w:val="0"/>
          <w:color w:val="000000"/>
          <w:sz w:val="36"/>
          <w:szCs w:val="36"/>
          <w:rtl w:val="0"/>
        </w:rPr>
        <w:t xml:space="preserve">Eight Critical Key Factors for Business and IT Spending Alignment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smallCaps w:val="0"/>
          <w:rtl w:val="0"/>
        </w:rPr>
        <w:t xml:space="preserve"> **Lots of information, just going to take a little bit to read/research it all</w:t>
      </w:r>
    </w:p>
    <w:p w:rsidR="00000000" w:rsidDel="00000000" w:rsidP="00000000" w:rsidRDefault="00000000" w:rsidRPr="00000000">
      <w:pPr>
        <w:keepNext w:val="0"/>
        <w:keepLines w:val="0"/>
        <w:widowControl w:val="0"/>
        <w:contextualSpacing w:val="0"/>
      </w:pPr>
      <w:hyperlink r:id="rId6">
        <w:r w:rsidDel="00000000" w:rsidR="00000000" w:rsidRPr="00000000">
          <w:rPr>
            <w:smallCaps w:val="0"/>
            <w:color w:val="0000ff"/>
            <w:u w:val="single"/>
            <w:rtl w:val="0"/>
          </w:rPr>
          <w:t xml:space="preserve">Whitepapers on topic</w:t>
        </w:r>
      </w:hyperlink>
    </w:p>
    <w:p w:rsidR="00000000" w:rsidDel="00000000" w:rsidP="00000000" w:rsidRDefault="00000000" w:rsidRPr="00000000">
      <w:pPr>
        <w:keepNext w:val="0"/>
        <w:keepLines w:val="0"/>
        <w:widowControl w:val="0"/>
        <w:contextualSpacing w:val="0"/>
      </w:pPr>
      <w:hyperlink r:id="rId7">
        <w:r w:rsidDel="00000000" w:rsidR="00000000" w:rsidRPr="00000000">
          <w:rPr>
            <w:smallCaps w:val="0"/>
            <w:color w:val="0000ff"/>
            <w:u w:val="single"/>
            <w:rtl w:val="0"/>
          </w:rPr>
          <w:t xml:space="preserve">CIO Index – Multiple papers</w:t>
        </w:r>
      </w:hyperlink>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distribution of IT spend to "Run," "Grow," and "Transform the business" provides a view of the IT investment profile to support business performance. In some industries, it is not uncommon to see high "run" focus — typically because organizations in the industry are not planning strong changes in business model or high organic growth — so this often times translates into a more "cost center" role of IT in the industry or niche sector.</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Gaps in business alignment can be found by examining IT spending as it relates to the day-to-day operations of a business (run), the organic growth of the business or productivity improvement (grow) and its support of major business transformation, new products, services or business models (transform). The run-grow-transform framework is a starting point to the overall process of describing, forecasting and measuring IT value. </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Implementing sound financial management within an IT framework is broader than simply being more efficient. Many factors are involved: an understanding of the main drivers of IT costs, aligning IT spending plans with overall business strategy, using financial resources efficiently, viewing IT expenditures as investments and having procedures to track their performance, and implementing sound processes for </w:t>
      </w:r>
      <w:hyperlink r:id="rId8">
        <w:r w:rsidDel="00000000" w:rsidR="00000000" w:rsidRPr="00000000">
          <w:rPr>
            <w:smallCaps w:val="0"/>
            <w:color w:val="0000ff"/>
            <w:u w:val="single"/>
            <w:rtl w:val="0"/>
          </w:rPr>
          <w:t xml:space="preserve">making IT investment decisions.</w:t>
        </w:r>
      </w:hyperlink>
    </w:p>
    <w:p w:rsidR="00000000" w:rsidDel="00000000" w:rsidP="00000000" w:rsidRDefault="00000000" w:rsidRPr="00000000">
      <w:pPr>
        <w:keepNext w:val="0"/>
        <w:keepLines w:val="0"/>
        <w:widowControl w:val="0"/>
        <w:contextualSpacing w:val="0"/>
      </w:pPr>
      <w:hyperlink r:id="rId9">
        <w:r w:rsidDel="00000000" w:rsidR="00000000" w:rsidRPr="00000000">
          <w:rPr>
            <w:smallCaps w:val="0"/>
            <w:color w:val="0000ff"/>
            <w:u w:val="single"/>
            <w:rtl w:val="0"/>
          </w:rPr>
          <w:t xml:space="preserve">http://www.piplinc.com/Technology_Consultancy.html</w:t>
        </w:r>
      </w:hyperlink>
    </w:p>
    <w:p w:rsidR="00000000" w:rsidDel="00000000" w:rsidP="00000000" w:rsidRDefault="00000000" w:rsidRPr="00000000">
      <w:pPr>
        <w:keepNext w:val="0"/>
        <w:keepLines w:val="0"/>
        <w:widowControl w:val="0"/>
        <w:contextualSpacing w:val="0"/>
      </w:pPr>
      <w:hyperlink r:id="rId10">
        <w:r w:rsidDel="00000000" w:rsidR="00000000" w:rsidRPr="00000000">
          <w:rPr>
            <w:rtl w:val="0"/>
          </w:rPr>
        </w:r>
      </w:hyperlink>
    </w:p>
    <w:p w:rsidR="00000000" w:rsidDel="00000000" w:rsidP="00000000" w:rsidRDefault="00000000" w:rsidRPr="00000000">
      <w:pPr>
        <w:keepNext w:val="0"/>
        <w:keepLines w:val="0"/>
        <w:widowControl w:val="0"/>
        <w:contextualSpacing w:val="0"/>
      </w:pPr>
      <w:hyperlink r:id="rId1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rles Williams" w:id="0" w:date="2012-02-17T21:04:53Z"/>
  <w:comment w:author="Georgia Andree" w:id="1" w:date="2012-02-17T20:5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Sounds good.  I also have one started that is a checkbook vs. chargebook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(pros and cons) to work in somewhere.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*Georgia Andree*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*keep up with me at: Linked In: GeorgiaAndree, Twitter: @gandree2*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*professional/resume website: **www.GeorgiaAndree.weebly.com*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*http://adventuresofthesuperunemployed.blogspot.com/*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*What we do for ourselves dies with us. What we do for others is immortal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lives on. ~ Robert Pine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your passion/goal really out of reach or just beyond your level of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belief!?  **Sometimes the greatest risk..is not taking one at all!  *</w:t>
      </w:r>
    </w:p>
  </w:comment>
  <w:comment w:author="Charles Williams" w:id="2" w:date="2012-02-17T21:0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choice of what Blogs you want to publish.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georgia.andree2 (Google Docs)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iplinc.com/Technology_Consultancy.html" TargetMode="External"/><Relationship Id="rId10" Type="http://schemas.openxmlformats.org/officeDocument/2006/relationships/hyperlink" Target="http://www.piplinc.com/Technology_Consultancy.html" TargetMode="External"/><Relationship Id="rId9" Type="http://schemas.openxmlformats.org/officeDocument/2006/relationships/hyperlink" Target="http://www.piplinc.com/Technology_Consultancy.html" TargetMode="External"/><Relationship Id="rId5" Type="http://schemas.openxmlformats.org/officeDocument/2006/relationships/styles" Target="styles.xml"/><Relationship Id="rId6" Type="http://schemas.openxmlformats.org/officeDocument/2006/relationships/hyperlink" Target="https://www.google.com/search?sourceid=chrome&amp;ie=UTF-8&amp;q=IT+Allocation+Strategies+That+Optimize+Your+Results#pq=it+allocation+strategies+that+optimize+your+results&amp;hl=en&amp;sugexp=pfwl&amp;tok=h9PuRhMzWElicn-dcJaGtg&amp;cp=59&amp;gs_id=b&amp;xhr=t&amp;q=Critical+Key+Factors+for+" TargetMode="External"/><Relationship Id="rId7" Type="http://schemas.openxmlformats.org/officeDocument/2006/relationships/hyperlink" Target="http://www.cioindex.com/it_strategy/ArticleId/84715/Business-IT-Alignment-Critical-Success-Factors.aspx" TargetMode="External"/><Relationship Id="rId8" Type="http://schemas.openxmlformats.org/officeDocument/2006/relationships/hyperlink" Target="http://www.techrepublic.com/article/10-ways-to-effectively-estimate-and-control-project-costs/6078705" TargetMode="External"/></Relationships>
</file>