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before="240" w:lineRule="auto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                                  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CASE STUDY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 BTCWires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40" w:before="0" w:lineRule="auto"/>
        <w:rPr/>
      </w:pPr>
      <w:r w:rsidDel="00000000" w:rsidR="00000000" w:rsidRPr="00000000">
        <w:rPr>
          <w:color w:val="444444"/>
          <w:rtl w:val="0"/>
        </w:rPr>
        <w:t xml:space="preserve">                           </w:t>
      </w:r>
      <w:r w:rsidDel="00000000" w:rsidR="00000000" w:rsidRPr="00000000">
        <w:rPr>
          <w:rFonts w:ascii="Arial" w:cs="Arial" w:eastAsia="Arial" w:hAnsi="Arial"/>
          <w:color w:val="444444"/>
          <w:sz w:val="22"/>
          <w:szCs w:val="22"/>
          <w:rtl w:val="0"/>
        </w:rPr>
        <w:t xml:space="preserve">Building a High-Availability Crypto &amp; Blockchain Media Platform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1.  Client Overview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60" w:before="0" w:line="276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BTCWires is a digital media platform specialising in cryptocurrency and blockchain industry coverage. The platform delivers breaking news, in-depth editorial content, live market pricing, interactive market heatmaps, and AI-generated news summaries serving a global readership that surges dramatically during periods of crypto market volatility.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2.  The Challenge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60" w:before="0" w:line="276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BTCWires needed a production-grade cloud platform capable of operating reliably under highly unpredictable load conditions. Crypto markets never sleep and news-driven traffic spikes can arrive with virtually no warning, routinely reaching 10–15 times normal volume within minutes of a major market event.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00" w:before="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Key requirements included: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real-time data pipeline capable of ingesting, processing and surfacing live market data prices, volumes, heatmaps with sub-second freshness.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 application tier that could scale automatically and elastically to absorb extreme traffic spikes without degraded performance or error rates.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high-availability database layer tolerant of infrastructure failures, with no single point of failure and automatic recovery.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Global delivery performance: fast page loads for readers across multiple geographies.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Operational simplicity: minimal manual intervention required to manage scaling, patching, or failover.</w:t>
      </w:r>
    </w:p>
    <w:p w:rsidR="00000000" w:rsidDel="00000000" w:rsidP="00000000" w:rsidRDefault="00000000" w:rsidRPr="00000000" w14:paraId="0000000D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3.  Solution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60" w:before="0" w:line="276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Kiwi Koru designed and delivered a fully cloud-native architecture that addressed each requirement directly. The solution combined purpose-built AWS services in a cohesive, production-hardened stack: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75.0" w:type="dxa"/>
        <w:jc w:val="left"/>
        <w:tblInd w:w="-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10"/>
        <w:gridCol w:w="7365"/>
        <w:tblGridChange w:id="0">
          <w:tblGrid>
            <w:gridCol w:w="2010"/>
            <w:gridCol w:w="736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8e8e8" w:val="clear"/>
            <w:vAlign w:val="center"/>
          </w:tcPr>
          <w:p w:rsidR="00000000" w:rsidDel="00000000" w:rsidP="00000000" w:rsidRDefault="00000000" w:rsidRPr="00000000" w14:paraId="00000011">
            <w:pPr>
              <w:spacing w:after="80" w:before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8e8e8" w:val="clear"/>
            <w:vAlign w:val="center"/>
          </w:tcPr>
          <w:p w:rsidR="00000000" w:rsidDel="00000000" w:rsidP="00000000" w:rsidRDefault="00000000" w:rsidRPr="00000000" w14:paraId="00000012">
            <w:pPr>
              <w:spacing w:after="80" w:before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Role in Platform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afafa" w:val="clear"/>
          </w:tcPr>
          <w:p w:rsidR="00000000" w:rsidDel="00000000" w:rsidP="00000000" w:rsidRDefault="00000000" w:rsidRPr="00000000" w14:paraId="00000013">
            <w:pPr>
              <w:spacing w:after="80" w:before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ECS Fargate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afafa" w:val="clear"/>
          </w:tcPr>
          <w:p w:rsidR="00000000" w:rsidDel="00000000" w:rsidP="00000000" w:rsidRDefault="00000000" w:rsidRPr="00000000" w14:paraId="00000014">
            <w:pPr>
              <w:spacing w:after="80" w:before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Container-based auto-scaling for API and rendering workloads — scales out within seconds during demand spikes with zero server management overhead.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</w:tcPr>
          <w:p w:rsidR="00000000" w:rsidDel="00000000" w:rsidP="00000000" w:rsidRDefault="00000000" w:rsidRPr="00000000" w14:paraId="00000015">
            <w:pPr>
              <w:spacing w:after="80" w:before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Amazon Kinesis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</w:tcPr>
          <w:p w:rsidR="00000000" w:rsidDel="00000000" w:rsidP="00000000" w:rsidRDefault="00000000" w:rsidRPr="00000000" w14:paraId="00000016">
            <w:pPr>
              <w:spacing w:after="80" w:before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Real-time ingestion of live market data streams — price feeds, volume events, and exchange data delivered to the platform with sub-second latency.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afafa" w:val="clear"/>
          </w:tcPr>
          <w:p w:rsidR="00000000" w:rsidDel="00000000" w:rsidP="00000000" w:rsidRDefault="00000000" w:rsidRPr="00000000" w14:paraId="00000017">
            <w:pPr>
              <w:spacing w:after="80" w:before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ElastiCache (Redis)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afafa" w:val="clear"/>
          </w:tcPr>
          <w:p w:rsidR="00000000" w:rsidDel="00000000" w:rsidP="00000000" w:rsidRDefault="00000000" w:rsidRPr="00000000" w14:paraId="00000018">
            <w:pPr>
              <w:spacing w:after="80" w:before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In-memory caching layer for market heatmaps, pricing data and AI summaries — eliminates repeated database reads and sustains high-concurrency performance.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</w:tcPr>
          <w:p w:rsidR="00000000" w:rsidDel="00000000" w:rsidP="00000000" w:rsidRDefault="00000000" w:rsidRPr="00000000" w14:paraId="00000019">
            <w:pPr>
              <w:spacing w:after="80" w:before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Multi-AZ RDS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</w:tcPr>
          <w:p w:rsidR="00000000" w:rsidDel="00000000" w:rsidP="00000000" w:rsidRDefault="00000000" w:rsidRPr="00000000" w14:paraId="0000001A">
            <w:pPr>
              <w:spacing w:after="80" w:before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Highly available managed relational database with synchronous standby replica — automatic failover with no data loss during availability zone disruptions.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afafa" w:val="clear"/>
          </w:tcPr>
          <w:p w:rsidR="00000000" w:rsidDel="00000000" w:rsidP="00000000" w:rsidRDefault="00000000" w:rsidRPr="00000000" w14:paraId="0000001B">
            <w:pPr>
              <w:spacing w:after="80" w:before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Amazon CloudFront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afafa" w:val="clear"/>
          </w:tcPr>
          <w:p w:rsidR="00000000" w:rsidDel="00000000" w:rsidP="00000000" w:rsidRDefault="00000000" w:rsidRPr="00000000" w14:paraId="0000001C">
            <w:pPr>
              <w:spacing w:after="80" w:before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Global CDN serving static assets and cached API responses from edge locations closest to readers — dramatically reduces latency for international audiences.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</w:tcPr>
          <w:p w:rsidR="00000000" w:rsidDel="00000000" w:rsidP="00000000" w:rsidRDefault="00000000" w:rsidRPr="00000000" w14:paraId="0000001D">
            <w:pPr>
              <w:spacing w:after="80" w:before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Route 53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</w:tcPr>
          <w:p w:rsidR="00000000" w:rsidDel="00000000" w:rsidP="00000000" w:rsidRDefault="00000000" w:rsidRPr="00000000" w14:paraId="0000001E">
            <w:pPr>
              <w:spacing w:after="80" w:before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Latency-based DNS routing with health-check failover — automatically directs traffic to the fastest healthy endpoint at all times.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F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160" w:before="0" w:line="276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The architecture was designed with defence-in-depth for availability: ECS Fargate absorbed application-tier load spikes, Redis shielded the database from read storms, Multi-AZ RDS ensured zero-downtime at the data layer, and CloudFront absorbed the majority of global read traffic at the edge — keeping origin infrastructure load well within capacity even during peak events.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1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4.  What Was Delivered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8e8e8" w:val="clear"/>
            <w:vAlign w:val="center"/>
          </w:tcPr>
          <w:p w:rsidR="00000000" w:rsidDel="00000000" w:rsidP="00000000" w:rsidRDefault="00000000" w:rsidRPr="00000000" w14:paraId="00000023">
            <w:pPr>
              <w:spacing w:after="80" w:before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Workstream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8e8e8" w:val="clear"/>
            <w:vAlign w:val="center"/>
          </w:tcPr>
          <w:p w:rsidR="00000000" w:rsidDel="00000000" w:rsidP="00000000" w:rsidRDefault="00000000" w:rsidRPr="00000000" w14:paraId="00000024">
            <w:pPr>
              <w:spacing w:after="80" w:before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Details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afafa" w:val="clear"/>
          </w:tcPr>
          <w:p w:rsidR="00000000" w:rsidDel="00000000" w:rsidP="00000000" w:rsidRDefault="00000000" w:rsidRPr="00000000" w14:paraId="00000025">
            <w:pPr>
              <w:spacing w:after="80" w:before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Cloud Architecture Design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afafa" w:val="clear"/>
          </w:tcPr>
          <w:p w:rsidR="00000000" w:rsidDel="00000000" w:rsidP="00000000" w:rsidRDefault="00000000" w:rsidRPr="00000000" w14:paraId="00000026">
            <w:pPr>
              <w:spacing w:after="80" w:before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End-to-end reference architecture for a resilient, auto-scaling media platform on AWS.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</w:tcPr>
          <w:p w:rsidR="00000000" w:rsidDel="00000000" w:rsidP="00000000" w:rsidRDefault="00000000" w:rsidRPr="00000000" w14:paraId="00000027">
            <w:pPr>
              <w:spacing w:after="80" w:before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Real-Time Data Pipeline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</w:tcPr>
          <w:p w:rsidR="00000000" w:rsidDel="00000000" w:rsidP="00000000" w:rsidRDefault="00000000" w:rsidRPr="00000000" w14:paraId="00000028">
            <w:pPr>
              <w:spacing w:after="80" w:before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Kinesis-based ingest pipeline processing live crypto price feeds, market cap movements, and exchange volume data.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afafa" w:val="clear"/>
          </w:tcPr>
          <w:p w:rsidR="00000000" w:rsidDel="00000000" w:rsidP="00000000" w:rsidRDefault="00000000" w:rsidRPr="00000000" w14:paraId="00000029">
            <w:pPr>
              <w:spacing w:after="80" w:before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Containerised Application Stack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afafa" w:val="clear"/>
          </w:tcPr>
          <w:p w:rsidR="00000000" w:rsidDel="00000000" w:rsidP="00000000" w:rsidRDefault="00000000" w:rsidRPr="00000000" w14:paraId="0000002A">
            <w:pPr>
              <w:spacing w:after="80" w:before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ECS Fargate task definitions, auto-scaling policies, and CI/CD pipeline integration for zero-downtime deployments.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</w:tcPr>
          <w:p w:rsidR="00000000" w:rsidDel="00000000" w:rsidP="00000000" w:rsidRDefault="00000000" w:rsidRPr="00000000" w14:paraId="0000002B">
            <w:pPr>
              <w:spacing w:after="80" w:before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Caching &amp; Performance Layer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</w:tcPr>
          <w:p w:rsidR="00000000" w:rsidDel="00000000" w:rsidP="00000000" w:rsidRDefault="00000000" w:rsidRPr="00000000" w14:paraId="0000002C">
            <w:pPr>
              <w:spacing w:after="80" w:before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Redis cluster configuration for heatmap data, AI-generated summaries, and live pricing tuned TTLs per data type.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afafa" w:val="clear"/>
          </w:tcPr>
          <w:p w:rsidR="00000000" w:rsidDel="00000000" w:rsidP="00000000" w:rsidRDefault="00000000" w:rsidRPr="00000000" w14:paraId="0000002D">
            <w:pPr>
              <w:spacing w:after="80" w:before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Database &amp; Failover Setup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afafa" w:val="clear"/>
          </w:tcPr>
          <w:p w:rsidR="00000000" w:rsidDel="00000000" w:rsidP="00000000" w:rsidRDefault="00000000" w:rsidRPr="00000000" w14:paraId="0000002E">
            <w:pPr>
              <w:spacing w:after="80" w:before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Multi-AZ RDS provisioning with parameter tuning, read replica configuration, and backup/restore procedures.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</w:tcPr>
          <w:p w:rsidR="00000000" w:rsidDel="00000000" w:rsidP="00000000" w:rsidRDefault="00000000" w:rsidRPr="00000000" w14:paraId="0000002F">
            <w:pPr>
              <w:spacing w:after="80" w:before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CDN &amp; DNS Configuration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</w:tcPr>
          <w:p w:rsidR="00000000" w:rsidDel="00000000" w:rsidP="00000000" w:rsidRDefault="00000000" w:rsidRPr="00000000" w14:paraId="00000030">
            <w:pPr>
              <w:spacing w:after="80" w:before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CloudFront distribution setup with custom origins, cache behaviours, and Route 53 latency routing with health checks.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afafa" w:val="clear"/>
          </w:tcPr>
          <w:p w:rsidR="00000000" w:rsidDel="00000000" w:rsidP="00000000" w:rsidRDefault="00000000" w:rsidRPr="00000000" w14:paraId="00000031">
            <w:pPr>
              <w:spacing w:after="80" w:before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Observability &amp; Alerting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afafa" w:val="clear"/>
          </w:tcPr>
          <w:p w:rsidR="00000000" w:rsidDel="00000000" w:rsidP="00000000" w:rsidRDefault="00000000" w:rsidRPr="00000000" w14:paraId="00000032">
            <w:pPr>
              <w:spacing w:after="80" w:before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CloudWatch dashboards, metric alarms, and runbooks covering traffic, error rates, cache hit ratios, and database health.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3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1"/>
        <w:spacing w:after="120" w:before="2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1"/>
        <w:spacing w:after="120" w:before="2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1"/>
        <w:spacing w:after="120" w:before="280" w:lineRule="auto"/>
        <w:rPr/>
      </w:pPr>
      <w:r w:rsidDel="00000000" w:rsidR="00000000" w:rsidRPr="00000000">
        <w:rPr>
          <w:rtl w:val="0"/>
        </w:rPr>
        <w:t xml:space="preserve">4.1 Architecture Diagram: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/>
        <w:drawing>
          <wp:inline distB="114300" distT="114300" distL="114300" distR="114300">
            <wp:extent cx="5959800" cy="44831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59800" cy="448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1"/>
        <w:spacing w:after="120" w:before="2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1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5.  Outcomes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7560"/>
        <w:tblGridChange w:id="0">
          <w:tblGrid>
            <w:gridCol w:w="1800"/>
            <w:gridCol w:w="75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8e8e8" w:val="clear"/>
            <w:vAlign w:val="center"/>
          </w:tcPr>
          <w:p w:rsidR="00000000" w:rsidDel="00000000" w:rsidP="00000000" w:rsidRDefault="00000000" w:rsidRPr="00000000" w14:paraId="0000003C">
            <w:pPr>
              <w:spacing w:after="80" w:before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8e8e8" w:val="clear"/>
            <w:vAlign w:val="center"/>
          </w:tcPr>
          <w:p w:rsidR="00000000" w:rsidDel="00000000" w:rsidP="00000000" w:rsidRDefault="00000000" w:rsidRPr="00000000" w14:paraId="0000003D">
            <w:pPr>
              <w:spacing w:after="80" w:before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Result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afafa" w:val="clear"/>
          </w:tcPr>
          <w:p w:rsidR="00000000" w:rsidDel="00000000" w:rsidP="00000000" w:rsidRDefault="00000000" w:rsidRPr="00000000" w14:paraId="0000003E">
            <w:pPr>
              <w:spacing w:after="80" w:before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99.95%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afafa" w:val="clear"/>
          </w:tcPr>
          <w:p w:rsidR="00000000" w:rsidDel="00000000" w:rsidP="00000000" w:rsidRDefault="00000000" w:rsidRPr="00000000" w14:paraId="0000003F">
            <w:pPr>
              <w:spacing w:after="80" w:before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Platform availability sustained across rolling 90-day periods post-launch.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</w:tcPr>
          <w:p w:rsidR="00000000" w:rsidDel="00000000" w:rsidP="00000000" w:rsidRDefault="00000000" w:rsidRPr="00000000" w14:paraId="00000040">
            <w:pPr>
              <w:spacing w:after="80" w:before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&lt; 1 sec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</w:tcPr>
          <w:p w:rsidR="00000000" w:rsidDel="00000000" w:rsidP="00000000" w:rsidRDefault="00000000" w:rsidRPr="00000000" w14:paraId="00000041">
            <w:pPr>
              <w:spacing w:after="80" w:before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Median page load time for article and market data pages globally via CloudFront edge delivery.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afafa" w:val="clear"/>
          </w:tcPr>
          <w:p w:rsidR="00000000" w:rsidDel="00000000" w:rsidP="00000000" w:rsidRDefault="00000000" w:rsidRPr="00000000" w14:paraId="00000042">
            <w:pPr>
              <w:spacing w:after="80" w:before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15× Spike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afafa" w:val="clear"/>
          </w:tcPr>
          <w:p w:rsidR="00000000" w:rsidDel="00000000" w:rsidP="00000000" w:rsidRDefault="00000000" w:rsidRPr="00000000" w14:paraId="00000043">
            <w:pPr>
              <w:spacing w:after="80" w:before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Peak traffic successfully absorbed during major crypto market volatility events zero downtime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</w:tcPr>
          <w:p w:rsidR="00000000" w:rsidDel="00000000" w:rsidP="00000000" w:rsidRDefault="00000000" w:rsidRPr="00000000" w14:paraId="00000044">
            <w:pPr>
              <w:spacing w:after="80" w:before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Real-Time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fff" w:val="clear"/>
          </w:tcPr>
          <w:p w:rsidR="00000000" w:rsidDel="00000000" w:rsidP="00000000" w:rsidRDefault="00000000" w:rsidRPr="00000000" w14:paraId="00000045">
            <w:pPr>
              <w:spacing w:after="80" w:before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Live pricing, market heatmaps, and AI news summaries delivered continuously with sub-second data freshness.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6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1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6.  About Kiwi Koru Limited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160" w:before="0" w:line="276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Kiwi Koru Limited is a cloud architecture and engineering consultancy helping technology companies design, build and operate scalable, resilient systems on AWS. We bring deep expertise in high-availability architecture, real-time data platforms, and production infrastructure engineering.</w:t>
      </w: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38" w:w="11906" w:orient="portrait"/>
      <w:pgMar w:bottom="1260" w:top="1440" w:left="1260" w:right="126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D">
    <w:pPr>
      <w:pBdr>
        <w:top w:color="cccccc" w:space="4" w:sz="4" w:val="single"/>
      </w:pBdr>
      <w:spacing w:after="0" w:before="80" w:lineRule="auto"/>
      <w:rPr/>
    </w:pPr>
    <w:r w:rsidDel="00000000" w:rsidR="00000000" w:rsidRPr="00000000">
      <w:rPr>
        <w:rFonts w:ascii="Arial" w:cs="Arial" w:eastAsia="Arial" w:hAnsi="Arial"/>
        <w:color w:val="555555"/>
        <w:sz w:val="18"/>
        <w:szCs w:val="18"/>
        <w:rtl w:val="0"/>
      </w:rPr>
      <w:t xml:space="preserve">Kiwi Koru Limited       Page </w:t>
    </w:r>
    <w:r w:rsidDel="00000000" w:rsidR="00000000" w:rsidRPr="00000000">
      <w:rPr>
        <w:rFonts w:ascii="Arial" w:cs="Arial" w:eastAsia="Arial" w:hAnsi="Arial"/>
        <w:color w:val="555555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color w:val="555555"/>
        <w:sz w:val="18"/>
        <w:szCs w:val="18"/>
        <w:rtl w:val="0"/>
      </w:rPr>
      <w:t xml:space="preserve"> of </w:t>
    </w:r>
    <w:r w:rsidDel="00000000" w:rsidR="00000000" w:rsidRPr="00000000">
      <w:rPr>
        <w:rFonts w:ascii="Arial" w:cs="Arial" w:eastAsia="Arial" w:hAnsi="Arial"/>
        <w:color w:val="555555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9">
    <w:pPr>
      <w:spacing w:after="0" w:lineRule="auto"/>
      <w:jc w:val="right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5867400</wp:posOffset>
          </wp:positionH>
          <wp:positionV relativeFrom="paragraph">
            <wp:posOffset>-304799</wp:posOffset>
          </wp:positionV>
          <wp:extent cx="681038" cy="499428"/>
          <wp:effectExtent b="0" l="0" r="0" t="0"/>
          <wp:wrapNone/>
          <wp:docPr descr="Kiwi Koru Limited" id="2" name="image1.png"/>
          <a:graphic>
            <a:graphicData uri="http://schemas.openxmlformats.org/drawingml/2006/picture">
              <pic:pic>
                <pic:nvPicPr>
                  <pic:cNvPr descr="Kiwi Koru Limited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81038" cy="499428"/>
                  </a:xfrm>
                  <a:prstGeom prst="rect"/>
                  <a:ln/>
                </pic:spPr>
              </pic:pic>
            </a:graphicData>
          </a:graphic>
        </wp:anchor>
      </w:drawing>
    </w:r>
  </w:p>
  <w:tbl>
    <w:tblPr>
      <w:tblStyle w:val="Table4"/>
      <w:tblW w:w="9360.0" w:type="dxa"/>
      <w:jc w:val="left"/>
      <w:tblBorders>
        <w:top w:color="000000" w:space="0" w:sz="0" w:val="nil"/>
        <w:left w:color="000000" w:space="0" w:sz="0" w:val="nil"/>
        <w:bottom w:color="000000" w:space="0" w:sz="0" w:val="nil"/>
        <w:right w:color="000000" w:space="0" w:sz="0" w:val="nil"/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7200"/>
      <w:gridCol w:w="2160"/>
      <w:tblGridChange w:id="0">
        <w:tblGrid>
          <w:gridCol w:w="7200"/>
          <w:gridCol w:w="2160"/>
        </w:tblGrid>
      </w:tblGridChange>
    </w:tblGrid>
    <w:tr>
      <w:trPr>
        <w:cantSplit w:val="0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A">
          <w:pPr>
            <w:spacing w:after="0" w:before="0" w:lineRule="auto"/>
            <w:rPr/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B">
          <w:pPr>
            <w:spacing w:after="0" w:before="0" w:lineRule="auto"/>
            <w:jc w:val="right"/>
            <w:rPr/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C">
    <w:pPr>
      <w:pBdr>
        <w:bottom w:color="222222" w:space="4" w:sz="6" w:val="single"/>
      </w:pBdr>
      <w:spacing w:after="0" w:before="60" w:lineRule="auto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sz w:val="22"/>
        <w:szCs w:val="22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after="16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color="cccccc" w:space="4" w:sz="4" w:val="single"/>
        <w:right w:space="0" w:sz="0" w:val="nil"/>
        <w:between w:space="0" w:sz="0" w:val="nil"/>
      </w:pBdr>
      <w:shd w:fill="auto" w:val="clear"/>
      <w:spacing w:after="120" w:before="32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