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CASE STUDY — ThinkVerse Labs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  <w:rtl w:val="0"/>
        </w:rPr>
        <w:t xml:space="preserve">Standardising Cloud Infrastructure at Scale — AWS Multi-Environment Platform for a High-Volume Software Delivery Operation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4" w:sz="4" w:val="single"/>
          <w:right w:space="0" w:sz="0" w:val="nil"/>
          <w:between w:space="0" w:sz="0" w:val="nil"/>
        </w:pBdr>
        <w:shd w:fill="auto" w:val="clear"/>
        <w:spacing w:after="12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 Client Overview</w:t>
      </w:r>
    </w:p>
    <w:p w:rsidR="00000000" w:rsidDel="00000000" w:rsidP="00000000" w:rsidRDefault="00000000" w:rsidRPr="00000000" w14:paraId="00000006">
      <w:pPr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ThinkVerse Labs is a custom software development and IT outsourcing firm headquartered in Noida, India. Over more than a decade, the company has delivered 500+ software projects across web, mobile, blockchain, AI, and AR/VR for 200+ clients spanning multiple geographies. With project teams operating concurrently across a growing client base, ThinkVerse Labs runs a high-throughput delivery model that demands reliable, repeatable cloud infrastructure at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4" w:sz="4" w:val="single"/>
          <w:right w:space="0" w:sz="0" w:val="nil"/>
          <w:between w:space="0" w:sz="0" w:val="nil"/>
        </w:pBdr>
        <w:shd w:fill="auto" w:val="clear"/>
        <w:spacing w:after="12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 The Challenge</w:t>
      </w:r>
    </w:p>
    <w:p w:rsidR="00000000" w:rsidDel="00000000" w:rsidP="00000000" w:rsidRDefault="00000000" w:rsidRPr="00000000" w14:paraId="00000008">
      <w:pPr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As ThinkVerse Labs scaled its client delivery operations, managing cloud environments across hundreds of concurrent projects became operationally complex. Key pain points included: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 sprawl — Each project required isolated dev, staging, and production accounts, which were provisioned manually and inconsistently.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standardisation — Infrastructure configurations varied widely across teams, leading to drift, security gaps, and cost overruns.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Slow onboarding — Spinning up a new client environment took several days of manual effort across multiple teams.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 visibility — With 200+ active clients across shared and dedicated accounts, tracking spend per project or client was difficult.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governance layer — There was no centralised mechanism to enforce security policies, tagging standards, or access controls at scale.</w:t>
      </w:r>
    </w:p>
    <w:p w:rsidR="00000000" w:rsidDel="00000000" w:rsidP="00000000" w:rsidRDefault="00000000" w:rsidRPr="00000000" w14:paraId="0000000E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4" w:sz="4" w:val="single"/>
          <w:right w:space="0" w:sz="0" w:val="nil"/>
          <w:between w:space="0" w:sz="0" w:val="nil"/>
        </w:pBdr>
        <w:shd w:fill="auto" w:val="clear"/>
        <w:spacing w:after="12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 The Solution</w:t>
      </w:r>
    </w:p>
    <w:p w:rsidR="00000000" w:rsidDel="00000000" w:rsidP="00000000" w:rsidRDefault="00000000" w:rsidRPr="00000000" w14:paraId="00000010">
      <w:pPr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Kiwi Koru Limited designed and implemented a standardised, multi-account cloud infrastructure platform built on AWS, enabling ThinkVerse Labs to provision, govern, and manage environments across all projects from a single operational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Multi-Account Landing Zone: Structured AWS Organizations with dedicated Organizational Units (OUs) for dev, staging, and production workloads. Each client project was assigned a governed account boundary with baseline policies applied automatically at provisioning.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CloudFormation StackSets: Deployed StackSets across all accounts to enforce consistent IAM roles, VPC baselines, logging configurations, and security controls — eliminating manual per-account setup.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Reusable Template Library: Built a curated library of parameterised CloudFormation templates covering common ThinkVerse Labs project archetypes — web applications, mobile backends, blockchain nodes, and AI workload environments. Templates were version-controlled in CodeCommit with changelogs maintained per release.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 with CodePipeline: Implemented automated deployment pipelines that ran cfn-lint and cfn-nag validation, executed change sets, and deployed approved stacks — removing manual intervention from the infrastructure release process.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Drift Detection &amp; Change Management: Configured scheduled CloudFormation drift detection across all active stacks. Any configuration drift triggers alerts and requires a reviewed change set before remediation — maintaining infrastructure integrity across all environments.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Tagging &amp; Cost Allocation: Defined a mandatory tagging taxonomy (client ID, project code, environment, owner) enforced via AWS Config rules, enabling precise cost attribution across the full portfolio.</w:t>
      </w:r>
    </w:p>
    <w:p w:rsidR="00000000" w:rsidDel="00000000" w:rsidP="00000000" w:rsidRDefault="00000000" w:rsidRPr="00000000" w14:paraId="0000001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Solution Architecture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6840"/>
        <w:tblGridChange w:id="0">
          <w:tblGrid>
            <w:gridCol w:w="2520"/>
            <w:gridCol w:w="68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9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A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1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AWS Organizations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Structured Organizational Units (OUs) for dev, staging, and production workloads. Each client project assigned a governed account boundary with baseline policies applied automatically at provisioning.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1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CloudFormation StackSets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Deployed cross-account to enforce consistent IAM roles, VPC baselines, logging configurations, and security controls — eliminating manual per-account setup.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1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Reusable Template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Curated library of parameterised CloudFormation templates covering 5 standard project archetypes — web applications, mobile backends, blockchain nodes, and AI workload environments. Version-controlled in CodeCommit.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2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CodePipeline (CI/CD)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Automated deployment pipelines running cfn-lint and cfn-nag validation, executing change sets, and deploying approved stacks — removing manual intervention from the infrastructure release process.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2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Drift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Scheduled CloudFormation drift detection across all active stacks. Configuration drift triggers alerts and requires a reviewed change set before remediation — maintaining infrastructure integrity across all environments.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2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AWS Config &amp; Tagging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 tagging taxonomy (client ID, project code, environment, owner) enforced via AWS Config rules, enabling precise cost attribution across the full portfolio.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Services Used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2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AWS Organizations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2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CloudFormation StackSets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2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CodePipeline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2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CodeCommit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AWS Config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4" w:sz="4" w:val="single"/>
          <w:right w:space="0" w:sz="0" w:val="nil"/>
          <w:between w:space="0" w:sz="0" w:val="nil"/>
        </w:pBdr>
        <w:shd w:fill="auto" w:val="clear"/>
        <w:spacing w:after="12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 What Was Delivered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Multi-account AWS landing zone with structured OUs and baseline SCPs via AWS Organizations.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CloudFormation StackSets configured for cross-account deployment of security, networking, and logging baselines.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Reusable CloudFormation template library with parameterised stacks for 5 standard project archetypes.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CI/CD pipeline with integrated template linting, static analysis, and change set review gates.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Drift detection framework with alerting and remediation workflows across all active stacks.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Tagging taxonomy and AWS Config rules for enforced cost attribution and compliance reporting.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Runbooks and handover documentation enabling ThinkVerse Labs teams to self-serve new environment provisioning.</w:t>
      </w:r>
    </w:p>
    <w:p w:rsidR="00000000" w:rsidDel="00000000" w:rsidP="00000000" w:rsidRDefault="00000000" w:rsidRPr="00000000" w14:paraId="0000003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Deliverables Detail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6840"/>
        <w:tblGridChange w:id="0">
          <w:tblGrid>
            <w:gridCol w:w="2520"/>
            <w:gridCol w:w="68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C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Workstream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D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3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Multi-Account Landing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Structured AWS Organizations with dedicated OUs and baseline SCPs applied automatically at provisioning, giving every client project a governed account boundary.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4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CloudFormation StackSets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4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Cross-account deployment of security, networking, and logging baselines — consistent configuration across all environments without manual per-account effort.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4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Reusable Template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4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Parameterised CloudFormation stacks for 5 standard project archetypes — version-controlled in CodeCommit with changelogs maintained per release.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4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Automated CI/CD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4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Template linting, static analysis (cfn-lint, cfn-nag), and change set review gates integrated into CodePipeline for zero-manual-intervention infrastructure releases.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4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Drift Detection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4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Scheduled drift detection with alerting and remediation workflows across all active stacks — infrastructure integrity maintained proactively.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4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Tagging &amp; Cost 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4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 tagging taxonomy with AWS Config enforcement — enabling per-client cloud spend attribution and compliance reporting for the first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4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Runbooks &amp; Handover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4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Self-service provisioning runbooks and handover documentation enabling Thinkverse Labs teams to spin up new environments independently.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4" w:sz="4" w:val="single"/>
          <w:right w:space="0" w:sz="0" w:val="nil"/>
          <w:between w:space="0" w:sz="0" w:val="nil"/>
        </w:pBdr>
        <w:shd w:fill="auto" w:val="clear"/>
        <w:spacing w:after="120" w:before="28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4.1 Architecture Diagram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4" w:sz="4" w:val="single"/>
          <w:right w:space="0" w:sz="0" w:val="nil"/>
          <w:between w:space="0" w:sz="0" w:val="nil"/>
        </w:pBdr>
        <w:shd w:fill="auto" w:val="clear"/>
        <w:spacing w:after="120" w:before="28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188400" cy="3009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4" w:sz="4" w:val="single"/>
          <w:right w:space="0" w:sz="0" w:val="nil"/>
          <w:between w:space="0" w:sz="0" w:val="nil"/>
        </w:pBdr>
        <w:shd w:fill="auto" w:val="clear"/>
        <w:spacing w:after="120" w:before="28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4" w:sz="4" w:val="single"/>
          <w:right w:space="0" w:sz="0" w:val="nil"/>
          <w:between w:space="0" w:sz="0" w:val="nil"/>
        </w:pBdr>
        <w:shd w:fill="auto" w:val="clear"/>
        <w:spacing w:after="12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 Outcomes &amp; Impact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1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2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5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70% Faster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5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Environment provisioning time — new client environments that previously took several days of manual effort across multiple teams now complete in under two hours using the self-service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5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40% Cost Reduction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5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Infrastructure cost reduction achieved through standardised templates, mandatory tagging, and precise cost attribution — enabling the finance team to produce per-client cloud spend reports for the first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5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&lt; 2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5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Developer onboarding time (previously measured in days) — self-service account vending pipeline enables teams to provision fully configured environments without infrastructure team involvement.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5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Proactive 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5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Infrastructure drift, previously undetected until incidents occurred, is now identified and resolved proactively via scheduled detection and automated alerting — maintaining integrity across all environments.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The platform transformed how ThinkVerse Labs manages cloud infrastructure. What previously required days of coordination across infrastructure and DevOps teams — creating accounts, configuring VPCs, setting IAM policies, and wiring up CI/CD — now takes under two hours using the self-service provisioning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Standardised templates and mandatory tagging removed the cost visibility gap, enabling the finance team to produce per-client cloud spend reports for the first time. Infrastructure drift, previously undetected until incidents occurred, is now identified and resolved proactively.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The result is a leaner, more predictable delivery operation capable of supporting continued growth without a proportional increase in infrastructure overhead.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4" w:sz="4" w:val="single"/>
          <w:right w:space="0" w:sz="0" w:val="nil"/>
          <w:between w:space="0" w:sz="0" w:val="nil"/>
        </w:pBdr>
        <w:shd w:fill="auto" w:val="clear"/>
        <w:spacing w:after="12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 About Kiwi Koru Limited</w:t>
      </w:r>
    </w:p>
    <w:p w:rsidR="00000000" w:rsidDel="00000000" w:rsidP="00000000" w:rsidRDefault="00000000" w:rsidRPr="00000000" w14:paraId="00000061">
      <w:pPr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Kiwi Koru Limited is a cloud architecture and engineering consultancy helping technology companies design, build and operate scalable, resilient systems on AWS. We bring deep expertise in high-availability architecture, real-time data platforms, infrastructure governance, and production infrastructure engineering.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000000" w:space="4" w:sz="4" w:val="single"/>
        </w:pBdr>
        <w:spacing w:after="80" w:before="20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pBdr>
        <w:top w:color="000000" w:space="4" w:sz="4" w:val="single"/>
      </w:pBdr>
      <w:spacing w:after="0" w:before="40" w:lineRule="auto"/>
      <w:rPr/>
    </w:pPr>
    <w:r w:rsidDel="00000000" w:rsidR="00000000" w:rsidRPr="00000000">
      <w:rPr>
        <w:rtl w:val="0"/>
      </w:rPr>
    </w:r>
  </w:p>
  <w:tbl>
    <w:tblPr>
      <w:tblStyle w:val="Table5"/>
      <w:tblW w:w="936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5616"/>
      <w:gridCol w:w="3744"/>
      <w:tblGridChange w:id="0">
        <w:tblGrid>
          <w:gridCol w:w="5616"/>
          <w:gridCol w:w="3744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6">
          <w:pPr>
            <w:spacing w:after="0" w:before="0" w:lineRule="auto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8"/>
              <w:szCs w:val="18"/>
              <w:rtl w:val="0"/>
            </w:rPr>
            <w:t xml:space="preserve">Kiwi Koru Limited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7">
          <w:pPr>
            <w:spacing w:after="0" w:before="0" w:lineRule="auto"/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Arial" w:cs="Arial" w:eastAsia="Arial" w:hAnsi="Arial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 of </w:t>
          </w:r>
          <w:r w:rsidDel="00000000" w:rsidR="00000000" w:rsidRPr="00000000">
            <w:rPr>
              <w:rFonts w:ascii="Arial" w:cs="Arial" w:eastAsia="Arial" w:hAnsi="Arial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Bdr>
        <w:bottom w:color="000000" w:space="4" w:sz="4" w:val="single"/>
      </w:pBdr>
      <w:spacing w:after="80" w:before="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6000750</wp:posOffset>
          </wp:positionH>
          <wp:positionV relativeFrom="paragraph">
            <wp:posOffset>-390524</wp:posOffset>
          </wp:positionV>
          <wp:extent cx="747713" cy="567460"/>
          <wp:effectExtent b="0" l="0" r="0" t="0"/>
          <wp:wrapNone/>
          <wp:docPr descr="Kiwi Koru Limited logo" id="2" name="image1.png"/>
          <a:graphic>
            <a:graphicData uri="http://schemas.openxmlformats.org/drawingml/2006/picture">
              <pic:pic>
                <pic:nvPicPr>
                  <pic:cNvPr descr="Kiwi Koru Limited logo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7713" cy="56746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