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F8F" w:rsidRPr="00E110DA" w:rsidRDefault="00B31F8F" w:rsidP="00B31F8F">
      <w:pPr>
        <w:spacing w:line="360" w:lineRule="auto"/>
        <w:ind w:left="120" w:hangingChars="50" w:hanging="120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t>S</w:t>
      </w:r>
      <w:r w:rsidR="00FC42DB">
        <w:rPr>
          <w:rFonts w:ascii="Times New Roman" w:hAnsi="Times New Roman"/>
        </w:rPr>
        <w:t>4</w:t>
      </w:r>
      <w:r w:rsidRPr="00E110DA">
        <w:rPr>
          <w:rFonts w:ascii="Times New Roman" w:hAnsi="Times New Roman"/>
          <w:lang w:val="en-GB"/>
        </w:rPr>
        <w:t xml:space="preserve"> Fig1. </w:t>
      </w:r>
      <w:r>
        <w:rPr>
          <w:rFonts w:ascii="Times New Roman" w:hAnsi="Times New Roman"/>
          <w:lang w:val="en-GB"/>
        </w:rPr>
        <w:t>Abdominal cross-</w:t>
      </w:r>
      <w:r w:rsidRPr="00E110DA">
        <w:rPr>
          <w:rFonts w:ascii="Times New Roman" w:hAnsi="Times New Roman"/>
          <w:lang w:val="en-GB"/>
        </w:rPr>
        <w:t xml:space="preserve">sectional CT scan image of </w:t>
      </w:r>
      <w:r>
        <w:rPr>
          <w:rFonts w:ascii="Times New Roman" w:hAnsi="Times New Roman"/>
          <w:lang w:val="en-GB"/>
        </w:rPr>
        <w:t>a 57-year-old male donor</w:t>
      </w:r>
      <w:r w:rsidRPr="00E110DA">
        <w:rPr>
          <w:rFonts w:ascii="Times New Roman" w:hAnsi="Times New Roman"/>
          <w:lang w:val="en-GB"/>
        </w:rPr>
        <w:t xml:space="preserve"> with discrimination index of 2.14 and operative time of 270 min.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sz w:val="16"/>
          <w:szCs w:val="16"/>
          <w:lang w:val="en-GB"/>
        </w:rPr>
      </w:pPr>
      <w:r w:rsidRPr="00E110DA">
        <w:rPr>
          <w:rFonts w:ascii="Times New Roman" w:hAnsi="Times New Roman"/>
          <w:noProof/>
          <w:sz w:val="16"/>
          <w:szCs w:val="16"/>
        </w:rPr>
        <w:drawing>
          <wp:inline distT="0" distB="0" distL="0" distR="0" wp14:anchorId="624A6972" wp14:editId="5BBC3871">
            <wp:extent cx="2967990" cy="2138045"/>
            <wp:effectExtent l="0" t="0" r="3810" b="0"/>
            <wp:docPr id="2" name="図 2" descr="kasai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sai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8F" w:rsidRPr="00E110DA" w:rsidRDefault="00B31F8F" w:rsidP="00B31F8F">
      <w:pPr>
        <w:widowControl/>
        <w:jc w:val="left"/>
        <w:rPr>
          <w:rFonts w:ascii="Times New Roman" w:hAnsi="Times New Roman"/>
          <w:sz w:val="16"/>
          <w:szCs w:val="16"/>
          <w:lang w:val="en-GB"/>
        </w:rPr>
      </w:pPr>
      <w:r w:rsidRPr="00E110DA">
        <w:rPr>
          <w:rFonts w:ascii="Times New Roman" w:hAnsi="Times New Roman"/>
          <w:sz w:val="16"/>
          <w:szCs w:val="16"/>
          <w:lang w:val="en-GB"/>
        </w:rPr>
        <w:br w:type="page"/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lastRenderedPageBreak/>
        <w:t>S</w:t>
      </w:r>
      <w:r w:rsidR="00FC42DB">
        <w:rPr>
          <w:rFonts w:ascii="Times New Roman" w:hAnsi="Times New Roman"/>
          <w:lang w:val="en-GB"/>
        </w:rPr>
        <w:t>4</w:t>
      </w:r>
      <w:r>
        <w:rPr>
          <w:rFonts w:ascii="Times New Roman" w:hAnsi="Times New Roman"/>
          <w:lang w:val="en-GB"/>
        </w:rPr>
        <w:t xml:space="preserve"> Fig2</w:t>
      </w:r>
      <w:r w:rsidRPr="00E110DA">
        <w:rPr>
          <w:rFonts w:ascii="Times New Roman" w:hAnsi="Times New Roman"/>
          <w:lang w:val="en-GB"/>
        </w:rPr>
        <w:t xml:space="preserve">. </w:t>
      </w:r>
      <w:r>
        <w:rPr>
          <w:rFonts w:ascii="Times New Roman" w:hAnsi="Times New Roman"/>
          <w:lang w:val="en-GB"/>
        </w:rPr>
        <w:t>Abdominal cross-</w:t>
      </w:r>
      <w:r w:rsidRPr="00E110DA">
        <w:rPr>
          <w:rFonts w:ascii="Times New Roman" w:hAnsi="Times New Roman"/>
          <w:lang w:val="en-GB"/>
        </w:rPr>
        <w:t xml:space="preserve">sectional CT scan image of </w:t>
      </w:r>
      <w:r>
        <w:rPr>
          <w:rFonts w:ascii="Times New Roman" w:hAnsi="Times New Roman"/>
          <w:lang w:val="en-GB"/>
        </w:rPr>
        <w:t>a 61-year-old female donor</w:t>
      </w:r>
      <w:r w:rsidRPr="00E110DA">
        <w:rPr>
          <w:rFonts w:ascii="Times New Roman" w:hAnsi="Times New Roman"/>
          <w:lang w:val="en-GB"/>
        </w:rPr>
        <w:t xml:space="preserve"> with discrimination index of -6.77 and operative time of 120 min.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sz w:val="16"/>
          <w:szCs w:val="16"/>
          <w:lang w:val="en-GB"/>
        </w:rPr>
      </w:pPr>
      <w:r w:rsidRPr="00E110DA">
        <w:rPr>
          <w:rFonts w:ascii="Times New Roman" w:hAnsi="Times New Roman"/>
          <w:noProof/>
          <w:sz w:val="16"/>
          <w:szCs w:val="16"/>
        </w:rPr>
        <w:drawing>
          <wp:inline distT="0" distB="0" distL="0" distR="0" wp14:anchorId="5ECE34D2" wp14:editId="27CD3A1A">
            <wp:extent cx="2975610" cy="2032635"/>
            <wp:effectExtent l="0" t="0" r="0" b="0"/>
            <wp:docPr id="3" name="図 3" descr="tamiy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miya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8F" w:rsidRPr="00E110DA" w:rsidRDefault="00B31F8F" w:rsidP="00B31F8F">
      <w:pPr>
        <w:widowControl/>
        <w:jc w:val="left"/>
        <w:rPr>
          <w:rFonts w:ascii="Times New Roman" w:hAnsi="Times New Roman"/>
          <w:sz w:val="16"/>
          <w:szCs w:val="16"/>
          <w:lang w:val="en-GB"/>
        </w:rPr>
      </w:pPr>
      <w:r w:rsidRPr="00E110DA">
        <w:rPr>
          <w:rFonts w:ascii="Times New Roman" w:hAnsi="Times New Roman"/>
          <w:sz w:val="16"/>
          <w:szCs w:val="16"/>
          <w:lang w:val="en-GB"/>
        </w:rPr>
        <w:br w:type="page"/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lastRenderedPageBreak/>
        <w:t>S</w:t>
      </w:r>
      <w:r w:rsidR="00FC42DB">
        <w:rPr>
          <w:rFonts w:ascii="Times New Roman" w:hAnsi="Times New Roman"/>
          <w:lang w:val="en-GB"/>
        </w:rPr>
        <w:t>4</w:t>
      </w:r>
      <w:r>
        <w:rPr>
          <w:rFonts w:ascii="Times New Roman" w:hAnsi="Times New Roman"/>
          <w:lang w:val="en-GB"/>
        </w:rPr>
        <w:t xml:space="preserve"> Fig3</w:t>
      </w:r>
      <w:r w:rsidRPr="00E110DA">
        <w:rPr>
          <w:rFonts w:ascii="Times New Roman" w:hAnsi="Times New Roman"/>
          <w:lang w:val="en-GB"/>
        </w:rPr>
        <w:t xml:space="preserve">. </w:t>
      </w:r>
      <w:r>
        <w:rPr>
          <w:rFonts w:ascii="Times New Roman" w:hAnsi="Times New Roman"/>
          <w:lang w:val="en-GB"/>
        </w:rPr>
        <w:t>Abdominal cross-</w:t>
      </w:r>
      <w:r w:rsidRPr="00E110DA">
        <w:rPr>
          <w:rFonts w:ascii="Times New Roman" w:hAnsi="Times New Roman"/>
          <w:lang w:val="en-GB"/>
        </w:rPr>
        <w:t xml:space="preserve">sectional CT scan image of </w:t>
      </w:r>
      <w:r>
        <w:rPr>
          <w:rFonts w:ascii="Times New Roman" w:hAnsi="Times New Roman"/>
          <w:lang w:val="en-GB"/>
        </w:rPr>
        <w:t>a 47-year-old female donor</w:t>
      </w:r>
      <w:r w:rsidRPr="00E110DA">
        <w:rPr>
          <w:rFonts w:ascii="Times New Roman" w:hAnsi="Times New Roman"/>
          <w:lang w:val="en-GB"/>
        </w:rPr>
        <w:t xml:space="preserve"> who had pear-shaped adiposity with discrimination index of -2.30 and operative time of 120 min.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sz w:val="16"/>
          <w:szCs w:val="16"/>
          <w:lang w:val="en-GB"/>
        </w:rPr>
      </w:pPr>
      <w:r w:rsidRPr="00E110DA">
        <w:rPr>
          <w:rFonts w:ascii="Times New Roman" w:hAnsi="Times New Roman"/>
          <w:noProof/>
          <w:sz w:val="16"/>
          <w:szCs w:val="16"/>
        </w:rPr>
        <w:drawing>
          <wp:inline distT="0" distB="0" distL="0" distR="0" wp14:anchorId="073ABACF" wp14:editId="731D55FD">
            <wp:extent cx="2967990" cy="2306955"/>
            <wp:effectExtent l="0" t="0" r="3810" b="4445"/>
            <wp:docPr id="4" name="図 4" descr="ohkoma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hkoma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8F" w:rsidRPr="00E110DA" w:rsidRDefault="00B31F8F" w:rsidP="00B31F8F">
      <w:pPr>
        <w:widowControl/>
        <w:jc w:val="left"/>
        <w:rPr>
          <w:rFonts w:ascii="Times New Roman" w:hAnsi="Times New Roman"/>
          <w:sz w:val="16"/>
          <w:szCs w:val="16"/>
          <w:lang w:val="en-GB"/>
        </w:rPr>
      </w:pPr>
      <w:r w:rsidRPr="00E110DA">
        <w:rPr>
          <w:rFonts w:ascii="Times New Roman" w:hAnsi="Times New Roman"/>
          <w:sz w:val="16"/>
          <w:szCs w:val="16"/>
          <w:lang w:val="en-GB"/>
        </w:rPr>
        <w:br w:type="page"/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lastRenderedPageBreak/>
        <w:t>S</w:t>
      </w:r>
      <w:r w:rsidR="00FC42DB">
        <w:rPr>
          <w:rFonts w:ascii="Times New Roman" w:hAnsi="Times New Roman"/>
          <w:lang w:val="en-GB"/>
        </w:rPr>
        <w:t>4</w:t>
      </w:r>
      <w:r>
        <w:rPr>
          <w:rFonts w:ascii="Times New Roman" w:hAnsi="Times New Roman"/>
          <w:lang w:val="en-GB"/>
        </w:rPr>
        <w:t xml:space="preserve"> Fig4</w:t>
      </w:r>
      <w:r w:rsidRPr="00E110DA">
        <w:rPr>
          <w:rFonts w:ascii="Times New Roman" w:hAnsi="Times New Roman"/>
          <w:lang w:val="en-GB"/>
        </w:rPr>
        <w:t xml:space="preserve">. </w:t>
      </w:r>
      <w:r>
        <w:rPr>
          <w:rFonts w:ascii="Times New Roman" w:hAnsi="Times New Roman"/>
          <w:lang w:val="en-GB"/>
        </w:rPr>
        <w:t>Abdominal cross-</w:t>
      </w:r>
      <w:r w:rsidRPr="00E110DA">
        <w:rPr>
          <w:rFonts w:ascii="Times New Roman" w:hAnsi="Times New Roman"/>
          <w:lang w:val="en-GB"/>
        </w:rPr>
        <w:t xml:space="preserve">sectional CT scan image of a </w:t>
      </w:r>
      <w:r>
        <w:rPr>
          <w:rFonts w:ascii="Times New Roman" w:hAnsi="Times New Roman"/>
          <w:lang w:val="en-GB"/>
        </w:rPr>
        <w:t>61-year-old male donor</w:t>
      </w:r>
      <w:r w:rsidRPr="00E110DA">
        <w:rPr>
          <w:rFonts w:ascii="Times New Roman" w:hAnsi="Times New Roman"/>
          <w:lang w:val="en-GB"/>
        </w:rPr>
        <w:t xml:space="preserve"> who had apple-shaped adiposity with discrimination index of 1.93 and operative time of 360 min.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sz w:val="16"/>
          <w:szCs w:val="16"/>
          <w:lang w:val="en-GB"/>
        </w:rPr>
      </w:pPr>
      <w:r w:rsidRPr="00E110DA">
        <w:rPr>
          <w:rFonts w:ascii="Times New Roman" w:hAnsi="Times New Roman"/>
          <w:noProof/>
          <w:sz w:val="16"/>
          <w:szCs w:val="16"/>
        </w:rPr>
        <w:drawing>
          <wp:inline distT="0" distB="0" distL="0" distR="0" wp14:anchorId="4778ACFE" wp14:editId="7B915D45">
            <wp:extent cx="3094990" cy="2363470"/>
            <wp:effectExtent l="0" t="0" r="3810" b="0"/>
            <wp:docPr id="5" name="図 5" descr="senbo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bo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1F8F" w:rsidRDefault="00B31F8F" w:rsidP="00B31F8F">
      <w:pPr>
        <w:widowControl/>
        <w:jc w:val="left"/>
        <w:rPr>
          <w:rFonts w:ascii="Times New Roman" w:hAnsi="Times New Roman"/>
        </w:rPr>
      </w:pPr>
    </w:p>
    <w:p w:rsidR="00B30455" w:rsidRDefault="00FC42DB"/>
    <w:p w:rsidR="00B31F8F" w:rsidRDefault="00B31F8F"/>
    <w:p w:rsidR="00B31F8F" w:rsidRDefault="00B31F8F"/>
    <w:p w:rsidR="00B31F8F" w:rsidRDefault="00B31F8F"/>
    <w:p w:rsidR="00B31F8F" w:rsidRPr="00E110DA" w:rsidRDefault="00B31F8F" w:rsidP="00B31F8F">
      <w:pPr>
        <w:widowControl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lastRenderedPageBreak/>
        <w:t>S</w:t>
      </w:r>
      <w:r w:rsidR="00FC42DB">
        <w:rPr>
          <w:rFonts w:ascii="Times New Roman" w:hAnsi="Times New Roman"/>
          <w:lang w:val="en-GB"/>
        </w:rPr>
        <w:t>4</w:t>
      </w:r>
      <w:r>
        <w:rPr>
          <w:rFonts w:ascii="Times New Roman" w:hAnsi="Times New Roman"/>
          <w:lang w:val="en-GB"/>
        </w:rPr>
        <w:t xml:space="preserve"> Fig</w:t>
      </w:r>
      <w:r w:rsidRPr="00E110DA">
        <w:rPr>
          <w:rFonts w:ascii="Times New Roman" w:hAnsi="Times New Roman"/>
          <w:lang w:val="en-GB"/>
        </w:rPr>
        <w:t xml:space="preserve">5. Notations of parameters in the </w:t>
      </w:r>
      <w:r>
        <w:rPr>
          <w:rFonts w:ascii="Times New Roman" w:hAnsi="Times New Roman"/>
          <w:lang w:val="en-GB"/>
        </w:rPr>
        <w:t xml:space="preserve">abdominal CT </w:t>
      </w:r>
      <w:r w:rsidRPr="00E110DA">
        <w:rPr>
          <w:rFonts w:ascii="Times New Roman" w:hAnsi="Times New Roman"/>
          <w:lang w:val="en-GB"/>
        </w:rPr>
        <w:t>image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sz w:val="16"/>
          <w:szCs w:val="16"/>
          <w:lang w:val="en-GB"/>
        </w:rPr>
      </w:pPr>
      <w:r>
        <w:rPr>
          <w:rFonts w:ascii="Times New Roman" w:hAnsi="Times New Roman"/>
          <w:noProof/>
          <w:sz w:val="16"/>
          <w:szCs w:val="16"/>
          <w:lang w:val="en-GB"/>
        </w:rPr>
        <w:drawing>
          <wp:inline distT="0" distB="0" distL="0" distR="0" wp14:anchorId="63520F9C" wp14:editId="5E2DC569">
            <wp:extent cx="4231401" cy="3816626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pplFigureS5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947" cy="38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lastRenderedPageBreak/>
        <w:t>S</w:t>
      </w:r>
      <w:r w:rsidR="00FC42DB">
        <w:rPr>
          <w:rFonts w:ascii="Times New Roman" w:hAnsi="Times New Roman"/>
          <w:lang w:val="en-GB"/>
        </w:rPr>
        <w:t>4</w:t>
      </w:r>
      <w:r>
        <w:rPr>
          <w:rFonts w:ascii="Times New Roman" w:hAnsi="Times New Roman"/>
          <w:lang w:val="en-GB"/>
        </w:rPr>
        <w:t xml:space="preserve"> Fig6</w:t>
      </w:r>
      <w:r w:rsidRPr="00E110DA">
        <w:rPr>
          <w:rFonts w:ascii="Times New Roman" w:hAnsi="Times New Roman"/>
          <w:lang w:val="en-GB"/>
        </w:rPr>
        <w:t>. Changes in total hit rate in PDA according to threshold percentile of operative time between easy and difficult cases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t>Total hit rate (%)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noProof/>
        </w:rPr>
        <w:drawing>
          <wp:inline distT="0" distB="0" distL="0" distR="0" wp14:anchorId="1CFB4302" wp14:editId="6E4672D9">
            <wp:extent cx="4418176" cy="2877698"/>
            <wp:effectExtent l="0" t="0" r="1905" b="571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ppfig1_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282" cy="28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0DA">
        <w:rPr>
          <w:rFonts w:ascii="Times New Roman" w:hAnsi="Times New Roman"/>
          <w:lang w:val="en-GB"/>
        </w:rPr>
        <w:t xml:space="preserve">  Percentile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t>Horizontal axis is threshold percentile of operative time between easy and difficult cases. Vertical axis is total hit rate of the preoperative assessment system in HALapNx.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t>Mean hit rate in all thresholds was 86.79 ± 6.54%; median hit rate was 84.91%. PDA: predictive discriminant analysis.</w:t>
      </w: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Default="00B31F8F" w:rsidP="00B31F8F">
      <w:pPr>
        <w:rPr>
          <w:sz w:val="16"/>
          <w:szCs w:val="16"/>
        </w:rPr>
      </w:pPr>
    </w:p>
    <w:p w:rsidR="00B31F8F" w:rsidRDefault="00B31F8F" w:rsidP="00B31F8F">
      <w:pPr>
        <w:rPr>
          <w:sz w:val="16"/>
          <w:szCs w:val="16"/>
        </w:rPr>
      </w:pPr>
    </w:p>
    <w:p w:rsidR="00B31F8F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lastRenderedPageBreak/>
        <w:t>S</w:t>
      </w:r>
      <w:r w:rsidR="00FC42DB">
        <w:rPr>
          <w:rFonts w:ascii="Times New Roman" w:hAnsi="Times New Roman"/>
          <w:lang w:val="en-GB"/>
        </w:rPr>
        <w:t>4</w:t>
      </w:r>
      <w:r>
        <w:rPr>
          <w:rFonts w:ascii="Times New Roman" w:hAnsi="Times New Roman"/>
          <w:lang w:val="en-GB"/>
        </w:rPr>
        <w:t xml:space="preserve"> Fig7</w:t>
      </w:r>
      <w:r w:rsidRPr="00E110DA">
        <w:rPr>
          <w:rFonts w:ascii="Times New Roman" w:hAnsi="Times New Roman"/>
          <w:lang w:val="en-GB"/>
        </w:rPr>
        <w:t>. Changes in HREC and HRDC in PDA according to threshold percentile of operative time between easy and difficult cases</w:t>
      </w:r>
    </w:p>
    <w:p w:rsidR="00B31F8F" w:rsidRPr="00E110DA" w:rsidRDefault="00B31F8F" w:rsidP="00B31F8F">
      <w:pPr>
        <w:spacing w:line="360" w:lineRule="auto"/>
        <w:ind w:left="120" w:hangingChars="50" w:hanging="120"/>
        <w:jc w:val="left"/>
        <w:rPr>
          <w:rFonts w:ascii="Times New Roman" w:hAnsi="Times New Roman"/>
          <w:noProof/>
          <w:lang w:val="en-GB"/>
        </w:rPr>
      </w:pPr>
      <w:r w:rsidRPr="00E110DA">
        <w:rPr>
          <w:rFonts w:ascii="Times New Roman" w:hAnsi="Times New Roman"/>
          <w:noProof/>
          <w:lang w:val="en-GB"/>
        </w:rPr>
        <w:t>Hit rate (%)</w:t>
      </w:r>
    </w:p>
    <w:p w:rsidR="00B31F8F" w:rsidRPr="00E110DA" w:rsidRDefault="00B31F8F" w:rsidP="00B31F8F">
      <w:pPr>
        <w:spacing w:line="360" w:lineRule="auto"/>
        <w:ind w:left="120" w:hangingChars="50" w:hanging="120"/>
        <w:jc w:val="left"/>
        <w:rPr>
          <w:rFonts w:ascii="Times New Roman" w:hAnsi="Times New Roman"/>
          <w:noProof/>
          <w:lang w:val="en-GB"/>
        </w:rPr>
      </w:pPr>
      <w:r w:rsidRPr="00E110DA">
        <w:rPr>
          <w:rFonts w:ascii="Times New Roman" w:hAnsi="Times New Roman"/>
          <w:noProof/>
        </w:rPr>
        <w:drawing>
          <wp:inline distT="0" distB="0" distL="0" distR="0" wp14:anchorId="1FB0E7D8" wp14:editId="60BB0A6E">
            <wp:extent cx="4634615" cy="2999574"/>
            <wp:effectExtent l="0" t="0" r="127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pp fig 2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975" cy="30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0DA">
        <w:rPr>
          <w:rFonts w:ascii="Times New Roman" w:hAnsi="Times New Roman"/>
          <w:noProof/>
          <w:lang w:val="en-GB"/>
        </w:rPr>
        <w:t>Percentile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t>Horizontal axis is threshold percentile of operative time between easy and difficult cases. Vertical axis is hit rate of preoperative assessment system in HALapNx. The black line represents HREC,</w:t>
      </w:r>
      <w:r w:rsidRPr="00E110DA">
        <w:rPr>
          <w:rFonts w:ascii="Times New Roman" w:hAnsi="Times New Roman"/>
        </w:rPr>
        <w:t xml:space="preserve"> and the </w:t>
      </w:r>
      <w:r w:rsidRPr="00E110DA">
        <w:rPr>
          <w:rFonts w:ascii="Times New Roman" w:hAnsi="Times New Roman"/>
          <w:lang w:val="en-GB"/>
        </w:rPr>
        <w:t>dashed line represents HRDC. Mean hit rate of difficult cases in all thresholds was 70.95 ± 24.27%; median was 61.90%. Mean hit rate of easy cases was 87.97 ± 15.74%; median was 93.75%. PDA: predictive discriminant analysis.</w:t>
      </w: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rPr>
          <w:sz w:val="16"/>
          <w:szCs w:val="16"/>
        </w:rPr>
      </w:pP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lastRenderedPageBreak/>
        <w:t>S</w:t>
      </w:r>
      <w:r w:rsidR="00FC42DB">
        <w:rPr>
          <w:rFonts w:ascii="Times New Roman" w:hAnsi="Times New Roman"/>
          <w:lang w:val="en-GB"/>
        </w:rPr>
        <w:t>4</w:t>
      </w:r>
      <w:bookmarkStart w:id="0" w:name="_GoBack"/>
      <w:bookmarkEnd w:id="0"/>
      <w:r>
        <w:rPr>
          <w:rFonts w:ascii="Times New Roman" w:hAnsi="Times New Roman"/>
          <w:lang w:val="en-GB"/>
        </w:rPr>
        <w:t xml:space="preserve"> Fig</w:t>
      </w:r>
      <w:r w:rsidRPr="00E110DA">
        <w:rPr>
          <w:rFonts w:ascii="Times New Roman" w:hAnsi="Times New Roman"/>
          <w:lang w:val="en-GB"/>
        </w:rPr>
        <w:t>8. Changes in sensitivity and specificity of difficult cases in PDA according to threshold percentile of operative time between easy and difficult cases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noProof/>
        </w:rPr>
        <w:softHyphen/>
      </w:r>
      <w:r w:rsidRPr="00E110DA">
        <w:rPr>
          <w:rFonts w:ascii="Times New Roman" w:hAnsi="Times New Roman"/>
          <w:noProof/>
        </w:rPr>
        <w:softHyphen/>
      </w:r>
      <w:r w:rsidRPr="00E110DA">
        <w:rPr>
          <w:rFonts w:ascii="Times New Roman" w:hAnsi="Times New Roman"/>
          <w:noProof/>
        </w:rPr>
        <w:softHyphen/>
      </w:r>
      <w:r w:rsidRPr="00E110DA">
        <w:rPr>
          <w:rFonts w:ascii="Times New Roman" w:hAnsi="Times New Roman"/>
          <w:lang w:val="en-GB"/>
        </w:rPr>
        <w:t xml:space="preserve"> Sensitivity/Specificity</w:t>
      </w:r>
    </w:p>
    <w:p w:rsidR="00B31F8F" w:rsidRPr="00E110DA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noProof/>
        </w:rPr>
        <w:drawing>
          <wp:inline distT="0" distB="0" distL="0" distR="0" wp14:anchorId="028C0A50" wp14:editId="51744533">
            <wp:extent cx="4554909" cy="2952276"/>
            <wp:effectExtent l="0" t="0" r="444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pp fig 3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632" cy="29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10DA">
        <w:rPr>
          <w:rFonts w:ascii="Times New Roman" w:hAnsi="Times New Roman"/>
          <w:lang w:val="en-GB"/>
        </w:rPr>
        <w:t>Percentile</w:t>
      </w:r>
    </w:p>
    <w:p w:rsidR="00B31F8F" w:rsidRPr="00E65D39" w:rsidRDefault="00B31F8F" w:rsidP="00B31F8F">
      <w:pPr>
        <w:spacing w:line="360" w:lineRule="auto"/>
        <w:jc w:val="left"/>
        <w:rPr>
          <w:rFonts w:ascii="Times New Roman" w:hAnsi="Times New Roman"/>
          <w:lang w:val="en-GB"/>
        </w:rPr>
      </w:pPr>
      <w:r w:rsidRPr="00E110DA">
        <w:rPr>
          <w:rFonts w:ascii="Times New Roman" w:hAnsi="Times New Roman"/>
          <w:lang w:val="en-GB"/>
        </w:rPr>
        <w:t>Horizontal axis is threshold percentile of operative time between easy and difficult cases. Vertical axis is hit rate of preoperative assessment system in HALapNx. The black line represents sensitivity</w:t>
      </w:r>
      <w:r w:rsidRPr="00E110DA">
        <w:rPr>
          <w:rFonts w:ascii="Times New Roman" w:hAnsi="Times New Roman"/>
        </w:rPr>
        <w:t xml:space="preserve"> and the </w:t>
      </w:r>
      <w:r w:rsidRPr="00E110DA">
        <w:rPr>
          <w:rFonts w:ascii="Times New Roman" w:hAnsi="Times New Roman"/>
          <w:lang w:val="en-GB"/>
        </w:rPr>
        <w:t>dashed line represents specificity for easy cases. Mean sensitivity for easy cases throughout all thresholds was 92.00 ± 5.88%; median was 88.00%. Mean specificity for easy cases was 86.08 ± 9.39%; median was 80.95%. PDA: predictive discriminant analysis.</w:t>
      </w:r>
    </w:p>
    <w:p w:rsidR="00B31F8F" w:rsidRDefault="00B31F8F" w:rsidP="00B31F8F">
      <w:pPr>
        <w:spacing w:line="360" w:lineRule="auto"/>
        <w:rPr>
          <w:sz w:val="16"/>
          <w:szCs w:val="16"/>
        </w:rPr>
      </w:pPr>
    </w:p>
    <w:p w:rsidR="00B31F8F" w:rsidRDefault="00B31F8F" w:rsidP="00B31F8F">
      <w:pPr>
        <w:spacing w:line="360" w:lineRule="auto"/>
        <w:rPr>
          <w:sz w:val="16"/>
          <w:szCs w:val="16"/>
        </w:rPr>
      </w:pPr>
    </w:p>
    <w:p w:rsidR="00B31F8F" w:rsidRPr="005423FB" w:rsidRDefault="00B31F8F" w:rsidP="00B31F8F">
      <w:pPr>
        <w:rPr>
          <w:sz w:val="16"/>
          <w:szCs w:val="16"/>
        </w:rPr>
      </w:pPr>
    </w:p>
    <w:p w:rsidR="00B31F8F" w:rsidRDefault="00B31F8F"/>
    <w:sectPr w:rsidR="00B31F8F" w:rsidSect="00C42CD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8F"/>
    <w:rsid w:val="0005506A"/>
    <w:rsid w:val="0007209E"/>
    <w:rsid w:val="000C1000"/>
    <w:rsid w:val="000C3F02"/>
    <w:rsid w:val="000D733F"/>
    <w:rsid w:val="000F1A26"/>
    <w:rsid w:val="00113958"/>
    <w:rsid w:val="00160CA9"/>
    <w:rsid w:val="00183E86"/>
    <w:rsid w:val="001B0831"/>
    <w:rsid w:val="001B5D14"/>
    <w:rsid w:val="001C6475"/>
    <w:rsid w:val="001E4958"/>
    <w:rsid w:val="001F376A"/>
    <w:rsid w:val="002162C0"/>
    <w:rsid w:val="00217B27"/>
    <w:rsid w:val="002343E3"/>
    <w:rsid w:val="00240D80"/>
    <w:rsid w:val="00253296"/>
    <w:rsid w:val="00260A73"/>
    <w:rsid w:val="00265BC6"/>
    <w:rsid w:val="00277DE8"/>
    <w:rsid w:val="00281FB0"/>
    <w:rsid w:val="002D4AE0"/>
    <w:rsid w:val="002E5CF8"/>
    <w:rsid w:val="002F7286"/>
    <w:rsid w:val="0030755F"/>
    <w:rsid w:val="00341408"/>
    <w:rsid w:val="00382B3B"/>
    <w:rsid w:val="00392930"/>
    <w:rsid w:val="00396D0B"/>
    <w:rsid w:val="003C5EC1"/>
    <w:rsid w:val="00404247"/>
    <w:rsid w:val="004068A1"/>
    <w:rsid w:val="0041226B"/>
    <w:rsid w:val="00420A3A"/>
    <w:rsid w:val="004350E6"/>
    <w:rsid w:val="00436EA2"/>
    <w:rsid w:val="004503A4"/>
    <w:rsid w:val="00461447"/>
    <w:rsid w:val="00466EB1"/>
    <w:rsid w:val="004738A8"/>
    <w:rsid w:val="004908DB"/>
    <w:rsid w:val="004C122B"/>
    <w:rsid w:val="004C12BB"/>
    <w:rsid w:val="004C6552"/>
    <w:rsid w:val="004D123B"/>
    <w:rsid w:val="004D6601"/>
    <w:rsid w:val="005840F7"/>
    <w:rsid w:val="005A7CA8"/>
    <w:rsid w:val="005B67B8"/>
    <w:rsid w:val="006133BF"/>
    <w:rsid w:val="0062379D"/>
    <w:rsid w:val="006268CE"/>
    <w:rsid w:val="00650CA4"/>
    <w:rsid w:val="00676703"/>
    <w:rsid w:val="006B32E0"/>
    <w:rsid w:val="006E129E"/>
    <w:rsid w:val="00703163"/>
    <w:rsid w:val="0070646A"/>
    <w:rsid w:val="007563DB"/>
    <w:rsid w:val="00763F07"/>
    <w:rsid w:val="00771D0D"/>
    <w:rsid w:val="007971DE"/>
    <w:rsid w:val="007D33C8"/>
    <w:rsid w:val="00801A57"/>
    <w:rsid w:val="00832AC7"/>
    <w:rsid w:val="00835D0C"/>
    <w:rsid w:val="008A415D"/>
    <w:rsid w:val="008D4BE9"/>
    <w:rsid w:val="008D77AB"/>
    <w:rsid w:val="008E1F88"/>
    <w:rsid w:val="00904E5A"/>
    <w:rsid w:val="00951651"/>
    <w:rsid w:val="00981F5C"/>
    <w:rsid w:val="00990267"/>
    <w:rsid w:val="009A2780"/>
    <w:rsid w:val="009C071C"/>
    <w:rsid w:val="009E1DD5"/>
    <w:rsid w:val="00A32CE9"/>
    <w:rsid w:val="00A41466"/>
    <w:rsid w:val="00AF1459"/>
    <w:rsid w:val="00B31F8F"/>
    <w:rsid w:val="00B44F12"/>
    <w:rsid w:val="00B51E56"/>
    <w:rsid w:val="00BB2BAA"/>
    <w:rsid w:val="00BE0399"/>
    <w:rsid w:val="00BE6C3F"/>
    <w:rsid w:val="00BF1FFF"/>
    <w:rsid w:val="00BF4722"/>
    <w:rsid w:val="00C06FA2"/>
    <w:rsid w:val="00C42CDF"/>
    <w:rsid w:val="00C44537"/>
    <w:rsid w:val="00CF4ED7"/>
    <w:rsid w:val="00D434EF"/>
    <w:rsid w:val="00D61916"/>
    <w:rsid w:val="00D72B5E"/>
    <w:rsid w:val="00DA46BD"/>
    <w:rsid w:val="00DA5993"/>
    <w:rsid w:val="00DA740F"/>
    <w:rsid w:val="00DD6C2A"/>
    <w:rsid w:val="00DE0CCB"/>
    <w:rsid w:val="00E13D52"/>
    <w:rsid w:val="00E24F50"/>
    <w:rsid w:val="00E31A33"/>
    <w:rsid w:val="00E35E76"/>
    <w:rsid w:val="00E46734"/>
    <w:rsid w:val="00E7524B"/>
    <w:rsid w:val="00EC5434"/>
    <w:rsid w:val="00EC5B71"/>
    <w:rsid w:val="00F07062"/>
    <w:rsid w:val="00F2019E"/>
    <w:rsid w:val="00F22217"/>
    <w:rsid w:val="00F23B99"/>
    <w:rsid w:val="00F242C1"/>
    <w:rsid w:val="00F27640"/>
    <w:rsid w:val="00F750E8"/>
    <w:rsid w:val="00F87735"/>
    <w:rsid w:val="00F954A3"/>
    <w:rsid w:val="00F955D9"/>
    <w:rsid w:val="00F95FD0"/>
    <w:rsid w:val="00FC1002"/>
    <w:rsid w:val="00FC42DB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446E1"/>
  <w15:chartTrackingRefBased/>
  <w15:docId w15:val="{3A8DCBC1-95D6-5D4A-82EE-B245D41F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F8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8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岩藤和広</dc:creator>
  <cp:keywords/>
  <dc:description/>
  <cp:lastModifiedBy>岩藤和広</cp:lastModifiedBy>
  <cp:revision>3</cp:revision>
  <dcterms:created xsi:type="dcterms:W3CDTF">2018-11-26T04:25:00Z</dcterms:created>
  <dcterms:modified xsi:type="dcterms:W3CDTF">2018-11-26T04:39:00Z</dcterms:modified>
</cp:coreProperties>
</file>