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5F8B"/>
          <w:sz w:val="16"/>
          <w:szCs w:val="16"/>
        </w:rPr>
        <w:t xml:space="preserve">PROJECT PROPOSAL  ·  MINISTRY OF WORKS GENERAL CONDITIONS OF CONTRACT</w:t>
      </w:r>
    </w:p>
    <w:p>
      <w:pPr>
        <w:spacing w:after="140"/>
      </w:pPr>
      <w:r>
        <w:rPr>
          <w:rFonts w:ascii="Calibri" w:cs="Calibri" w:eastAsia="Calibri" w:hAnsi="Calibri"/>
          <w:b/>
          <w:bCs/>
          <w:color w:val="16202B"/>
          <w:sz w:val="52"/>
          <w:szCs w:val="52"/>
        </w:rPr>
        <w:t xml:space="preserve">Contract Lifecycle &amp; Settlement Engine</w:t>
      </w:r>
    </w:p>
    <w:p>
      <w:pPr>
        <w:pBdr>
          <w:bottom w:val="single" w:color="16202B" w:sz="12" w:space="10"/>
        </w:pBdr>
        <w:spacing w:after="300" w:line="300"/>
      </w:pPr>
      <w:r>
        <w:rPr>
          <w:color w:val="4A5867"/>
          <w:sz w:val="23"/>
          <w:szCs w:val="23"/>
        </w:rPr>
        <w:t xml:space="preserve">Carrying a works contract from award to final account inside the admin — the registers that were missing, now held, and the whole settlement under one tested engine.</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2340"/>
        <w:gridCol w:w="2340"/>
        <w:gridCol w:w="2340"/>
        <w:gridCol w:w="2340"/>
      </w:tblGrid>
      <w:tr>
        <w:tc>
          <w:tcPr>
            <w:tcW w:type="dxa" w:w="2340"/>
            <w:shd w:fill="EEF2F5" w:color="auto" w:val="clear"/>
            <w:tcMar>
              <w:top w:type="dxa" w:w="90"/>
              <w:left w:type="dxa" w:w="120"/>
              <w:bottom w:type="dxa" w:w="90"/>
              <w:right w:type="dxa" w:w="120"/>
            </w:tcMar>
          </w:tcPr>
          <w:p>
            <w:pPr>
              <w:spacing w:after="0"/>
            </w:pPr>
            <w:r>
              <w:rPr>
                <w:b/>
                <w:bCs/>
                <w:color w:val="75828F"/>
                <w:sz w:val="16"/>
                <w:szCs w:val="16"/>
              </w:rPr>
              <w:t xml:space="preserve">PILOT CONTRACT</w:t>
            </w:r>
          </w:p>
        </w:tc>
        <w:tc>
          <w:tcPr>
            <w:tcW w:type="dxa" w:w="2340"/>
            <w:shd w:fill="EEF2F5" w:color="auto" w:val="clear"/>
            <w:tcMar>
              <w:top w:type="dxa" w:w="90"/>
              <w:left w:type="dxa" w:w="120"/>
              <w:bottom w:type="dxa" w:w="90"/>
              <w:right w:type="dxa" w:w="120"/>
            </w:tcMar>
          </w:tcPr>
          <w:p>
            <w:pPr>
              <w:spacing w:after="0"/>
            </w:pPr>
            <w:r>
              <w:rPr>
                <w:b/>
                <w:bCs/>
                <w:color w:val="75828F"/>
                <w:sz w:val="16"/>
                <w:szCs w:val="16"/>
              </w:rPr>
              <w:t xml:space="preserve">DURATION</w:t>
            </w:r>
          </w:p>
        </w:tc>
        <w:tc>
          <w:tcPr>
            <w:tcW w:type="dxa" w:w="2340"/>
            <w:shd w:fill="EEF2F5" w:color="auto" w:val="clear"/>
            <w:tcMar>
              <w:top w:type="dxa" w:w="90"/>
              <w:left w:type="dxa" w:w="120"/>
              <w:bottom w:type="dxa" w:w="90"/>
              <w:right w:type="dxa" w:w="120"/>
            </w:tcMar>
          </w:tcPr>
          <w:p>
            <w:pPr>
              <w:spacing w:after="0"/>
            </w:pPr>
            <w:r>
              <w:rPr>
                <w:b/>
                <w:bCs/>
                <w:color w:val="75828F"/>
                <w:sz w:val="16"/>
                <w:szCs w:val="16"/>
              </w:rPr>
              <w:t xml:space="preserve">BASELINE</w:t>
            </w:r>
          </w:p>
        </w:tc>
        <w:tc>
          <w:tcPr>
            <w:tcW w:type="dxa" w:w="2340"/>
            <w:shd w:fill="EEF2F5" w:color="auto" w:val="clear"/>
            <w:tcMar>
              <w:top w:type="dxa" w:w="90"/>
              <w:left w:type="dxa" w:w="120"/>
              <w:bottom w:type="dxa" w:w="90"/>
              <w:right w:type="dxa" w:w="120"/>
            </w:tcMar>
          </w:tcPr>
          <w:p>
            <w:pPr>
              <w:spacing w:after="0"/>
            </w:pPr>
            <w:r>
              <w:rPr>
                <w:b/>
                <w:bCs/>
                <w:color w:val="75828F"/>
                <w:sz w:val="16"/>
                <w:szCs w:val="16"/>
              </w:rPr>
              <w:t xml:space="preserve">ENGINE</w:t>
            </w:r>
          </w:p>
        </w:tc>
      </w:tr>
      <w:tr>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CTR-00001 Mkonze road</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6 weeks</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18 of 22 stages live</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Rust · WebAssembly</w:t>
            </w:r>
          </w:p>
        </w:tc>
      </w:tr>
    </w:tbl>
    <w:p>
      <w:pPr>
        <w:spacing w:after="120" w:before="400"/>
      </w:pPr>
      <w:r>
        <w:rPr>
          <w:rFonts w:ascii="Calibri" w:cs="Calibri" w:eastAsia="Calibri" w:hAnsi="Calibri"/>
          <w:b/>
          <w:bCs/>
          <w:color w:val="75828F"/>
          <w:sz w:val="18"/>
          <w:szCs w:val="1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9DDD8" w:sz="6" w:space="6"/>
        </w:pBdr>
        <w:spacing w:after="160" w:before="380"/>
      </w:pPr>
      <w:r>
        <w:rPr>
          <w:b/>
          <w:bCs/>
          <w:color w:val="16202B"/>
          <w:sz w:val="30"/>
          <w:szCs w:val="30"/>
        </w:rPr>
        <w:t xml:space="preserve">Executive Summary</w:t>
      </w:r>
    </w:p>
    <w:p>
      <w:pPr>
        <w:spacing w:after="160" w:line="300"/>
      </w:pPr>
      <w:r>
        <w:rPr>
          <w:color w:val="16202B"/>
          <w:sz w:val="21"/>
          <w:szCs w:val="21"/>
        </w:rPr>
        <w:t xml:space="preserve">The system already certifies payment on a Ministry of Works contract. It holds 55 GCC clauses, computes FIDIC Clause 13.8 price adjustment in three variants, folds the retention and advance-recovery chain in a tested Rust engine, and posts the result into a double-entry ledger. Eighteen of the twenty-two lifecycle stages are live on a real contract.</w:t>
      </w:r>
    </w:p>
    <w:p>
      <w:pPr>
        <w:spacing w:after="160" w:line="300"/>
      </w:pPr>
      <w:r>
        <w:rPr>
          <w:color w:val="16202B"/>
          <w:sz w:val="21"/>
          <w:szCs w:val="21"/>
        </w:rPr>
        <w:t xml:space="preserve">What it cannot yet do is evidence quality, and value work that falls outside the bill. There is no test register, so a failed concrete cube lives in somebody’s email. There is no dayworks book, so varied work paid on a time basis is valued by hand. And there is no cash flow forecast, so nobody can say whether the money is arriving when the programme said it would.</w:t>
      </w:r>
    </w:p>
    <w:p>
      <w:pPr>
        <w:spacing w:after="160" w:line="300"/>
      </w:pPr>
      <w:r>
        <w:rPr>
          <w:color w:val="16202B"/>
          <w:sz w:val="21"/>
          <w:szCs w:val="21"/>
        </w:rPr>
        <w:t xml:space="preserve">Those registers are now closed. The settlement engine values dayworks, reads the test register and measures forecast variance, and the printed certificates the Employer signs come off the same fold as the figures on screen. What follows records what was built, the rules it enforces, and what remains.</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1872"/>
        <w:gridCol w:w="1872"/>
        <w:gridCol w:w="1872"/>
        <w:gridCol w:w="1872"/>
        <w:gridCol w:w="1872"/>
      </w:tblGrid>
      <w:tr>
        <w:tc>
          <w:tcPr>
            <w:tcW w:type="dxa" w:w="1872"/>
            <w:shd w:fill="EEF2F5" w:color="auto" w:val="clear"/>
            <w:tcMar>
              <w:top w:type="dxa" w:w="90"/>
              <w:left w:type="dxa" w:w="120"/>
              <w:bottom w:type="dxa" w:w="90"/>
              <w:right w:type="dxa" w:w="120"/>
            </w:tcMar>
          </w:tcPr>
          <w:p>
            <w:pPr>
              <w:spacing w:after="0"/>
            </w:pPr>
            <w:r>
              <w:rPr>
                <w:b/>
                <w:bCs/>
                <w:color w:val="75828F"/>
                <w:sz w:val="16"/>
                <w:szCs w:val="16"/>
              </w:rPr>
              <w:t xml:space="preserve">STAGES LIVE</w:t>
            </w:r>
          </w:p>
        </w:tc>
        <w:tc>
          <w:tcPr>
            <w:tcW w:type="dxa" w:w="1872"/>
            <w:shd w:fill="EEF2F5" w:color="auto" w:val="clear"/>
            <w:tcMar>
              <w:top w:type="dxa" w:w="90"/>
              <w:left w:type="dxa" w:w="120"/>
              <w:bottom w:type="dxa" w:w="90"/>
              <w:right w:type="dxa" w:w="120"/>
            </w:tcMar>
          </w:tcPr>
          <w:p>
            <w:pPr>
              <w:spacing w:after="0"/>
            </w:pPr>
            <w:r>
              <w:rPr>
                <w:b/>
                <w:bCs/>
                <w:color w:val="75828F"/>
                <w:sz w:val="16"/>
                <w:szCs w:val="16"/>
              </w:rPr>
              <w:t xml:space="preserve">TO BUILD</w:t>
            </w:r>
          </w:p>
        </w:tc>
        <w:tc>
          <w:tcPr>
            <w:tcW w:type="dxa" w:w="1872"/>
            <w:shd w:fill="EEF2F5" w:color="auto" w:val="clear"/>
            <w:tcMar>
              <w:top w:type="dxa" w:w="90"/>
              <w:left w:type="dxa" w:w="120"/>
              <w:bottom w:type="dxa" w:w="90"/>
              <w:right w:type="dxa" w:w="120"/>
            </w:tcMar>
          </w:tcPr>
          <w:p>
            <w:pPr>
              <w:spacing w:after="0"/>
            </w:pPr>
            <w:r>
              <w:rPr>
                <w:b/>
                <w:bCs/>
                <w:color w:val="75828F"/>
                <w:sz w:val="16"/>
                <w:szCs w:val="16"/>
              </w:rPr>
              <w:t xml:space="preserve">CLAUSES</w:t>
            </w:r>
          </w:p>
        </w:tc>
        <w:tc>
          <w:tcPr>
            <w:tcW w:type="dxa" w:w="1872"/>
            <w:shd w:fill="EEF2F5" w:color="auto" w:val="clear"/>
            <w:tcMar>
              <w:top w:type="dxa" w:w="90"/>
              <w:left w:type="dxa" w:w="120"/>
              <w:bottom w:type="dxa" w:w="90"/>
              <w:right w:type="dxa" w:w="120"/>
            </w:tcMar>
          </w:tcPr>
          <w:p>
            <w:pPr>
              <w:spacing w:after="0"/>
            </w:pPr>
            <w:r>
              <w:rPr>
                <w:b/>
                <w:bCs/>
                <w:color w:val="75828F"/>
                <w:sz w:val="16"/>
                <w:szCs w:val="16"/>
              </w:rPr>
              <w:t xml:space="preserve">ENGINE TESTS</w:t>
            </w:r>
          </w:p>
        </w:tc>
        <w:tc>
          <w:tcPr>
            <w:tcW w:type="dxa" w:w="1872"/>
            <w:shd w:fill="EEF2F5" w:color="auto" w:val="clear"/>
            <w:tcMar>
              <w:top w:type="dxa" w:w="90"/>
              <w:left w:type="dxa" w:w="120"/>
              <w:bottom w:type="dxa" w:w="90"/>
              <w:right w:type="dxa" w:w="120"/>
            </w:tcMar>
          </w:tcPr>
          <w:p>
            <w:pPr>
              <w:spacing w:after="0"/>
            </w:pPr>
            <w:r>
              <w:rPr>
                <w:b/>
                <w:bCs/>
                <w:color w:val="75828F"/>
                <w:sz w:val="16"/>
                <w:szCs w:val="16"/>
              </w:rPr>
              <w:t xml:space="preserve">DURATION</w:t>
            </w:r>
          </w:p>
        </w:tc>
      </w:tr>
      <w:tr>
        <w:tc>
          <w:tcPr>
            <w:tcW w:type="dxa" w:w="1872"/>
            <w:tcMar>
              <w:top w:type="dxa" w:w="90"/>
              <w:left w:type="dxa" w:w="120"/>
              <w:bottom w:type="dxa" w:w="90"/>
              <w:right w:type="dxa" w:w="120"/>
            </w:tcMar>
          </w:tcPr>
          <w:p>
            <w:pPr>
              <w:spacing w:after="0" w:line="260"/>
              <w:jc w:val="left"/>
            </w:pPr>
            <w:r>
              <w:rPr>
                <w:b/>
                <w:bCs/>
                <w:color w:val="16202B"/>
                <w:sz w:val="18"/>
                <w:szCs w:val="18"/>
              </w:rPr>
              <w:t xml:space="preserve">18 of 22</w:t>
            </w:r>
          </w:p>
        </w:tc>
        <w:tc>
          <w:tcPr>
            <w:tcW w:type="dxa" w:w="1872"/>
            <w:tcMar>
              <w:top w:type="dxa" w:w="90"/>
              <w:left w:type="dxa" w:w="120"/>
              <w:bottom w:type="dxa" w:w="90"/>
              <w:right w:type="dxa" w:w="120"/>
            </w:tcMar>
          </w:tcPr>
          <w:p>
            <w:pPr>
              <w:spacing w:after="0" w:line="260"/>
              <w:jc w:val="left"/>
            </w:pPr>
            <w:r>
              <w:rPr>
                <w:b/>
                <w:bCs/>
                <w:color w:val="16202B"/>
                <w:sz w:val="18"/>
                <w:szCs w:val="18"/>
              </w:rPr>
              <w:t xml:space="preserve">3 registers</w:t>
            </w:r>
          </w:p>
        </w:tc>
        <w:tc>
          <w:tcPr>
            <w:tcW w:type="dxa" w:w="1872"/>
            <w:tcMar>
              <w:top w:type="dxa" w:w="90"/>
              <w:left w:type="dxa" w:w="120"/>
              <w:bottom w:type="dxa" w:w="90"/>
              <w:right w:type="dxa" w:w="120"/>
            </w:tcMar>
          </w:tcPr>
          <w:p>
            <w:pPr>
              <w:spacing w:after="0" w:line="260"/>
              <w:jc w:val="left"/>
            </w:pPr>
            <w:r>
              <w:rPr>
                <w:b/>
                <w:bCs/>
                <w:color w:val="16202B"/>
                <w:sz w:val="18"/>
                <w:szCs w:val="18"/>
              </w:rPr>
              <w:t xml:space="preserve">55</w:t>
            </w:r>
          </w:p>
        </w:tc>
        <w:tc>
          <w:tcPr>
            <w:tcW w:type="dxa" w:w="1872"/>
            <w:tcMar>
              <w:top w:type="dxa" w:w="90"/>
              <w:left w:type="dxa" w:w="120"/>
              <w:bottom w:type="dxa" w:w="90"/>
              <w:right w:type="dxa" w:w="120"/>
            </w:tcMar>
          </w:tcPr>
          <w:p>
            <w:pPr>
              <w:spacing w:after="0" w:line="260"/>
              <w:jc w:val="left"/>
            </w:pPr>
            <w:r>
              <w:rPr>
                <w:b/>
                <w:bCs/>
                <w:color w:val="16202B"/>
                <w:sz w:val="18"/>
                <w:szCs w:val="18"/>
              </w:rPr>
              <w:t xml:space="preserve">19</w:t>
            </w:r>
          </w:p>
        </w:tc>
        <w:tc>
          <w:tcPr>
            <w:tcW w:type="dxa" w:w="1872"/>
            <w:tcMar>
              <w:top w:type="dxa" w:w="90"/>
              <w:left w:type="dxa" w:w="120"/>
              <w:bottom w:type="dxa" w:w="90"/>
              <w:right w:type="dxa" w:w="120"/>
            </w:tcMar>
          </w:tcPr>
          <w:p>
            <w:pPr>
              <w:spacing w:after="0" w:line="260"/>
              <w:jc w:val="left"/>
            </w:pPr>
            <w:r>
              <w:rPr>
                <w:b/>
                <w:bCs/>
                <w:color w:val="16202B"/>
                <w:sz w:val="18"/>
                <w:szCs w:val="18"/>
              </w:rPr>
              <w:t xml:space="preserve">6 weeks</w:t>
            </w:r>
          </w:p>
        </w:tc>
      </w:tr>
    </w:tbl>
    <w:p>
      <w:pPr>
        <w:pStyle w:val="Heading1"/>
        <w:pBdr>
          <w:bottom w:val="single" w:color="D9DDD8" w:sz="6" w:space="6"/>
        </w:pBdr>
        <w:spacing w:after="160" w:before="380"/>
      </w:pPr>
      <w:r>
        <w:rPr>
          <w:b/>
          <w:bCs/>
          <w:color w:val="1F5F8B"/>
          <w:sz w:val="30"/>
          <w:szCs w:val="30"/>
        </w:rPr>
        <w:t xml:space="preserve">1.  </w:t>
      </w:r>
      <w:r>
        <w:rPr>
          <w:b/>
          <w:bCs/>
          <w:color w:val="16202B"/>
          <w:sz w:val="30"/>
          <w:szCs w:val="30"/>
        </w:rPr>
        <w:t xml:space="preserve">The Problem</w:t>
      </w:r>
    </w:p>
    <w:p>
      <w:pPr>
        <w:spacing w:after="160" w:line="300"/>
      </w:pPr>
      <w:r>
        <w:rPr>
          <w:color w:val="16202B"/>
          <w:sz w:val="21"/>
          <w:szCs w:val="21"/>
        </w:rPr>
        <w:t xml:space="preserve">A contract does not end when the works stop. It ends when the completion certificate is issued, the works are taken over, the defects liability period expires with defects corrected, and the final account is agreed. Three of the records that carry a contract through that sequence are still kept outside the system — on paper, in spreadsheets, or in the project manager’s memory.</w:t>
      </w:r>
    </w:p>
    <w:p>
      <w:pPr>
        <w:pStyle w:val="Heading2"/>
        <w:spacing w:after="110" w:before="280"/>
      </w:pPr>
      <w:r>
        <w:rPr>
          <w:b/>
          <w:bCs/>
          <w:color w:val="75828F"/>
          <w:sz w:val="23"/>
          <w:szCs w:val="23"/>
        </w:rPr>
        <w:t xml:space="preserve">1.1  </w:t>
      </w:r>
      <w:r>
        <w:rPr>
          <w:b/>
          <w:bCs/>
          <w:color w:val="16202B"/>
          <w:sz w:val="23"/>
          <w:szCs w:val="23"/>
        </w:rPr>
        <w:t xml:space="preserve">Current baseline capabilities</w:t>
      </w:r>
    </w:p>
    <w:p>
      <w:pPr>
        <w:spacing w:after="160" w:line="300"/>
      </w:pPr>
      <w:r>
        <w:rPr>
          <w:color w:val="16202B"/>
          <w:sz w:val="21"/>
          <w:szCs w:val="21"/>
        </w:rPr>
        <w:t xml:space="preserve">The following are live today and running against CTR-00001, a road rehabilitation contract with two certificates issued:</w:t>
      </w:r>
    </w:p>
    <w:p>
      <w:pPr>
        <w:pStyle w:val="ListParagraph"/>
        <w:numPr>
          <w:ilvl w:val="0"/>
          <w:numId w:val="2"/>
        </w:numPr>
        <w:spacing w:after="90" w:line="290"/>
      </w:pPr>
      <w:r>
        <w:rPr>
          <w:b/>
          <w:bCs/>
          <w:color w:val="16202B"/>
          <w:sz w:val="21"/>
          <w:szCs w:val="21"/>
        </w:rPr>
        <w:t xml:space="preserve">Registers</w:t>
      </w:r>
      <w:r>
        <w:rPr>
          <w:color w:val="16202B"/>
          <w:sz w:val="21"/>
          <w:szCs w:val="21"/>
        </w:rPr>
        <w:t xml:space="preserve"> — variations, compensation events, extensions of time, early warnings, defects, securities and insurance, each citing the clause that governs it.</w:t>
      </w:r>
    </w:p>
    <w:p>
      <w:pPr>
        <w:pStyle w:val="ListParagraph"/>
        <w:numPr>
          <w:ilvl w:val="0"/>
          <w:numId w:val="2"/>
        </w:numPr>
        <w:spacing w:after="90" w:line="290"/>
      </w:pPr>
      <w:r>
        <w:rPr>
          <w:b/>
          <w:bCs/>
          <w:color w:val="16202B"/>
          <w:sz w:val="21"/>
          <w:szCs w:val="21"/>
        </w:rPr>
        <w:t xml:space="preserve">Certificates</w:t>
      </w:r>
      <w:r>
        <w:rPr>
          <w:color w:val="16202B"/>
          <w:sz w:val="21"/>
          <w:szCs w:val="21"/>
        </w:rPr>
        <w:t xml:space="preserve"> — measured works, Clause 13.8 price adjustment, retention, advance recovery, VAT and net payable, computed by the engine.</w:t>
      </w:r>
    </w:p>
    <w:p>
      <w:pPr>
        <w:pStyle w:val="ListParagraph"/>
        <w:numPr>
          <w:ilvl w:val="0"/>
          <w:numId w:val="2"/>
        </w:numPr>
        <w:spacing w:after="90" w:line="290"/>
      </w:pPr>
      <w:r>
        <w:rPr>
          <w:b/>
          <w:bCs/>
          <w:color w:val="16202B"/>
          <w:sz w:val="21"/>
          <w:szCs w:val="21"/>
        </w:rPr>
        <w:t xml:space="preserve">Closing</w:t>
      </w:r>
      <w:r>
        <w:rPr>
          <w:color w:val="16202B"/>
          <w:sz w:val="21"/>
          <w:szCs w:val="21"/>
        </w:rPr>
        <w:t xml:space="preserve"> — completion, taking over, defects liability and final account, with the defects clock starting automatically on certification.</w:t>
      </w:r>
    </w:p>
    <w:p>
      <w:pPr>
        <w:pStyle w:val="ListParagraph"/>
        <w:numPr>
          <w:ilvl w:val="0"/>
          <w:numId w:val="2"/>
        </w:numPr>
        <w:spacing w:after="90" w:line="290"/>
      </w:pPr>
      <w:r>
        <w:rPr>
          <w:b/>
          <w:bCs/>
          <w:color w:val="16202B"/>
          <w:sz w:val="21"/>
          <w:szCs w:val="21"/>
        </w:rPr>
        <w:t xml:space="preserve">Books</w:t>
      </w:r>
      <w:r>
        <w:rPr>
          <w:color w:val="16202B"/>
          <w:sz w:val="21"/>
          <w:szCs w:val="21"/>
        </w:rPr>
        <w:t xml:space="preserve"> — invoices, payments and expenses post into a balanced double-entry ledger.</w:t>
      </w:r>
    </w:p>
    <w:p>
      <w:pPr>
        <w:pStyle w:val="Heading2"/>
        <w:spacing w:after="110" w:before="280"/>
      </w:pPr>
      <w:r>
        <w:rPr>
          <w:b/>
          <w:bCs/>
          <w:color w:val="75828F"/>
          <w:sz w:val="23"/>
          <w:szCs w:val="23"/>
        </w:rPr>
        <w:t xml:space="preserve">1.2  </w:t>
      </w:r>
      <w:r>
        <w:rPr>
          <w:b/>
          <w:bCs/>
          <w:color w:val="16202B"/>
          <w:sz w:val="23"/>
          <w:szCs w:val="23"/>
        </w:rPr>
        <w:t xml:space="preserve">Identified system gaps</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1800"/>
        <w:gridCol w:w="900"/>
        <w:gridCol w:w="5160"/>
        <w:gridCol w:w="1500"/>
      </w:tblGrid>
      <w:tr>
        <w:trPr>
          <w:tblHeader/>
        </w:trPr>
        <w:tc>
          <w:tcPr>
            <w:tcW w:type="dxa" w:w="1800"/>
            <w:shd w:fill="EEF2F5" w:color="auto" w:val="clear"/>
            <w:tcMar>
              <w:top w:type="dxa" w:w="90"/>
              <w:left w:type="dxa" w:w="120"/>
              <w:bottom w:type="dxa" w:w="90"/>
              <w:right w:type="dxa" w:w="120"/>
            </w:tcMar>
          </w:tcPr>
          <w:p>
            <w:pPr>
              <w:spacing w:after="0"/>
            </w:pPr>
            <w:r>
              <w:rPr>
                <w:b/>
                <w:bCs/>
                <w:color w:val="75828F"/>
                <w:sz w:val="16"/>
                <w:szCs w:val="16"/>
              </w:rPr>
              <w:t xml:space="preserve">GAP</w:t>
            </w:r>
          </w:p>
        </w:tc>
        <w:tc>
          <w:tcPr>
            <w:tcW w:type="dxa" w:w="900"/>
            <w:shd w:fill="EEF2F5" w:color="auto" w:val="clear"/>
            <w:tcMar>
              <w:top w:type="dxa" w:w="90"/>
              <w:left w:type="dxa" w:w="120"/>
              <w:bottom w:type="dxa" w:w="90"/>
              <w:right w:type="dxa" w:w="120"/>
            </w:tcMar>
          </w:tcPr>
          <w:p>
            <w:pPr>
              <w:spacing w:after="0"/>
            </w:pPr>
            <w:r>
              <w:rPr>
                <w:b/>
                <w:bCs/>
                <w:color w:val="75828F"/>
                <w:sz w:val="16"/>
                <w:szCs w:val="16"/>
              </w:rPr>
              <w:t xml:space="preserve">CLAUSE</w:t>
            </w:r>
          </w:p>
        </w:tc>
        <w:tc>
          <w:tcPr>
            <w:tcW w:type="dxa" w:w="5160"/>
            <w:shd w:fill="EEF2F5" w:color="auto" w:val="clear"/>
            <w:tcMar>
              <w:top w:type="dxa" w:w="90"/>
              <w:left w:type="dxa" w:w="120"/>
              <w:bottom w:type="dxa" w:w="90"/>
              <w:right w:type="dxa" w:w="120"/>
            </w:tcMar>
          </w:tcPr>
          <w:p>
            <w:pPr>
              <w:spacing w:after="0"/>
            </w:pPr>
            <w:r>
              <w:rPr>
                <w:b/>
                <w:bCs/>
                <w:color w:val="75828F"/>
                <w:sz w:val="16"/>
                <w:szCs w:val="16"/>
              </w:rPr>
              <w:t xml:space="preserve">CONSEQUENCE TODAY</w:t>
            </w:r>
          </w:p>
        </w:tc>
        <w:tc>
          <w:tcPr>
            <w:tcW w:type="dxa" w:w="1500"/>
            <w:shd w:fill="EEF2F5" w:color="auto" w:val="clear"/>
            <w:tcMar>
              <w:top w:type="dxa" w:w="90"/>
              <w:left w:type="dxa" w:w="120"/>
              <w:bottom w:type="dxa" w:w="90"/>
              <w:right w:type="dxa" w:w="120"/>
            </w:tcMar>
          </w:tcPr>
          <w:p>
            <w:pPr>
              <w:spacing w:after="0"/>
            </w:pPr>
            <w:r>
              <w:rPr>
                <w:b/>
                <w:bCs/>
                <w:color w:val="75828F"/>
                <w:sz w:val="16"/>
                <w:szCs w:val="16"/>
              </w:rPr>
              <w:t xml:space="preserve">STATE</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Test register</w:t>
            </w:r>
          </w:p>
        </w:tc>
        <w:tc>
          <w:tcPr>
            <w:tcW w:type="dxa" w:w="900"/>
            <w:tcMar>
              <w:top w:type="dxa" w:w="90"/>
              <w:left w:type="dxa" w:w="120"/>
              <w:bottom w:type="dxa" w:w="90"/>
              <w:right w:type="dxa" w:w="120"/>
            </w:tcMar>
          </w:tcPr>
          <w:p>
            <w:pPr>
              <w:spacing w:after="0" w:line="260"/>
              <w:jc w:val="left"/>
            </w:pPr>
            <w:r>
              <w:rPr>
                <w:b w:val="false"/>
                <w:bCs w:val="false"/>
                <w:color w:val="16202B"/>
                <w:sz w:val="18"/>
                <w:szCs w:val="18"/>
              </w:rPr>
              <w:t xml:space="preserve">37</w:t>
            </w:r>
          </w:p>
        </w:tc>
        <w:tc>
          <w:tcPr>
            <w:tcW w:type="dxa" w:w="5160"/>
            <w:tcMar>
              <w:top w:type="dxa" w:w="90"/>
              <w:left w:type="dxa" w:w="120"/>
              <w:bottom w:type="dxa" w:w="90"/>
              <w:right w:type="dxa" w:w="120"/>
            </w:tcMar>
          </w:tcPr>
          <w:p>
            <w:pPr>
              <w:spacing w:after="0" w:line="260"/>
              <w:jc w:val="left"/>
            </w:pPr>
            <w:r>
              <w:rPr>
                <w:b w:val="false"/>
                <w:bCs w:val="false"/>
                <w:color w:val="16202B"/>
                <w:sz w:val="18"/>
                <w:szCs w:val="18"/>
              </w:rPr>
              <w:t xml:space="preserve">Test results were held outside the system, so a failed test raised no defect and could not be evidenced at final account.</w:t>
            </w:r>
          </w:p>
        </w:tc>
        <w:tc>
          <w:tcPr>
            <w:tcW w:type="dxa" w:w="1500"/>
            <w:tcMar>
              <w:top w:type="dxa" w:w="90"/>
              <w:left w:type="dxa" w:w="120"/>
              <w:bottom w:type="dxa" w:w="90"/>
              <w:right w:type="dxa" w:w="120"/>
            </w:tcMar>
          </w:tcPr>
          <w:p>
            <w:pPr>
              <w:spacing w:after="0" w:line="260"/>
              <w:jc w:val="left"/>
            </w:pPr>
            <w:r>
              <w:rPr>
                <w:b w:val="false"/>
                <w:bCs w:val="false"/>
                <w:color w:val="16202B"/>
                <w:sz w:val="18"/>
                <w:szCs w:val="18"/>
              </w:rPr>
              <w:t xml:space="preserve">Closed</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Dayworks</w:t>
            </w:r>
          </w:p>
        </w:tc>
        <w:tc>
          <w:tcPr>
            <w:tcW w:type="dxa" w:w="900"/>
            <w:tcMar>
              <w:top w:type="dxa" w:w="90"/>
              <w:left w:type="dxa" w:w="120"/>
              <w:bottom w:type="dxa" w:w="90"/>
              <w:right w:type="dxa" w:w="120"/>
            </w:tcMar>
          </w:tcPr>
          <w:p>
            <w:pPr>
              <w:spacing w:after="0" w:line="260"/>
              <w:jc w:val="left"/>
            </w:pPr>
            <w:r>
              <w:rPr>
                <w:b w:val="false"/>
                <w:bCs w:val="false"/>
                <w:color w:val="16202B"/>
                <w:sz w:val="18"/>
                <w:szCs w:val="18"/>
              </w:rPr>
              <w:t xml:space="preserve">56</w:t>
            </w:r>
          </w:p>
        </w:tc>
        <w:tc>
          <w:tcPr>
            <w:tcW w:type="dxa" w:w="5160"/>
            <w:tcMar>
              <w:top w:type="dxa" w:w="90"/>
              <w:left w:type="dxa" w:w="120"/>
              <w:bottom w:type="dxa" w:w="90"/>
              <w:right w:type="dxa" w:w="120"/>
            </w:tcMar>
          </w:tcPr>
          <w:p>
            <w:pPr>
              <w:spacing w:after="0" w:line="260"/>
              <w:jc w:val="left"/>
            </w:pPr>
            <w:r>
              <w:rPr>
                <w:b w:val="false"/>
                <w:bCs w:val="false"/>
                <w:color w:val="16202B"/>
                <w:sz w:val="18"/>
                <w:szCs w:val="18"/>
              </w:rPr>
              <w:t xml:space="preserve">Varied work paid on a time basis was valued by hand on a separate sheet and typed into the certificate as a lump, losing the labour, plant and materials behind it.</w:t>
            </w:r>
          </w:p>
        </w:tc>
        <w:tc>
          <w:tcPr>
            <w:tcW w:type="dxa" w:w="1500"/>
            <w:tcMar>
              <w:top w:type="dxa" w:w="90"/>
              <w:left w:type="dxa" w:w="120"/>
              <w:bottom w:type="dxa" w:w="90"/>
              <w:right w:type="dxa" w:w="120"/>
            </w:tcMar>
          </w:tcPr>
          <w:p>
            <w:pPr>
              <w:spacing w:after="0" w:line="260"/>
              <w:jc w:val="left"/>
            </w:pPr>
            <w:r>
              <w:rPr>
                <w:b w:val="false"/>
                <w:bCs w:val="false"/>
                <w:color w:val="16202B"/>
                <w:sz w:val="18"/>
                <w:szCs w:val="18"/>
              </w:rPr>
              <w:t xml:space="preserve">Closed</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Cash flow forecast</w:t>
            </w:r>
          </w:p>
        </w:tc>
        <w:tc>
          <w:tcPr>
            <w:tcW w:type="dxa" w:w="900"/>
            <w:tcMar>
              <w:top w:type="dxa" w:w="90"/>
              <w:left w:type="dxa" w:w="120"/>
              <w:bottom w:type="dxa" w:w="90"/>
              <w:right w:type="dxa" w:w="120"/>
            </w:tcMar>
          </w:tcPr>
          <w:p>
            <w:pPr>
              <w:spacing w:after="0" w:line="260"/>
              <w:jc w:val="left"/>
            </w:pPr>
            <w:r>
              <w:rPr>
                <w:b w:val="false"/>
                <w:bCs w:val="false"/>
                <w:color w:val="16202B"/>
                <w:sz w:val="18"/>
                <w:szCs w:val="18"/>
              </w:rPr>
              <w:t xml:space="preserve">44</w:t>
            </w:r>
          </w:p>
        </w:tc>
        <w:tc>
          <w:tcPr>
            <w:tcW w:type="dxa" w:w="5160"/>
            <w:tcMar>
              <w:top w:type="dxa" w:w="90"/>
              <w:left w:type="dxa" w:w="120"/>
              <w:bottom w:type="dxa" w:w="90"/>
              <w:right w:type="dxa" w:w="120"/>
            </w:tcMar>
          </w:tcPr>
          <w:p>
            <w:pPr>
              <w:spacing w:after="0" w:line="260"/>
              <w:jc w:val="left"/>
            </w:pPr>
            <w:r>
              <w:rPr>
                <w:b w:val="false"/>
                <w:bCs w:val="false"/>
                <w:color w:val="16202B"/>
                <w:sz w:val="18"/>
                <w:szCs w:val="18"/>
              </w:rPr>
              <w:t xml:space="preserve">No baseline drawdown to compare against certified value, so slow payment was only noticed once it had become a claim.</w:t>
            </w:r>
          </w:p>
        </w:tc>
        <w:tc>
          <w:tcPr>
            <w:tcW w:type="dxa" w:w="1500"/>
            <w:tcMar>
              <w:top w:type="dxa" w:w="90"/>
              <w:left w:type="dxa" w:w="120"/>
              <w:bottom w:type="dxa" w:w="90"/>
              <w:right w:type="dxa" w:w="120"/>
            </w:tcMar>
          </w:tcPr>
          <w:p>
            <w:pPr>
              <w:spacing w:after="0" w:line="260"/>
              <w:jc w:val="left"/>
            </w:pPr>
            <w:r>
              <w:rPr>
                <w:b w:val="false"/>
                <w:bCs w:val="false"/>
                <w:color w:val="16202B"/>
                <w:sz w:val="18"/>
                <w:szCs w:val="18"/>
              </w:rPr>
              <w:t xml:space="preserve">Closed</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Management meetings</w:t>
            </w:r>
          </w:p>
        </w:tc>
        <w:tc>
          <w:tcPr>
            <w:tcW w:type="dxa" w:w="900"/>
            <w:tcMar>
              <w:top w:type="dxa" w:w="90"/>
              <w:left w:type="dxa" w:w="120"/>
              <w:bottom w:type="dxa" w:w="90"/>
              <w:right w:type="dxa" w:w="120"/>
            </w:tcMar>
          </w:tcPr>
          <w:p>
            <w:pPr>
              <w:spacing w:after="0" w:line="260"/>
              <w:jc w:val="left"/>
            </w:pPr>
            <w:r>
              <w:rPr>
                <w:b w:val="false"/>
                <w:bCs w:val="false"/>
                <w:color w:val="16202B"/>
                <w:sz w:val="18"/>
                <w:szCs w:val="18"/>
              </w:rPr>
              <w:t xml:space="preserve">34</w:t>
            </w:r>
          </w:p>
        </w:tc>
        <w:tc>
          <w:tcPr>
            <w:tcW w:type="dxa" w:w="5160"/>
            <w:tcMar>
              <w:top w:type="dxa" w:w="90"/>
              <w:left w:type="dxa" w:w="120"/>
              <w:bottom w:type="dxa" w:w="90"/>
              <w:right w:type="dxa" w:w="120"/>
            </w:tcMar>
          </w:tcPr>
          <w:p>
            <w:pPr>
              <w:spacing w:after="0" w:line="260"/>
              <w:jc w:val="left"/>
            </w:pPr>
            <w:r>
              <w:rPr>
                <w:b w:val="false"/>
                <w:bCs w:val="false"/>
                <w:color w:val="16202B"/>
                <w:sz w:val="18"/>
                <w:szCs w:val="18"/>
              </w:rPr>
              <w:t xml:space="preserve">The register accepted them but none were entered, so early-warning follow-up went untracked.</w:t>
            </w:r>
          </w:p>
        </w:tc>
        <w:tc>
          <w:tcPr>
            <w:tcW w:type="dxa" w:w="1500"/>
            <w:tcMar>
              <w:top w:type="dxa" w:w="90"/>
              <w:left w:type="dxa" w:w="120"/>
              <w:bottom w:type="dxa" w:w="90"/>
              <w:right w:type="dxa" w:w="120"/>
            </w:tcMar>
          </w:tcPr>
          <w:p>
            <w:pPr>
              <w:spacing w:after="0" w:line="260"/>
              <w:jc w:val="left"/>
            </w:pPr>
            <w:r>
              <w:rPr>
                <w:b w:val="false"/>
                <w:bCs w:val="false"/>
                <w:color w:val="16202B"/>
                <w:sz w:val="18"/>
                <w:szCs w:val="18"/>
              </w:rPr>
              <w:t xml:space="preserve">Closed</w:t>
            </w:r>
          </w:p>
        </w:tc>
      </w:tr>
    </w:tbl>
    <w:p>
      <w:pPr>
        <w:pBdr>
          <w:left w:val="single" w:color="A8642A" w:sz="18" w:space="10"/>
        </w:pBdr>
        <w:spacing w:after="200" w:before="240" w:line="290"/>
        <w:ind w:left="240"/>
      </w:pPr>
      <w:r>
        <w:rPr>
          <w:b/>
          <w:bCs/>
          <w:color w:val="A8642A"/>
          <w:sz w:val="20"/>
          <w:szCs w:val="20"/>
        </w:rPr>
        <w:t xml:space="preserve">The underlying risk.  </w:t>
      </w:r>
      <w:r>
        <w:rPr>
          <w:color w:val="16202B"/>
          <w:sz w:val="20"/>
          <w:szCs w:val="20"/>
        </w:rPr>
        <w:t xml:space="preserve">Each of these is a record the Employer may demand at final account. A contract that cannot produce its test results, its dayworks sheets or its forecast is a contract arguing from memory — which is how a defensible claim becomes a negotiated one.</w:t>
      </w:r>
    </w:p>
    <w:p>
      <w:pPr>
        <w:pStyle w:val="Heading2"/>
        <w:spacing w:after="110" w:before="280"/>
      </w:pPr>
      <w:r>
        <w:rPr>
          <w:b/>
          <w:bCs/>
          <w:color w:val="75828F"/>
          <w:sz w:val="23"/>
          <w:szCs w:val="23"/>
        </w:rPr>
        <w:t xml:space="preserve">1.3  </w:t>
      </w:r>
      <w:r>
        <w:rPr>
          <w:b/>
          <w:bCs/>
          <w:color w:val="16202B"/>
          <w:sz w:val="23"/>
          <w:szCs w:val="23"/>
        </w:rPr>
        <w:t xml:space="preserve">How each gap was closed</w:t>
      </w:r>
    </w:p>
    <w:p>
      <w:pPr>
        <w:spacing w:after="160" w:line="300"/>
      </w:pPr>
      <w:r>
        <w:rPr>
          <w:color w:val="16202B"/>
          <w:sz w:val="21"/>
          <w:szCs w:val="21"/>
        </w:rPr>
        <w:t xml:space="preserve">Each register is now held against the contract, computed by the shared engine and tested. What follows is what was built and the rule it enforces — the rule being the part that matters, since a register that stores a figure without knowing what the clause does with it is a spreadsheet with extra steps.</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1800"/>
        <w:gridCol w:w="3400"/>
        <w:gridCol w:w="4160"/>
      </w:tblGrid>
      <w:tr>
        <w:trPr>
          <w:tblHeader/>
        </w:trPr>
        <w:tc>
          <w:tcPr>
            <w:tcW w:type="dxa" w:w="1800"/>
            <w:shd w:fill="EEF2F5" w:color="auto" w:val="clear"/>
            <w:tcMar>
              <w:top w:type="dxa" w:w="90"/>
              <w:left w:type="dxa" w:w="120"/>
              <w:bottom w:type="dxa" w:w="90"/>
              <w:right w:type="dxa" w:w="120"/>
            </w:tcMar>
          </w:tcPr>
          <w:p>
            <w:pPr>
              <w:spacing w:after="0"/>
            </w:pPr>
            <w:r>
              <w:rPr>
                <w:b/>
                <w:bCs/>
                <w:color w:val="75828F"/>
                <w:sz w:val="16"/>
                <w:szCs w:val="16"/>
              </w:rPr>
              <w:t xml:space="preserve">REGISTER</w:t>
            </w:r>
          </w:p>
        </w:tc>
        <w:tc>
          <w:tcPr>
            <w:tcW w:type="dxa" w:w="3400"/>
            <w:shd w:fill="EEF2F5" w:color="auto" w:val="clear"/>
            <w:tcMar>
              <w:top w:type="dxa" w:w="90"/>
              <w:left w:type="dxa" w:w="120"/>
              <w:bottom w:type="dxa" w:w="90"/>
              <w:right w:type="dxa" w:w="120"/>
            </w:tcMar>
          </w:tcPr>
          <w:p>
            <w:pPr>
              <w:spacing w:after="0"/>
            </w:pPr>
            <w:r>
              <w:rPr>
                <w:b/>
                <w:bCs/>
                <w:color w:val="75828F"/>
                <w:sz w:val="16"/>
                <w:szCs w:val="16"/>
              </w:rPr>
              <w:t xml:space="preserve">WHAT IT HOLDS</w:t>
            </w:r>
          </w:p>
        </w:tc>
        <w:tc>
          <w:tcPr>
            <w:tcW w:type="dxa" w:w="4160"/>
            <w:shd w:fill="EEF2F5" w:color="auto" w:val="clear"/>
            <w:tcMar>
              <w:top w:type="dxa" w:w="90"/>
              <w:left w:type="dxa" w:w="120"/>
              <w:bottom w:type="dxa" w:w="90"/>
              <w:right w:type="dxa" w:w="120"/>
            </w:tcMar>
          </w:tcPr>
          <w:p>
            <w:pPr>
              <w:spacing w:after="0"/>
            </w:pPr>
            <w:r>
              <w:rPr>
                <w:b/>
                <w:bCs/>
                <w:color w:val="75828F"/>
                <w:sz w:val="16"/>
                <w:szCs w:val="16"/>
              </w:rPr>
              <w:t xml:space="preserve">THE RULE IT ENFORCES</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Test register</w:t>
            </w:r>
          </w:p>
        </w:tc>
        <w:tc>
          <w:tcPr>
            <w:tcW w:type="dxa" w:w="3400"/>
            <w:tcMar>
              <w:top w:type="dxa" w:w="90"/>
              <w:left w:type="dxa" w:w="120"/>
              <w:bottom w:type="dxa" w:w="90"/>
              <w:right w:type="dxa" w:w="120"/>
            </w:tcMar>
          </w:tcPr>
          <w:p>
            <w:pPr>
              <w:spacing w:after="0" w:line="260"/>
              <w:jc w:val="left"/>
            </w:pPr>
            <w:r>
              <w:rPr>
                <w:b w:val="false"/>
                <w:bCs w:val="false"/>
                <w:color w:val="16202B"/>
                <w:sz w:val="18"/>
                <w:szCs w:val="18"/>
              </w:rPr>
              <w:t xml:space="preserve">Reference, activity, sample and report dates, outcome, cost, and whether it is a retest.</w:t>
            </w:r>
          </w:p>
        </w:tc>
        <w:tc>
          <w:tcPr>
            <w:tcW w:type="dxa" w:w="4160"/>
            <w:tcMar>
              <w:top w:type="dxa" w:w="90"/>
              <w:left w:type="dxa" w:w="120"/>
              <w:bottom w:type="dxa" w:w="90"/>
              <w:right w:type="dxa" w:w="120"/>
            </w:tcMar>
          </w:tcPr>
          <w:p>
            <w:pPr>
              <w:spacing w:after="0" w:line="260"/>
              <w:jc w:val="left"/>
            </w:pPr>
            <w:r>
              <w:rPr>
                <w:b w:val="false"/>
                <w:bCs w:val="false"/>
                <w:color w:val="16202B"/>
                <w:sz w:val="18"/>
                <w:szCs w:val="18"/>
              </w:rPr>
              <w:t xml:space="preserve">A failed test blocks certification of the work it names until it is remedied or accepted, and a retest after a failure is charged to the contractor rather than the Employer.</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Dayworks</w:t>
            </w:r>
          </w:p>
        </w:tc>
        <w:tc>
          <w:tcPr>
            <w:tcW w:type="dxa" w:w="3400"/>
            <w:tcMar>
              <w:top w:type="dxa" w:w="90"/>
              <w:left w:type="dxa" w:w="120"/>
              <w:bottom w:type="dxa" w:w="90"/>
              <w:right w:type="dxa" w:w="120"/>
            </w:tcMar>
          </w:tcPr>
          <w:p>
            <w:pPr>
              <w:spacing w:after="0" w:line="260"/>
              <w:jc w:val="left"/>
            </w:pPr>
            <w:r>
              <w:rPr>
                <w:b w:val="false"/>
                <w:bCs w:val="false"/>
                <w:color w:val="16202B"/>
                <w:sz w:val="18"/>
                <w:szCs w:val="18"/>
              </w:rPr>
              <w:t xml:space="preserve">Sheets and their lines, split into labour, plant and materials at schedule rates.</w:t>
            </w:r>
          </w:p>
        </w:tc>
        <w:tc>
          <w:tcPr>
            <w:tcW w:type="dxa" w:w="4160"/>
            <w:tcMar>
              <w:top w:type="dxa" w:w="90"/>
              <w:left w:type="dxa" w:w="120"/>
              <w:bottom w:type="dxa" w:w="90"/>
              <w:right w:type="dxa" w:w="120"/>
            </w:tcMar>
          </w:tcPr>
          <w:p>
            <w:pPr>
              <w:spacing w:after="0" w:line="260"/>
              <w:jc w:val="left"/>
            </w:pPr>
            <w:r>
              <w:rPr>
                <w:b w:val="false"/>
                <w:bCs w:val="false"/>
                <w:color w:val="16202B"/>
                <w:sz w:val="18"/>
                <w:szCs w:val="18"/>
              </w:rPr>
              <w:t xml:space="preserve">The tendered percentage addition applies to labour and plant only — materials are reimbursed at cost — and an unsigned sheet is carried and reported but never paid.</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Cash flow forecast</w:t>
            </w:r>
          </w:p>
        </w:tc>
        <w:tc>
          <w:tcPr>
            <w:tcW w:type="dxa" w:w="3400"/>
            <w:tcMar>
              <w:top w:type="dxa" w:w="90"/>
              <w:left w:type="dxa" w:w="120"/>
              <w:bottom w:type="dxa" w:w="90"/>
              <w:right w:type="dxa" w:w="120"/>
            </w:tcMar>
          </w:tcPr>
          <w:p>
            <w:pPr>
              <w:spacing w:after="0" w:line="260"/>
              <w:jc w:val="left"/>
            </w:pPr>
            <w:r>
              <w:rPr>
                <w:b w:val="false"/>
                <w:bCs w:val="false"/>
                <w:color w:val="16202B"/>
                <w:sz w:val="18"/>
                <w:szCs w:val="18"/>
              </w:rPr>
              <w:t xml:space="preserve">Forecast and certified value per period, with the certified figure optional.</w:t>
            </w:r>
          </w:p>
        </w:tc>
        <w:tc>
          <w:tcPr>
            <w:tcW w:type="dxa" w:w="4160"/>
            <w:tcMar>
              <w:top w:type="dxa" w:w="90"/>
              <w:left w:type="dxa" w:w="120"/>
              <w:bottom w:type="dxa" w:w="90"/>
              <w:right w:type="dxa" w:w="120"/>
            </w:tcMar>
          </w:tcPr>
          <w:p>
            <w:pPr>
              <w:spacing w:after="0" w:line="260"/>
              <w:jc w:val="left"/>
            </w:pPr>
            <w:r>
              <w:rPr>
                <w:b w:val="false"/>
                <w:bCs w:val="false"/>
                <w:color w:val="16202B"/>
                <w:sz w:val="18"/>
                <w:szCs w:val="18"/>
              </w:rPr>
              <w:t xml:space="preserve">Variance carries its sign, so behind and ahead are told apart; an uncertified period is a hole in the series rather than a zero, and the first period past tolerance is reported.</w:t>
            </w:r>
          </w:p>
        </w:tc>
      </w:tr>
      <w:tr>
        <w:tc>
          <w:tcPr>
            <w:tcW w:type="dxa" w:w="1800"/>
            <w:tcMar>
              <w:top w:type="dxa" w:w="90"/>
              <w:left w:type="dxa" w:w="120"/>
              <w:bottom w:type="dxa" w:w="90"/>
              <w:right w:type="dxa" w:w="120"/>
            </w:tcMar>
          </w:tcPr>
          <w:p>
            <w:pPr>
              <w:spacing w:after="0" w:line="260"/>
              <w:jc w:val="left"/>
            </w:pPr>
            <w:r>
              <w:rPr>
                <w:b/>
                <w:bCs/>
                <w:color w:val="16202B"/>
                <w:sz w:val="18"/>
                <w:szCs w:val="18"/>
              </w:rPr>
              <w:t xml:space="preserve">Management meetings</w:t>
            </w:r>
          </w:p>
        </w:tc>
        <w:tc>
          <w:tcPr>
            <w:tcW w:type="dxa" w:w="3400"/>
            <w:tcMar>
              <w:top w:type="dxa" w:w="90"/>
              <w:left w:type="dxa" w:w="120"/>
              <w:bottom w:type="dxa" w:w="90"/>
              <w:right w:type="dxa" w:w="120"/>
            </w:tcMar>
          </w:tcPr>
          <w:p>
            <w:pPr>
              <w:spacing w:after="0" w:line="260"/>
              <w:jc w:val="left"/>
            </w:pPr>
            <w:r>
              <w:rPr>
                <w:b w:val="false"/>
                <w:bCs w:val="false"/>
                <w:color w:val="16202B"/>
                <w:sz w:val="18"/>
                <w:szCs w:val="18"/>
              </w:rPr>
              <w:t xml:space="preserve">Minuted meetings, held in the events register under their own kind.</w:t>
            </w:r>
          </w:p>
        </w:tc>
        <w:tc>
          <w:tcPr>
            <w:tcW w:type="dxa" w:w="4160"/>
            <w:tcMar>
              <w:top w:type="dxa" w:w="90"/>
              <w:left w:type="dxa" w:w="120"/>
              <w:bottom w:type="dxa" w:w="90"/>
              <w:right w:type="dxa" w:w="120"/>
            </w:tcMar>
          </w:tcPr>
          <w:p>
            <w:pPr>
              <w:spacing w:after="0" w:line="260"/>
              <w:jc w:val="left"/>
            </w:pPr>
            <w:r>
              <w:rPr>
                <w:b w:val="false"/>
                <w:bCs w:val="false"/>
                <w:color w:val="16202B"/>
                <w:sz w:val="18"/>
                <w:szCs w:val="18"/>
              </w:rPr>
              <w:t xml:space="preserve">Counted into the lifecycle so a contract with early warnings raised and no meetings minuted reads as one, rather than as complete.</w:t>
            </w:r>
          </w:p>
        </w:tc>
      </w:tr>
    </w:tbl>
    <w:p>
      <w:pPr>
        <w:spacing w:after="160" w:line="300"/>
      </w:pPr>
      <w:r>
        <w:rPr>
          <w:color w:val="16202B"/>
          <w:sz w:val="21"/>
          <w:szCs w:val="21"/>
        </w:rPr>
        <w:t xml:space="preserve">Two consequences reach the money directly. Dayworks enlarge the contract price but stay outside the price-adjustment base, because work valued at rates already current must not then be indexed. And a failed test now appears among the reasons a contract cannot be closed, beside the retention still held and the advance still to recover.</w:t>
      </w:r>
    </w:p>
    <w:p>
      <w:pPr>
        <w:pStyle w:val="Heading1"/>
        <w:pBdr>
          <w:bottom w:val="single" w:color="D9DDD8" w:sz="6" w:space="6"/>
        </w:pBdr>
        <w:spacing w:after="160" w:before="380"/>
      </w:pPr>
      <w:r>
        <w:rPr>
          <w:b/>
          <w:bCs/>
          <w:color w:val="1F5F8B"/>
          <w:sz w:val="30"/>
          <w:szCs w:val="30"/>
        </w:rPr>
        <w:t xml:space="preserve">2.  </w:t>
      </w:r>
      <w:r>
        <w:rPr>
          <w:b/>
          <w:bCs/>
          <w:color w:val="16202B"/>
          <w:sz w:val="30"/>
          <w:szCs w:val="30"/>
        </w:rPr>
        <w:t xml:space="preserve">The Vision</w:t>
      </w:r>
    </w:p>
    <w:p>
      <w:pPr>
        <w:spacing w:after="160" w:line="300"/>
      </w:pPr>
      <w:r>
        <w:rPr>
          <w:color w:val="16202B"/>
          <w:sz w:val="21"/>
          <w:szCs w:val="21"/>
        </w:rPr>
        <w:t xml:space="preserve">One contract file that answers every question the General Conditions can ask: what the contract is worth today, when it is due, what has been certified, what is held, what is owed, and whether it can be closed — with the clause and the evidence behind each answer.</w:t>
      </w:r>
    </w:p>
    <w:p>
      <w:pPr>
        <w:pStyle w:val="Heading2"/>
        <w:spacing w:after="110" w:before="280"/>
      </w:pPr>
      <w:r>
        <w:rPr>
          <w:b/>
          <w:bCs/>
          <w:color w:val="75828F"/>
          <w:sz w:val="23"/>
          <w:szCs w:val="23"/>
        </w:rPr>
        <w:t xml:space="preserve">2.1  </w:t>
      </w:r>
      <w:r>
        <w:rPr>
          <w:b/>
          <w:bCs/>
          <w:color w:val="16202B"/>
          <w:sz w:val="23"/>
          <w:szCs w:val="23"/>
        </w:rPr>
        <w:t xml:space="preserve">System architecture and data flow</w:t>
      </w:r>
    </w:p>
    <w:p>
      <w:pPr>
        <w:spacing w:after="200" w:line="300"/>
      </w:pPr>
      <w:r>
        <w:rPr>
          <w:i/>
          <w:iCs/>
          <w:color w:val="4A5867"/>
          <w:sz w:val="21"/>
          <w:szCs w:val="21"/>
        </w:rPr>
        <w:t xml:space="preserve">The split is deliberate and already proven: figures the parties can argue about are computed once, in Rust, and tested. Everything else is storage, permissions and presentation.</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4680"/>
        <w:gridCol w:w="4680"/>
      </w:tblGrid>
      <w:tr>
        <w:trPr>
          <w:tblHeader/>
        </w:trPr>
        <w:tc>
          <w:tcPr>
            <w:tcW w:type="dxa" w:w="4680"/>
            <w:shd w:fill="EEF2F5" w:color="auto" w:val="clear"/>
            <w:tcMar>
              <w:top w:type="dxa" w:w="90"/>
              <w:left w:type="dxa" w:w="120"/>
              <w:bottom w:type="dxa" w:w="90"/>
              <w:right w:type="dxa" w:w="120"/>
            </w:tcMar>
          </w:tcPr>
          <w:p>
            <w:pPr>
              <w:spacing w:after="0"/>
            </w:pPr>
            <w:r>
              <w:rPr>
                <w:b/>
                <w:bCs/>
                <w:color w:val="75828F"/>
                <w:sz w:val="16"/>
                <w:szCs w:val="16"/>
              </w:rPr>
              <w:t xml:space="preserve">RUST ENGINE · WEBASSEMBLY</w:t>
            </w:r>
          </w:p>
        </w:tc>
        <w:tc>
          <w:tcPr>
            <w:tcW w:type="dxa" w:w="4680"/>
            <w:shd w:fill="EEF2F5" w:color="auto" w:val="clear"/>
            <w:tcMar>
              <w:top w:type="dxa" w:w="90"/>
              <w:left w:type="dxa" w:w="120"/>
              <w:bottom w:type="dxa" w:w="90"/>
              <w:right w:type="dxa" w:w="120"/>
            </w:tcMar>
          </w:tcPr>
          <w:p>
            <w:pPr>
              <w:spacing w:after="0"/>
            </w:pPr>
            <w:r>
              <w:rPr>
                <w:b/>
                <w:bCs/>
                <w:color w:val="75828F"/>
                <w:sz w:val="16"/>
                <w:szCs w:val="16"/>
              </w:rPr>
              <w:t xml:space="preserve">LARAVEL · THE RECORD</w:t>
            </w:r>
          </w:p>
        </w:tc>
      </w:tr>
      <w:tr>
        <w:tc>
          <w:tcPr>
            <w:tcW w:type="dxa" w:w="4680"/>
            <w:tcMar>
              <w:top w:type="dxa" w:w="90"/>
              <w:left w:type="dxa" w:w="120"/>
              <w:bottom w:type="dxa" w:w="90"/>
              <w:right w:type="dxa" w:w="120"/>
            </w:tcMar>
          </w:tcPr>
          <w:p>
            <w:pPr>
              <w:spacing w:after="60"/>
            </w:pPr>
            <w:r>
              <w:rPr>
                <w:b/>
                <w:bCs/>
                <w:color w:val="16202B"/>
                <w:sz w:val="18"/>
                <w:szCs w:val="18"/>
              </w:rPr>
              <w:t xml:space="preserve">Shared engine, 87 tests</w:t>
            </w:r>
          </w:p>
          <w:p>
            <w:pPr>
              <w:pStyle w:val="ListParagraph"/>
              <w:numPr>
                <w:ilvl w:val="0"/>
                <w:numId w:val="2"/>
              </w:numPr>
              <w:spacing w:after="30" w:line="250"/>
            </w:pPr>
            <w:r>
              <w:rPr>
                <w:color w:val="16202B"/>
                <w:sz w:val="17"/>
                <w:szCs w:val="17"/>
              </w:rPr>
              <w:t xml:space="preserve">ipc.rs — the certificate fold</w:t>
            </w:r>
          </w:p>
          <w:p>
            <w:pPr>
              <w:pStyle w:val="ListParagraph"/>
              <w:numPr>
                <w:ilvl w:val="0"/>
                <w:numId w:val="2"/>
              </w:numPr>
              <w:spacing w:after="30" w:line="250"/>
            </w:pPr>
            <w:r>
              <w:rPr>
                <w:color w:val="16202B"/>
                <w:sz w:val="17"/>
                <w:szCs w:val="17"/>
              </w:rPr>
              <w:t xml:space="preserve">adjustment.rs — Clause 13.8, three variants</w:t>
            </w:r>
          </w:p>
          <w:p>
            <w:pPr>
              <w:pStyle w:val="ListParagraph"/>
              <w:numPr>
                <w:ilvl w:val="0"/>
                <w:numId w:val="2"/>
              </w:numPr>
              <w:spacing w:after="30" w:line="250"/>
            </w:pPr>
            <w:r>
              <w:rPr>
                <w:color w:val="16202B"/>
                <w:sz w:val="17"/>
                <w:szCs w:val="17"/>
              </w:rPr>
              <w:t xml:space="preserve">position.rs — retention, damages, final account</w:t>
            </w:r>
          </w:p>
          <w:p>
            <w:pPr>
              <w:pStyle w:val="ListParagraph"/>
              <w:numPr>
                <w:ilvl w:val="0"/>
                <w:numId w:val="2"/>
              </w:numPr>
              <w:spacing w:after="30" w:line="250"/>
            </w:pPr>
            <w:r>
              <w:rPr>
                <w:color w:val="16202B"/>
                <w:sz w:val="17"/>
                <w:szCs w:val="17"/>
              </w:rPr>
              <w:t xml:space="preserve">proposed — dayworks valuation, forecast variance</w:t>
            </w:r>
          </w:p>
        </w:tc>
        <w:tc>
          <w:tcPr>
            <w:tcW w:type="dxa" w:w="4680"/>
            <w:tcMar>
              <w:top w:type="dxa" w:w="90"/>
              <w:left w:type="dxa" w:w="120"/>
              <w:bottom w:type="dxa" w:w="90"/>
              <w:right w:type="dxa" w:w="120"/>
            </w:tcMar>
          </w:tcPr>
          <w:p>
            <w:pPr>
              <w:spacing w:after="60"/>
            </w:pPr>
            <w:r>
              <w:rPr>
                <w:b/>
                <w:bCs/>
                <w:color w:val="16202B"/>
                <w:sz w:val="18"/>
                <w:szCs w:val="18"/>
              </w:rPr>
              <w:t xml:space="preserve">What happened, and who may see it</w:t>
            </w:r>
          </w:p>
          <w:p>
            <w:pPr>
              <w:pStyle w:val="ListParagraph"/>
              <w:numPr>
                <w:ilvl w:val="0"/>
                <w:numId w:val="2"/>
              </w:numPr>
              <w:spacing w:after="30" w:line="250"/>
            </w:pPr>
            <w:r>
              <w:rPr>
                <w:color w:val="16202B"/>
                <w:sz w:val="17"/>
                <w:szCs w:val="17"/>
              </w:rPr>
              <w:t xml:space="preserve">Registers keyed to the contract and the clause</w:t>
            </w:r>
          </w:p>
          <w:p>
            <w:pPr>
              <w:pStyle w:val="ListParagraph"/>
              <w:numPr>
                <w:ilvl w:val="0"/>
                <w:numId w:val="2"/>
              </w:numPr>
              <w:spacing w:after="30" w:line="250"/>
            </w:pPr>
            <w:r>
              <w:rPr>
                <w:color w:val="16202B"/>
                <w:sz w:val="17"/>
                <w:szCs w:val="17"/>
              </w:rPr>
              <w:t xml:space="preserve">Special Conditions per contract</w:t>
            </w:r>
          </w:p>
          <w:p>
            <w:pPr>
              <w:pStyle w:val="ListParagraph"/>
              <w:numPr>
                <w:ilvl w:val="0"/>
                <w:numId w:val="2"/>
              </w:numPr>
              <w:spacing w:after="30" w:line="250"/>
            </w:pPr>
            <w:r>
              <w:rPr>
                <w:color w:val="16202B"/>
                <w:sz w:val="17"/>
                <w:szCs w:val="17"/>
              </w:rPr>
              <w:t xml:space="preserve">Clause library, cited by every record</w:t>
            </w:r>
          </w:p>
          <w:p>
            <w:pPr>
              <w:pStyle w:val="ListParagraph"/>
              <w:numPr>
                <w:ilvl w:val="0"/>
                <w:numId w:val="2"/>
              </w:numPr>
              <w:spacing w:after="30" w:line="250"/>
            </w:pPr>
            <w:r>
              <w:rPr>
                <w:color w:val="16202B"/>
                <w:sz w:val="17"/>
                <w:szCs w:val="17"/>
              </w:rPr>
              <w:t xml:space="preserve">proposed — tests, dayworks, forecast</w:t>
            </w:r>
          </w:p>
        </w:tc>
      </w:tr>
    </w:tbl>
    <w:p>
      <w:pPr>
        <w:spacing w:after="160" w:line="300"/>
      </w:pPr>
      <w:r>
        <w:rPr>
          <w:color w:val="16202B"/>
          <w:sz w:val="21"/>
          <w:szCs w:val="21"/>
        </w:rPr>
        <w:t xml:space="preserve">The engine runs in the browser and returns its own totals to the server, which the contract page reads rather than recalculating. No financial figure exists in two implementations.</w:t>
      </w:r>
    </w:p>
    <w:p>
      <w:pPr>
        <w:pStyle w:val="Heading2"/>
        <w:spacing w:after="110" w:before="280"/>
      </w:pPr>
      <w:r>
        <w:rPr>
          <w:b/>
          <w:bCs/>
          <w:color w:val="75828F"/>
          <w:sz w:val="23"/>
          <w:szCs w:val="23"/>
        </w:rPr>
        <w:t xml:space="preserve">2.2  </w:t>
      </w:r>
      <w:r>
        <w:rPr>
          <w:b/>
          <w:bCs/>
          <w:color w:val="16202B"/>
          <w:sz w:val="23"/>
          <w:szCs w:val="23"/>
        </w:rPr>
        <w:t xml:space="preserve">Architectural economy and existing reuse</w:t>
      </w:r>
    </w:p>
    <w:p>
      <w:pPr>
        <w:spacing w:after="160" w:line="300"/>
      </w:pPr>
      <w:r>
        <w:rPr>
          <w:color w:val="16202B"/>
          <w:sz w:val="21"/>
          <w:szCs w:val="21"/>
        </w:rPr>
        <w:t xml:space="preserve">None of the registers needed new architecture. Each followed a pattern already carrying seven registers in production:</w:t>
      </w:r>
    </w:p>
    <w:p>
      <w:pPr>
        <w:pStyle w:val="ListParagraph"/>
        <w:numPr>
          <w:ilvl w:val="0"/>
          <w:numId w:val="2"/>
        </w:numPr>
        <w:spacing w:after="90" w:line="290"/>
      </w:pPr>
      <w:r>
        <w:rPr>
          <w:b/>
          <w:bCs/>
          <w:color w:val="16202B"/>
          <w:sz w:val="21"/>
          <w:szCs w:val="21"/>
        </w:rPr>
        <w:t xml:space="preserve">Tests</w:t>
      </w:r>
      <w:r>
        <w:rPr>
          <w:color w:val="16202B"/>
          <w:sz w:val="21"/>
          <w:szCs w:val="21"/>
        </w:rPr>
        <w:t xml:space="preserve"> reuse the events table’s shape — a dated record under a clause with a status it moves through — and raise a defect on failure through the existing defects register.</w:t>
      </w:r>
    </w:p>
    <w:p>
      <w:pPr>
        <w:pStyle w:val="ListParagraph"/>
        <w:numPr>
          <w:ilvl w:val="0"/>
          <w:numId w:val="2"/>
        </w:numPr>
        <w:spacing w:after="90" w:line="290"/>
      </w:pPr>
      <w:r>
        <w:rPr>
          <w:b/>
          <w:bCs/>
          <w:color w:val="16202B"/>
          <w:sz w:val="21"/>
          <w:szCs w:val="21"/>
        </w:rPr>
        <w:t xml:space="preserve">Dayworks</w:t>
      </w:r>
      <w:r>
        <w:rPr>
          <w:color w:val="16202B"/>
          <w:sz w:val="21"/>
          <w:szCs w:val="21"/>
        </w:rPr>
        <w:t xml:space="preserve"> reuse the certificate’s line structure and feed the same net adjustable amount the engine already computes.</w:t>
      </w:r>
    </w:p>
    <w:p>
      <w:pPr>
        <w:pStyle w:val="ListParagraph"/>
        <w:numPr>
          <w:ilvl w:val="0"/>
          <w:numId w:val="2"/>
        </w:numPr>
        <w:spacing w:after="90" w:line="290"/>
      </w:pPr>
      <w:r>
        <w:rPr>
          <w:b/>
          <w:bCs/>
          <w:color w:val="16202B"/>
          <w:sz w:val="21"/>
          <w:szCs w:val="21"/>
        </w:rPr>
        <w:t xml:space="preserve">Cash flow</w:t>
      </w:r>
      <w:r>
        <w:rPr>
          <w:color w:val="16202B"/>
          <w:sz w:val="21"/>
          <w:szCs w:val="21"/>
        </w:rPr>
        <w:t xml:space="preserve"> reuses the period list the engine already folds; only the baseline is new, and the variance is derived.</w:t>
      </w:r>
    </w:p>
    <w:p>
      <w:pPr>
        <w:spacing w:after="160" w:line="300"/>
      </w:pPr>
      <w:r>
        <w:rPr>
          <w:color w:val="16202B"/>
          <w:sz w:val="21"/>
          <w:szCs w:val="21"/>
        </w:rPr>
        <w:t xml:space="preserve">The clause library, the numbering service, the permission gates, the data grid and the export pipeline are all in place and unchanged by this work.</w:t>
      </w:r>
    </w:p>
    <w:p>
      <w:pPr>
        <w:pStyle w:val="Heading1"/>
        <w:pBdr>
          <w:bottom w:val="single" w:color="D9DDD8" w:sz="6" w:space="6"/>
        </w:pBdr>
        <w:spacing w:after="160" w:before="380"/>
      </w:pPr>
      <w:r>
        <w:rPr>
          <w:b/>
          <w:bCs/>
          <w:color w:val="1F5F8B"/>
          <w:sz w:val="30"/>
          <w:szCs w:val="30"/>
        </w:rPr>
        <w:t xml:space="preserve">3.  </w:t>
      </w:r>
      <w:r>
        <w:rPr>
          <w:b/>
          <w:bCs/>
          <w:color w:val="16202B"/>
          <w:sz w:val="30"/>
          <w:szCs w:val="30"/>
        </w:rPr>
        <w:t xml:space="preserve">Key Benefits</w:t>
      </w:r>
    </w:p>
    <w:p>
      <w:pPr>
        <w:pStyle w:val="ListParagraph"/>
        <w:numPr>
          <w:ilvl w:val="0"/>
          <w:numId w:val="2"/>
        </w:numPr>
        <w:spacing w:after="90" w:line="290"/>
      </w:pPr>
      <w:r>
        <w:rPr>
          <w:b/>
          <w:bCs/>
          <w:color w:val="16202B"/>
          <w:sz w:val="21"/>
          <w:szCs w:val="21"/>
        </w:rPr>
        <w:t xml:space="preserve">A defensible final account.</w:t>
      </w:r>
      <w:r>
        <w:rPr>
          <w:color w:val="16202B"/>
          <w:sz w:val="21"/>
          <w:szCs w:val="21"/>
        </w:rPr>
        <w:t xml:space="preserve"> Every deduction, extension and valuation traceable to a dated record and the clause it was raised under.</w:t>
      </w:r>
    </w:p>
    <w:p>
      <w:pPr>
        <w:pStyle w:val="ListParagraph"/>
        <w:numPr>
          <w:ilvl w:val="0"/>
          <w:numId w:val="2"/>
        </w:numPr>
        <w:spacing w:after="90" w:line="290"/>
      </w:pPr>
      <w:r>
        <w:rPr>
          <w:b/>
          <w:bCs/>
          <w:color w:val="16202B"/>
          <w:sz w:val="21"/>
          <w:szCs w:val="21"/>
        </w:rPr>
        <w:t xml:space="preserve">Damages calculated correctly.</w:t>
      </w:r>
      <w:r>
        <w:rPr>
          <w:color w:val="16202B"/>
          <w:sz w:val="21"/>
          <w:szCs w:val="21"/>
        </w:rPr>
        <w:t xml:space="preserve"> Lateness measured against the extended completion date, and stopping at taking over — the error that most often costs a contractor money they do not owe.</w:t>
      </w:r>
    </w:p>
    <w:p>
      <w:pPr>
        <w:pStyle w:val="ListParagraph"/>
        <w:numPr>
          <w:ilvl w:val="0"/>
          <w:numId w:val="2"/>
        </w:numPr>
        <w:spacing w:after="90" w:line="290"/>
      </w:pPr>
      <w:r>
        <w:rPr>
          <w:b/>
          <w:bCs/>
          <w:color w:val="16202B"/>
          <w:sz w:val="21"/>
          <w:szCs w:val="21"/>
        </w:rPr>
        <w:t xml:space="preserve">Quality evidenced, not asserted.</w:t>
      </w:r>
      <w:r>
        <w:rPr>
          <w:color w:val="16202B"/>
          <w:sz w:val="21"/>
          <w:szCs w:val="21"/>
        </w:rPr>
        <w:t xml:space="preserve"> A failed test raises a defect automatically, and the defects liability certificate cannot be issued while any remain open.</w:t>
      </w:r>
    </w:p>
    <w:p>
      <w:pPr>
        <w:pStyle w:val="ListParagraph"/>
        <w:numPr>
          <w:ilvl w:val="0"/>
          <w:numId w:val="2"/>
        </w:numPr>
        <w:spacing w:after="90" w:line="290"/>
      </w:pPr>
      <w:r>
        <w:rPr>
          <w:b/>
          <w:bCs/>
          <w:color w:val="16202B"/>
          <w:sz w:val="21"/>
          <w:szCs w:val="21"/>
        </w:rPr>
        <w:t xml:space="preserve">Dayworks valued consistently.</w:t>
      </w:r>
      <w:r>
        <w:rPr>
          <w:color w:val="16202B"/>
          <w:sz w:val="21"/>
          <w:szCs w:val="21"/>
        </w:rPr>
        <w:t xml:space="preserve"> Labour, plant and materials at schedule rates, carried into the certificate rather than negotiated at the end.</w:t>
      </w:r>
    </w:p>
    <w:p>
      <w:pPr>
        <w:pStyle w:val="ListParagraph"/>
        <w:numPr>
          <w:ilvl w:val="0"/>
          <w:numId w:val="2"/>
        </w:numPr>
        <w:spacing w:after="90" w:line="290"/>
      </w:pPr>
      <w:r>
        <w:rPr>
          <w:b/>
          <w:bCs/>
          <w:color w:val="16202B"/>
          <w:sz w:val="21"/>
          <w:szCs w:val="21"/>
        </w:rPr>
        <w:t xml:space="preserve">Progress monitored against the programme.</w:t>
      </w:r>
      <w:r>
        <w:rPr>
          <w:color w:val="16202B"/>
          <w:sz w:val="21"/>
          <w:szCs w:val="21"/>
        </w:rPr>
        <w:t xml:space="preserve"> Forecast against certified, so a shortfall is visible in the month it happens.</w:t>
      </w:r>
    </w:p>
    <w:p>
      <w:pPr>
        <w:pStyle w:val="ListParagraph"/>
        <w:numPr>
          <w:ilvl w:val="0"/>
          <w:numId w:val="2"/>
        </w:numPr>
        <w:spacing w:after="90" w:line="290"/>
      </w:pPr>
      <w:r>
        <w:rPr>
          <w:b/>
          <w:bCs/>
          <w:color w:val="16202B"/>
          <w:sz w:val="21"/>
          <w:szCs w:val="21"/>
        </w:rPr>
        <w:t xml:space="preserve">Books that follow the work.</w:t>
      </w:r>
      <w:r>
        <w:rPr>
          <w:color w:val="16202B"/>
          <w:sz w:val="21"/>
          <w:szCs w:val="21"/>
        </w:rPr>
        <w:t xml:space="preserve"> Certificates and expenses post into a balanced ledger without re-keying.</w:t>
      </w:r>
    </w:p>
    <w:p>
      <w:r>
        <w:br w:type="page"/>
      </w:r>
    </w:p>
    <w:p>
      <w:pPr>
        <w:pStyle w:val="Heading1"/>
        <w:pBdr>
          <w:bottom w:val="single" w:color="D9DDD8" w:sz="6" w:space="6"/>
        </w:pBdr>
        <w:spacing w:after="160" w:before="380"/>
      </w:pPr>
      <w:r>
        <w:rPr>
          <w:b/>
          <w:bCs/>
          <w:color w:val="1F5F8B"/>
          <w:sz w:val="30"/>
          <w:szCs w:val="30"/>
        </w:rPr>
        <w:t xml:space="preserve">4.  </w:t>
      </w:r>
      <w:r>
        <w:rPr>
          <w:b/>
          <w:bCs/>
          <w:color w:val="16202B"/>
          <w:sz w:val="30"/>
          <w:szCs w:val="30"/>
        </w:rPr>
        <w:t xml:space="preserve">Project Deliverables</w:t>
      </w:r>
    </w:p>
    <w:p>
      <w:pPr>
        <w:spacing w:after="160" w:line="300"/>
      </w:pPr>
      <w:r>
        <w:rPr>
          <w:color w:val="16202B"/>
          <w:sz w:val="21"/>
          <w:szCs w:val="21"/>
        </w:rPr>
        <w:t xml:space="preserve">Six phases, each producing a working piece of the system rather than a document about one.</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1100"/>
        <w:gridCol w:w="5760"/>
        <w:gridCol w:w="1300"/>
        <w:gridCol w:w="1200"/>
      </w:tblGrid>
      <w:tr>
        <w:trPr>
          <w:tblHeader/>
        </w:trPr>
        <w:tc>
          <w:tcPr>
            <w:tcW w:type="dxa" w:w="1100"/>
            <w:shd w:fill="EEF2F5" w:color="auto" w:val="clear"/>
            <w:tcMar>
              <w:top w:type="dxa" w:w="90"/>
              <w:left w:type="dxa" w:w="120"/>
              <w:bottom w:type="dxa" w:w="90"/>
              <w:right w:type="dxa" w:w="120"/>
            </w:tcMar>
          </w:tcPr>
          <w:p>
            <w:pPr>
              <w:spacing w:after="0"/>
            </w:pPr>
            <w:r>
              <w:rPr>
                <w:b/>
                <w:bCs/>
                <w:color w:val="75828F"/>
                <w:sz w:val="16"/>
                <w:szCs w:val="16"/>
              </w:rPr>
              <w:t xml:space="preserve">PHASE</w:t>
            </w:r>
          </w:p>
        </w:tc>
        <w:tc>
          <w:tcPr>
            <w:tcW w:type="dxa" w:w="5760"/>
            <w:shd w:fill="EEF2F5" w:color="auto" w:val="clear"/>
            <w:tcMar>
              <w:top w:type="dxa" w:w="90"/>
              <w:left w:type="dxa" w:w="120"/>
              <w:bottom w:type="dxa" w:w="90"/>
              <w:right w:type="dxa" w:w="120"/>
            </w:tcMar>
          </w:tcPr>
          <w:p>
            <w:pPr>
              <w:spacing w:after="0"/>
            </w:pPr>
            <w:r>
              <w:rPr>
                <w:b/>
                <w:bCs/>
                <w:color w:val="75828F"/>
                <w:sz w:val="16"/>
                <w:szCs w:val="16"/>
              </w:rPr>
              <w:t xml:space="preserve">FOCUS AND DELIVERABLES</w:t>
            </w:r>
          </w:p>
        </w:tc>
        <w:tc>
          <w:tcPr>
            <w:tcW w:type="dxa" w:w="1300"/>
            <w:shd w:fill="EEF2F5" w:color="auto" w:val="clear"/>
            <w:tcMar>
              <w:top w:type="dxa" w:w="90"/>
              <w:left w:type="dxa" w:w="120"/>
              <w:bottom w:type="dxa" w:w="90"/>
              <w:right w:type="dxa" w:w="120"/>
            </w:tcMar>
          </w:tcPr>
          <w:p>
            <w:pPr>
              <w:spacing w:after="0"/>
            </w:pPr>
            <w:r>
              <w:rPr>
                <w:b/>
                <w:bCs/>
                <w:color w:val="75828F"/>
                <w:sz w:val="16"/>
                <w:szCs w:val="16"/>
              </w:rPr>
              <w:t xml:space="preserve">TIMELINE</w:t>
            </w:r>
          </w:p>
        </w:tc>
        <w:tc>
          <w:tcPr>
            <w:tcW w:type="dxa" w:w="1200"/>
            <w:shd w:fill="EEF2F5" w:color="auto" w:val="clear"/>
            <w:tcMar>
              <w:top w:type="dxa" w:w="90"/>
              <w:left w:type="dxa" w:w="120"/>
              <w:bottom w:type="dxa" w:w="90"/>
              <w:right w:type="dxa" w:w="120"/>
            </w:tcMar>
          </w:tcPr>
          <w:p>
            <w:pPr>
              <w:spacing w:after="0"/>
            </w:pPr>
            <w:r>
              <w:rPr>
                <w:b/>
                <w:bCs/>
                <w:color w:val="75828F"/>
                <w:sz w:val="16"/>
                <w:szCs w:val="16"/>
              </w:rPr>
              <w:t xml:space="preserve">EFFORT</w:t>
            </w:r>
          </w:p>
        </w:tc>
      </w:tr>
      <w:tr>
        <w:tc>
          <w:tcPr>
            <w:tcW w:type="dxa" w:w="1100"/>
            <w:tcMar>
              <w:top w:type="dxa" w:w="90"/>
              <w:left w:type="dxa" w:w="120"/>
              <w:bottom w:type="dxa" w:w="90"/>
              <w:right w:type="dxa" w:w="120"/>
            </w:tcMar>
          </w:tcPr>
          <w:p>
            <w:pPr>
              <w:spacing w:after="0" w:line="260"/>
              <w:jc w:val="left"/>
            </w:pPr>
            <w:r>
              <w:rPr>
                <w:b/>
                <w:bCs/>
                <w:color w:val="16202B"/>
                <w:sz w:val="18"/>
                <w:szCs w:val="18"/>
              </w:rPr>
              <w:t xml:space="preserve">Phase 0</w:t>
            </w:r>
          </w:p>
        </w:tc>
        <w:tc>
          <w:tcPr>
            <w:tcW w:type="dxa" w:w="5760"/>
            <w:tcMar>
              <w:top w:type="dxa" w:w="90"/>
              <w:left w:type="dxa" w:w="120"/>
              <w:bottom w:type="dxa" w:w="90"/>
              <w:right w:type="dxa" w:w="120"/>
            </w:tcMar>
          </w:tcPr>
          <w:p>
            <w:pPr>
              <w:spacing w:after="60"/>
            </w:pPr>
            <w:r>
              <w:rPr>
                <w:b/>
                <w:bCs/>
                <w:color w:val="16202B"/>
                <w:sz w:val="18"/>
                <w:szCs w:val="18"/>
              </w:rPr>
              <w:t xml:space="preserve">Test register — Clause 37</w:t>
            </w:r>
          </w:p>
          <w:p>
            <w:pPr>
              <w:pStyle w:val="ListParagraph"/>
              <w:numPr>
                <w:ilvl w:val="0"/>
                <w:numId w:val="2"/>
              </w:numPr>
              <w:spacing w:after="30" w:line="250"/>
            </w:pPr>
            <w:r>
              <w:rPr>
                <w:color w:val="16202B"/>
                <w:sz w:val="17"/>
                <w:szCs w:val="17"/>
              </w:rPr>
              <w:t xml:space="preserve">Sample, date, specification, result, pass or fail</w:t>
            </w:r>
          </w:p>
          <w:p>
            <w:pPr>
              <w:pStyle w:val="ListParagraph"/>
              <w:numPr>
                <w:ilvl w:val="0"/>
                <w:numId w:val="2"/>
              </w:numPr>
              <w:spacing w:after="30" w:line="250"/>
            </w:pPr>
            <w:r>
              <w:rPr>
                <w:color w:val="16202B"/>
                <w:sz w:val="17"/>
                <w:szCs w:val="17"/>
              </w:rPr>
              <w:t xml:space="preserve">Retest chain against a failed test</w:t>
            </w:r>
          </w:p>
          <w:p>
            <w:pPr>
              <w:pStyle w:val="ListParagraph"/>
              <w:numPr>
                <w:ilvl w:val="0"/>
                <w:numId w:val="2"/>
              </w:numPr>
              <w:spacing w:after="30" w:line="250"/>
            </w:pPr>
            <w:r>
              <w:rPr>
                <w:color w:val="16202B"/>
                <w:sz w:val="17"/>
                <w:szCs w:val="17"/>
              </w:rPr>
              <w:t xml:space="preserve">Automatic defect raised on failure</w:t>
            </w:r>
          </w:p>
          <w:p>
            <w:pPr>
              <w:pStyle w:val="ListParagraph"/>
              <w:numPr>
                <w:ilvl w:val="0"/>
                <w:numId w:val="2"/>
              </w:numPr>
              <w:spacing w:after="30" w:line="250"/>
            </w:pPr>
            <w:r>
              <w:rPr>
                <w:color w:val="16202B"/>
                <w:sz w:val="17"/>
                <w:szCs w:val="17"/>
              </w:rPr>
              <w:t xml:space="preserve">Clause 37 shown beside the form</w:t>
            </w:r>
          </w:p>
        </w:tc>
        <w:tc>
          <w:tcPr>
            <w:tcW w:type="dxa" w:w="1300"/>
            <w:tcMar>
              <w:top w:type="dxa" w:w="90"/>
              <w:left w:type="dxa" w:w="120"/>
              <w:bottom w:type="dxa" w:w="90"/>
              <w:right w:type="dxa" w:w="120"/>
            </w:tcMar>
          </w:tcPr>
          <w:p>
            <w:pPr>
              <w:spacing w:after="0" w:line="260"/>
              <w:jc w:val="left"/>
            </w:pPr>
            <w:r>
              <w:rPr>
                <w:b w:val="false"/>
                <w:bCs w:val="false"/>
                <w:color w:val="16202B"/>
                <w:sz w:val="18"/>
                <w:szCs w:val="18"/>
              </w:rPr>
              <w:t xml:space="preserve">Week 1</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1.5 weeks</w:t>
            </w:r>
          </w:p>
        </w:tc>
      </w:tr>
      <w:tr>
        <w:tc>
          <w:tcPr>
            <w:tcW w:type="dxa" w:w="1100"/>
            <w:tcMar>
              <w:top w:type="dxa" w:w="90"/>
              <w:left w:type="dxa" w:w="120"/>
              <w:bottom w:type="dxa" w:w="90"/>
              <w:right w:type="dxa" w:w="120"/>
            </w:tcMar>
          </w:tcPr>
          <w:p>
            <w:pPr>
              <w:spacing w:after="0" w:line="260"/>
              <w:jc w:val="left"/>
            </w:pPr>
            <w:r>
              <w:rPr>
                <w:b/>
                <w:bCs/>
                <w:color w:val="16202B"/>
                <w:sz w:val="18"/>
                <w:szCs w:val="18"/>
              </w:rPr>
              <w:t xml:space="preserve">Phase 1</w:t>
            </w:r>
          </w:p>
        </w:tc>
        <w:tc>
          <w:tcPr>
            <w:tcW w:type="dxa" w:w="5760"/>
            <w:tcMar>
              <w:top w:type="dxa" w:w="90"/>
              <w:left w:type="dxa" w:w="120"/>
              <w:bottom w:type="dxa" w:w="90"/>
              <w:right w:type="dxa" w:w="120"/>
            </w:tcMar>
          </w:tcPr>
          <w:p>
            <w:pPr>
              <w:spacing w:after="60"/>
            </w:pPr>
            <w:r>
              <w:rPr>
                <w:b/>
                <w:bCs/>
                <w:color w:val="16202B"/>
                <w:sz w:val="18"/>
                <w:szCs w:val="18"/>
              </w:rPr>
              <w:t xml:space="preserve">Dayworks book — Clause 56</w:t>
            </w:r>
          </w:p>
          <w:p>
            <w:pPr>
              <w:pStyle w:val="ListParagraph"/>
              <w:numPr>
                <w:ilvl w:val="0"/>
                <w:numId w:val="2"/>
              </w:numPr>
              <w:spacing w:after="30" w:line="250"/>
            </w:pPr>
            <w:r>
              <w:rPr>
                <w:color w:val="16202B"/>
                <w:sz w:val="17"/>
                <w:szCs w:val="17"/>
              </w:rPr>
              <w:t xml:space="preserve">Labour, plant and materials at schedule rates</w:t>
            </w:r>
          </w:p>
          <w:p>
            <w:pPr>
              <w:pStyle w:val="ListParagraph"/>
              <w:numPr>
                <w:ilvl w:val="0"/>
                <w:numId w:val="2"/>
              </w:numPr>
              <w:spacing w:after="30" w:line="250"/>
            </w:pPr>
            <w:r>
              <w:rPr>
                <w:color w:val="16202B"/>
                <w:sz w:val="17"/>
                <w:szCs w:val="17"/>
              </w:rPr>
              <w:t xml:space="preserve">Daywork sheet approval by the Project Manager</w:t>
            </w:r>
          </w:p>
          <w:p>
            <w:pPr>
              <w:pStyle w:val="ListParagraph"/>
              <w:numPr>
                <w:ilvl w:val="0"/>
                <w:numId w:val="2"/>
              </w:numPr>
              <w:spacing w:after="30" w:line="250"/>
            </w:pPr>
            <w:r>
              <w:rPr>
                <w:color w:val="16202B"/>
                <w:sz w:val="17"/>
                <w:szCs w:val="17"/>
              </w:rPr>
              <w:t xml:space="preserve">Valuation carried into the certificate</w:t>
            </w:r>
          </w:p>
        </w:tc>
        <w:tc>
          <w:tcPr>
            <w:tcW w:type="dxa" w:w="1300"/>
            <w:tcMar>
              <w:top w:type="dxa" w:w="90"/>
              <w:left w:type="dxa" w:w="120"/>
              <w:bottom w:type="dxa" w:w="90"/>
              <w:right w:type="dxa" w:w="120"/>
            </w:tcMar>
          </w:tcPr>
          <w:p>
            <w:pPr>
              <w:spacing w:after="0" w:line="260"/>
              <w:jc w:val="left"/>
            </w:pPr>
            <w:r>
              <w:rPr>
                <w:b w:val="false"/>
                <w:bCs w:val="false"/>
                <w:color w:val="16202B"/>
                <w:sz w:val="18"/>
                <w:szCs w:val="18"/>
              </w:rPr>
              <w:t xml:space="preserve">Week 1–2</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2 weeks</w:t>
            </w:r>
          </w:p>
        </w:tc>
      </w:tr>
      <w:tr>
        <w:tc>
          <w:tcPr>
            <w:tcW w:type="dxa" w:w="1100"/>
            <w:tcMar>
              <w:top w:type="dxa" w:w="90"/>
              <w:left w:type="dxa" w:w="120"/>
              <w:bottom w:type="dxa" w:w="90"/>
              <w:right w:type="dxa" w:w="120"/>
            </w:tcMar>
          </w:tcPr>
          <w:p>
            <w:pPr>
              <w:spacing w:after="0" w:line="260"/>
              <w:jc w:val="left"/>
            </w:pPr>
            <w:r>
              <w:rPr>
                <w:b/>
                <w:bCs/>
                <w:color w:val="16202B"/>
                <w:sz w:val="18"/>
                <w:szCs w:val="18"/>
              </w:rPr>
              <w:t xml:space="preserve">Phase 2</w:t>
            </w:r>
          </w:p>
        </w:tc>
        <w:tc>
          <w:tcPr>
            <w:tcW w:type="dxa" w:w="5760"/>
            <w:tcMar>
              <w:top w:type="dxa" w:w="90"/>
              <w:left w:type="dxa" w:w="120"/>
              <w:bottom w:type="dxa" w:w="90"/>
              <w:right w:type="dxa" w:w="120"/>
            </w:tcMar>
          </w:tcPr>
          <w:p>
            <w:pPr>
              <w:spacing w:after="60"/>
            </w:pPr>
            <w:r>
              <w:rPr>
                <w:b/>
                <w:bCs/>
                <w:color w:val="16202B"/>
                <w:sz w:val="18"/>
                <w:szCs w:val="18"/>
              </w:rPr>
              <w:t xml:space="preserve">Engine extension</w:t>
            </w:r>
          </w:p>
          <w:p>
            <w:pPr>
              <w:pStyle w:val="ListParagraph"/>
              <w:numPr>
                <w:ilvl w:val="0"/>
                <w:numId w:val="2"/>
              </w:numPr>
              <w:spacing w:after="30" w:line="250"/>
            </w:pPr>
            <w:r>
              <w:rPr>
                <w:color w:val="16202B"/>
                <w:sz w:val="17"/>
                <w:szCs w:val="17"/>
              </w:rPr>
              <w:t xml:space="preserve">Dayworks valued inside the net adjustable amount</w:t>
            </w:r>
          </w:p>
          <w:p>
            <w:pPr>
              <w:pStyle w:val="ListParagraph"/>
              <w:numPr>
                <w:ilvl w:val="0"/>
                <w:numId w:val="2"/>
              </w:numPr>
              <w:spacing w:after="30" w:line="250"/>
            </w:pPr>
            <w:r>
              <w:rPr>
                <w:color w:val="16202B"/>
                <w:sz w:val="17"/>
                <w:szCs w:val="17"/>
              </w:rPr>
              <w:t xml:space="preserve">Forecast variance folded with the certified chain</w:t>
            </w:r>
          </w:p>
          <w:p>
            <w:pPr>
              <w:pStyle w:val="ListParagraph"/>
              <w:numPr>
                <w:ilvl w:val="0"/>
                <w:numId w:val="2"/>
              </w:numPr>
              <w:spacing w:after="30" w:line="250"/>
            </w:pPr>
            <w:r>
              <w:rPr>
                <w:color w:val="16202B"/>
                <w:sz w:val="17"/>
                <w:szCs w:val="17"/>
              </w:rPr>
              <w:t xml:space="preserve">Test coverage for both</w:t>
            </w:r>
          </w:p>
        </w:tc>
        <w:tc>
          <w:tcPr>
            <w:tcW w:type="dxa" w:w="1300"/>
            <w:tcMar>
              <w:top w:type="dxa" w:w="90"/>
              <w:left w:type="dxa" w:w="120"/>
              <w:bottom w:type="dxa" w:w="90"/>
              <w:right w:type="dxa" w:w="120"/>
            </w:tcMar>
          </w:tcPr>
          <w:p>
            <w:pPr>
              <w:spacing w:after="0" w:line="260"/>
              <w:jc w:val="left"/>
            </w:pPr>
            <w:r>
              <w:rPr>
                <w:b w:val="false"/>
                <w:bCs w:val="false"/>
                <w:color w:val="16202B"/>
                <w:sz w:val="18"/>
                <w:szCs w:val="18"/>
              </w:rPr>
              <w:t xml:space="preserve">Week 2–3</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2 weeks</w:t>
            </w:r>
          </w:p>
        </w:tc>
      </w:tr>
      <w:tr>
        <w:tc>
          <w:tcPr>
            <w:tcW w:type="dxa" w:w="1100"/>
            <w:tcMar>
              <w:top w:type="dxa" w:w="90"/>
              <w:left w:type="dxa" w:w="120"/>
              <w:bottom w:type="dxa" w:w="90"/>
              <w:right w:type="dxa" w:w="120"/>
            </w:tcMar>
          </w:tcPr>
          <w:p>
            <w:pPr>
              <w:spacing w:after="0" w:line="260"/>
              <w:jc w:val="left"/>
            </w:pPr>
            <w:r>
              <w:rPr>
                <w:b/>
                <w:bCs/>
                <w:color w:val="16202B"/>
                <w:sz w:val="18"/>
                <w:szCs w:val="18"/>
              </w:rPr>
              <w:t xml:space="preserve">Phase 3</w:t>
            </w:r>
          </w:p>
        </w:tc>
        <w:tc>
          <w:tcPr>
            <w:tcW w:type="dxa" w:w="5760"/>
            <w:tcMar>
              <w:top w:type="dxa" w:w="90"/>
              <w:left w:type="dxa" w:w="120"/>
              <w:bottom w:type="dxa" w:w="90"/>
              <w:right w:type="dxa" w:w="120"/>
            </w:tcMar>
          </w:tcPr>
          <w:p>
            <w:pPr>
              <w:spacing w:after="60"/>
            </w:pPr>
            <w:r>
              <w:rPr>
                <w:b/>
                <w:bCs/>
                <w:color w:val="16202B"/>
                <w:sz w:val="18"/>
                <w:szCs w:val="18"/>
              </w:rPr>
              <w:t xml:space="preserve">Cash flow forecast — Clause 44</w:t>
            </w:r>
          </w:p>
          <w:p>
            <w:pPr>
              <w:pStyle w:val="ListParagraph"/>
              <w:numPr>
                <w:ilvl w:val="0"/>
                <w:numId w:val="2"/>
              </w:numPr>
              <w:spacing w:after="30" w:line="250"/>
            </w:pPr>
            <w:r>
              <w:rPr>
                <w:color w:val="16202B"/>
                <w:sz w:val="17"/>
                <w:szCs w:val="17"/>
              </w:rPr>
              <w:t xml:space="preserve">Baseline drawdown per period against the programme</w:t>
            </w:r>
          </w:p>
          <w:p>
            <w:pPr>
              <w:pStyle w:val="ListParagraph"/>
              <w:numPr>
                <w:ilvl w:val="0"/>
                <w:numId w:val="2"/>
              </w:numPr>
              <w:spacing w:after="30" w:line="250"/>
            </w:pPr>
            <w:r>
              <w:rPr>
                <w:color w:val="16202B"/>
                <w:sz w:val="17"/>
                <w:szCs w:val="17"/>
              </w:rPr>
              <w:t xml:space="preserve">Forecast against certified, with variance and S-curve</w:t>
            </w:r>
          </w:p>
          <w:p>
            <w:pPr>
              <w:pStyle w:val="ListParagraph"/>
              <w:numPr>
                <w:ilvl w:val="0"/>
                <w:numId w:val="2"/>
              </w:numPr>
              <w:spacing w:after="30" w:line="250"/>
            </w:pPr>
            <w:r>
              <w:rPr>
                <w:color w:val="16202B"/>
                <w:sz w:val="17"/>
                <w:szCs w:val="17"/>
              </w:rPr>
              <w:t xml:space="preserve">Alert when drawdown falls behind</w:t>
            </w:r>
          </w:p>
        </w:tc>
        <w:tc>
          <w:tcPr>
            <w:tcW w:type="dxa" w:w="1300"/>
            <w:tcMar>
              <w:top w:type="dxa" w:w="90"/>
              <w:left w:type="dxa" w:w="120"/>
              <w:bottom w:type="dxa" w:w="90"/>
              <w:right w:type="dxa" w:w="120"/>
            </w:tcMar>
          </w:tcPr>
          <w:p>
            <w:pPr>
              <w:spacing w:after="0" w:line="260"/>
              <w:jc w:val="left"/>
            </w:pPr>
            <w:r>
              <w:rPr>
                <w:b w:val="false"/>
                <w:bCs w:val="false"/>
                <w:color w:val="16202B"/>
                <w:sz w:val="18"/>
                <w:szCs w:val="18"/>
              </w:rPr>
              <w:t xml:space="preserve">Week 3–4</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2 weeks</w:t>
            </w:r>
          </w:p>
        </w:tc>
      </w:tr>
      <w:tr>
        <w:tc>
          <w:tcPr>
            <w:tcW w:type="dxa" w:w="1100"/>
            <w:tcMar>
              <w:top w:type="dxa" w:w="90"/>
              <w:left w:type="dxa" w:w="120"/>
              <w:bottom w:type="dxa" w:w="90"/>
              <w:right w:type="dxa" w:w="120"/>
            </w:tcMar>
          </w:tcPr>
          <w:p>
            <w:pPr>
              <w:spacing w:after="0" w:line="260"/>
              <w:jc w:val="left"/>
            </w:pPr>
            <w:r>
              <w:rPr>
                <w:b/>
                <w:bCs/>
                <w:color w:val="16202B"/>
                <w:sz w:val="18"/>
                <w:szCs w:val="18"/>
              </w:rPr>
              <w:t xml:space="preserve">Phase 4</w:t>
            </w:r>
          </w:p>
        </w:tc>
        <w:tc>
          <w:tcPr>
            <w:tcW w:type="dxa" w:w="5760"/>
            <w:tcMar>
              <w:top w:type="dxa" w:w="90"/>
              <w:left w:type="dxa" w:w="120"/>
              <w:bottom w:type="dxa" w:w="90"/>
              <w:right w:type="dxa" w:w="120"/>
            </w:tcMar>
          </w:tcPr>
          <w:p>
            <w:pPr>
              <w:spacing w:after="60"/>
            </w:pPr>
            <w:r>
              <w:rPr>
                <w:b/>
                <w:bCs/>
                <w:color w:val="16202B"/>
                <w:sz w:val="18"/>
                <w:szCs w:val="18"/>
              </w:rPr>
              <w:t xml:space="preserve">Certificates and final account documents</w:t>
            </w:r>
          </w:p>
          <w:p>
            <w:pPr>
              <w:pStyle w:val="ListParagraph"/>
              <w:numPr>
                <w:ilvl w:val="0"/>
                <w:numId w:val="2"/>
              </w:numPr>
              <w:spacing w:after="30" w:line="250"/>
            </w:pPr>
            <w:r>
              <w:rPr>
                <w:color w:val="16202B"/>
                <w:sz w:val="17"/>
                <w:szCs w:val="17"/>
              </w:rPr>
              <w:t xml:space="preserve">Printed IPC in the Ministry’s layout</w:t>
            </w:r>
          </w:p>
          <w:p>
            <w:pPr>
              <w:pStyle w:val="ListParagraph"/>
              <w:numPr>
                <w:ilvl w:val="0"/>
                <w:numId w:val="2"/>
              </w:numPr>
              <w:spacing w:after="30" w:line="250"/>
            </w:pPr>
            <w:r>
              <w:rPr>
                <w:color w:val="16202B"/>
                <w:sz w:val="17"/>
                <w:szCs w:val="17"/>
              </w:rPr>
              <w:t xml:space="preserve">Completion, taking-over and defects-liability certificates</w:t>
            </w:r>
          </w:p>
          <w:p>
            <w:pPr>
              <w:pStyle w:val="ListParagraph"/>
              <w:numPr>
                <w:ilvl w:val="0"/>
                <w:numId w:val="2"/>
              </w:numPr>
              <w:spacing w:after="30" w:line="250"/>
            </w:pPr>
            <w:r>
              <w:rPr>
                <w:color w:val="16202B"/>
                <w:sz w:val="17"/>
                <w:szCs w:val="17"/>
              </w:rPr>
              <w:t xml:space="preserve">Final account statement with the settlement position</w:t>
            </w:r>
          </w:p>
        </w:tc>
        <w:tc>
          <w:tcPr>
            <w:tcW w:type="dxa" w:w="1300"/>
            <w:tcMar>
              <w:top w:type="dxa" w:w="90"/>
              <w:left w:type="dxa" w:w="120"/>
              <w:bottom w:type="dxa" w:w="90"/>
              <w:right w:type="dxa" w:w="120"/>
            </w:tcMar>
          </w:tcPr>
          <w:p>
            <w:pPr>
              <w:spacing w:after="0" w:line="260"/>
              <w:jc w:val="left"/>
            </w:pPr>
            <w:r>
              <w:rPr>
                <w:b w:val="false"/>
                <w:bCs w:val="false"/>
                <w:color w:val="16202B"/>
                <w:sz w:val="18"/>
                <w:szCs w:val="18"/>
              </w:rPr>
              <w:t xml:space="preserve">Week 4–5</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2 weeks</w:t>
            </w:r>
          </w:p>
        </w:tc>
      </w:tr>
      <w:tr>
        <w:tc>
          <w:tcPr>
            <w:tcW w:type="dxa" w:w="1100"/>
            <w:tcMar>
              <w:top w:type="dxa" w:w="90"/>
              <w:left w:type="dxa" w:w="120"/>
              <w:bottom w:type="dxa" w:w="90"/>
              <w:right w:type="dxa" w:w="120"/>
            </w:tcMar>
          </w:tcPr>
          <w:p>
            <w:pPr>
              <w:spacing w:after="0" w:line="260"/>
              <w:jc w:val="left"/>
            </w:pPr>
            <w:r>
              <w:rPr>
                <w:b/>
                <w:bCs/>
                <w:color w:val="16202B"/>
                <w:sz w:val="18"/>
                <w:szCs w:val="18"/>
              </w:rPr>
              <w:t xml:space="preserve">Phase 5</w:t>
            </w:r>
          </w:p>
        </w:tc>
        <w:tc>
          <w:tcPr>
            <w:tcW w:type="dxa" w:w="5760"/>
            <w:tcMar>
              <w:top w:type="dxa" w:w="90"/>
              <w:left w:type="dxa" w:w="120"/>
              <w:bottom w:type="dxa" w:w="90"/>
              <w:right w:type="dxa" w:w="120"/>
            </w:tcMar>
          </w:tcPr>
          <w:p>
            <w:pPr>
              <w:spacing w:after="60"/>
            </w:pPr>
            <w:r>
              <w:rPr>
                <w:b/>
                <w:bCs/>
                <w:color w:val="16202B"/>
                <w:sz w:val="18"/>
                <w:szCs w:val="18"/>
              </w:rPr>
              <w:t xml:space="preserve">Pilot and acceptance</w:t>
            </w:r>
          </w:p>
          <w:p>
            <w:pPr>
              <w:pStyle w:val="ListParagraph"/>
              <w:numPr>
                <w:ilvl w:val="0"/>
                <w:numId w:val="2"/>
              </w:numPr>
              <w:spacing w:after="30" w:line="250"/>
            </w:pPr>
            <w:r>
              <w:rPr>
                <w:color w:val="16202B"/>
                <w:sz w:val="17"/>
                <w:szCs w:val="17"/>
              </w:rPr>
              <w:t xml:space="preserve">Run a live contract end to end through the registers</w:t>
            </w:r>
          </w:p>
          <w:p>
            <w:pPr>
              <w:pStyle w:val="ListParagraph"/>
              <w:numPr>
                <w:ilvl w:val="0"/>
                <w:numId w:val="2"/>
              </w:numPr>
              <w:spacing w:after="30" w:line="250"/>
            </w:pPr>
            <w:r>
              <w:rPr>
                <w:color w:val="16202B"/>
                <w:sz w:val="17"/>
                <w:szCs w:val="17"/>
              </w:rPr>
              <w:t xml:space="preserve">Reconcile against an issued certificate</w:t>
            </w:r>
          </w:p>
          <w:p>
            <w:pPr>
              <w:pStyle w:val="ListParagraph"/>
              <w:numPr>
                <w:ilvl w:val="0"/>
                <w:numId w:val="2"/>
              </w:numPr>
              <w:spacing w:after="30" w:line="250"/>
            </w:pPr>
            <w:r>
              <w:rPr>
                <w:color w:val="16202B"/>
                <w:sz w:val="17"/>
                <w:szCs w:val="17"/>
              </w:rPr>
              <w:t xml:space="preserve">Handover, operator training, documentation</w:t>
            </w:r>
          </w:p>
        </w:tc>
        <w:tc>
          <w:tcPr>
            <w:tcW w:type="dxa" w:w="1300"/>
            <w:tcMar>
              <w:top w:type="dxa" w:w="90"/>
              <w:left w:type="dxa" w:w="120"/>
              <w:bottom w:type="dxa" w:w="90"/>
              <w:right w:type="dxa" w:w="120"/>
            </w:tcMar>
          </w:tcPr>
          <w:p>
            <w:pPr>
              <w:spacing w:after="0" w:line="260"/>
              <w:jc w:val="left"/>
            </w:pPr>
            <w:r>
              <w:rPr>
                <w:b w:val="false"/>
                <w:bCs w:val="false"/>
                <w:color w:val="16202B"/>
                <w:sz w:val="18"/>
                <w:szCs w:val="18"/>
              </w:rPr>
              <w:t xml:space="preserve">Week 5–6</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1 week</w:t>
            </w:r>
          </w:p>
        </w:tc>
      </w:tr>
    </w:tbl>
    <w:p>
      <w:pPr>
        <w:pStyle w:val="Heading2"/>
        <w:spacing w:after="110" w:before="280"/>
      </w:pPr>
      <w:r>
        <w:rPr>
          <w:b/>
          <w:bCs/>
          <w:color w:val="75828F"/>
          <w:sz w:val="23"/>
          <w:szCs w:val="23"/>
        </w:rPr>
        <w:t xml:space="preserve">4.1  </w:t>
      </w:r>
      <w:r>
        <w:rPr>
          <w:b/>
          <w:bCs/>
          <w:color w:val="16202B"/>
          <w:sz w:val="23"/>
          <w:szCs w:val="23"/>
        </w:rPr>
        <w:t xml:space="preserve">Scope analysis and technical difficulty</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2600"/>
        <w:gridCol w:w="1900"/>
        <w:gridCol w:w="2660"/>
        <w:gridCol w:w="1100"/>
        <w:gridCol w:w="1100"/>
      </w:tblGrid>
      <w:tr>
        <w:trPr>
          <w:tblHeader/>
        </w:trPr>
        <w:tc>
          <w:tcPr>
            <w:tcW w:type="dxa" w:w="2600"/>
            <w:shd w:fill="EEF2F5" w:color="auto" w:val="clear"/>
            <w:tcMar>
              <w:top w:type="dxa" w:w="90"/>
              <w:left w:type="dxa" w:w="120"/>
              <w:bottom w:type="dxa" w:w="90"/>
              <w:right w:type="dxa" w:w="120"/>
            </w:tcMar>
          </w:tcPr>
          <w:p>
            <w:pPr>
              <w:spacing w:after="0"/>
            </w:pPr>
            <w:r>
              <w:rPr>
                <w:b/>
                <w:bCs/>
                <w:color w:val="75828F"/>
                <w:sz w:val="16"/>
                <w:szCs w:val="16"/>
              </w:rPr>
              <w:t xml:space="preserve">COMPONENT</w:t>
            </w:r>
          </w:p>
        </w:tc>
        <w:tc>
          <w:tcPr>
            <w:tcW w:type="dxa" w:w="1900"/>
            <w:shd w:fill="EEF2F5" w:color="auto" w:val="clear"/>
            <w:tcMar>
              <w:top w:type="dxa" w:w="90"/>
              <w:left w:type="dxa" w:w="120"/>
              <w:bottom w:type="dxa" w:w="90"/>
              <w:right w:type="dxa" w:w="120"/>
            </w:tcMar>
          </w:tcPr>
          <w:p>
            <w:pPr>
              <w:spacing w:after="0"/>
            </w:pPr>
            <w:r>
              <w:rPr>
                <w:b/>
                <w:bCs/>
                <w:color w:val="75828F"/>
                <w:sz w:val="16"/>
                <w:szCs w:val="16"/>
              </w:rPr>
              <w:t xml:space="preserve">TYPE</w:t>
            </w:r>
          </w:p>
        </w:tc>
        <w:tc>
          <w:tcPr>
            <w:tcW w:type="dxa" w:w="2660"/>
            <w:shd w:fill="EEF2F5" w:color="auto" w:val="clear"/>
            <w:tcMar>
              <w:top w:type="dxa" w:w="90"/>
              <w:left w:type="dxa" w:w="120"/>
              <w:bottom w:type="dxa" w:w="90"/>
              <w:right w:type="dxa" w:w="120"/>
            </w:tcMar>
          </w:tcPr>
          <w:p>
            <w:pPr>
              <w:spacing w:after="0"/>
            </w:pPr>
            <w:r>
              <w:rPr>
                <w:b/>
                <w:bCs/>
                <w:color w:val="75828F"/>
                <w:sz w:val="16"/>
                <w:szCs w:val="16"/>
              </w:rPr>
              <w:t xml:space="preserve">REUSES</w:t>
            </w:r>
          </w:p>
        </w:tc>
        <w:tc>
          <w:tcPr>
            <w:tcW w:type="dxa" w:w="1100"/>
            <w:shd w:fill="EEF2F5" w:color="auto" w:val="clear"/>
            <w:tcMar>
              <w:top w:type="dxa" w:w="90"/>
              <w:left w:type="dxa" w:w="120"/>
              <w:bottom w:type="dxa" w:w="90"/>
              <w:right w:type="dxa" w:w="120"/>
            </w:tcMar>
          </w:tcPr>
          <w:p>
            <w:pPr>
              <w:spacing w:after="0"/>
            </w:pPr>
            <w:r>
              <w:rPr>
                <w:b/>
                <w:bCs/>
                <w:color w:val="75828F"/>
                <w:sz w:val="16"/>
                <w:szCs w:val="16"/>
              </w:rPr>
              <w:t xml:space="preserve">DIFFICULTY</w:t>
            </w:r>
          </w:p>
        </w:tc>
        <w:tc>
          <w:tcPr>
            <w:tcW w:type="dxa" w:w="1100"/>
            <w:shd w:fill="EEF2F5" w:color="auto" w:val="clear"/>
            <w:tcMar>
              <w:top w:type="dxa" w:w="90"/>
              <w:left w:type="dxa" w:w="120"/>
              <w:bottom w:type="dxa" w:w="90"/>
              <w:right w:type="dxa" w:w="120"/>
            </w:tcMar>
          </w:tcPr>
          <w:p>
            <w:pPr>
              <w:spacing w:after="0"/>
            </w:pPr>
            <w:r>
              <w:rPr>
                <w:b/>
                <w:bCs/>
                <w:color w:val="75828F"/>
                <w:sz w:val="16"/>
                <w:szCs w:val="16"/>
              </w:rPr>
              <w:t xml:space="preserve">RISK</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Test register</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New table and view</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Events pattern, clause library</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Test to defect trigger</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Model event</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Defects register</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Dayworks sheets</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New table and lines</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Document line structure</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Dayworks in certificate</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Engine change</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Net adjustable amount</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Forecast baseline</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New table</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Period list</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Variance and S-curve</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Engine and chart</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Certified chain</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Printed certificates</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Document export</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XLSX writer, layout</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r>
      <w:tr>
        <w:tc>
          <w:tcPr>
            <w:tcW w:type="dxa" w:w="2600"/>
            <w:tcMar>
              <w:top w:type="dxa" w:w="90"/>
              <w:left w:type="dxa" w:w="120"/>
              <w:bottom w:type="dxa" w:w="90"/>
              <w:right w:type="dxa" w:w="120"/>
            </w:tcMar>
          </w:tcPr>
          <w:p>
            <w:pPr>
              <w:spacing w:after="0" w:line="260"/>
              <w:jc w:val="left"/>
            </w:pPr>
            <w:r>
              <w:rPr>
                <w:b/>
                <w:bCs/>
                <w:color w:val="16202B"/>
                <w:sz w:val="18"/>
                <w:szCs w:val="18"/>
              </w:rPr>
              <w:t xml:space="preserve">Final account statement</w:t>
            </w:r>
          </w:p>
        </w:tc>
        <w:tc>
          <w:tcPr>
            <w:tcW w:type="dxa" w:w="1900"/>
            <w:tcMar>
              <w:top w:type="dxa" w:w="90"/>
              <w:left w:type="dxa" w:w="120"/>
              <w:bottom w:type="dxa" w:w="90"/>
              <w:right w:type="dxa" w:w="120"/>
            </w:tcMar>
          </w:tcPr>
          <w:p>
            <w:pPr>
              <w:spacing w:after="0" w:line="260"/>
              <w:jc w:val="left"/>
            </w:pPr>
            <w:r>
              <w:rPr>
                <w:b w:val="false"/>
                <w:bCs w:val="false"/>
                <w:color w:val="16202B"/>
                <w:sz w:val="18"/>
                <w:szCs w:val="18"/>
              </w:rPr>
              <w:t xml:space="preserve">Report</w:t>
            </w:r>
          </w:p>
        </w:tc>
        <w:tc>
          <w:tcPr>
            <w:tcW w:type="dxa" w:w="2660"/>
            <w:tcMar>
              <w:top w:type="dxa" w:w="90"/>
              <w:left w:type="dxa" w:w="120"/>
              <w:bottom w:type="dxa" w:w="90"/>
              <w:right w:type="dxa" w:w="120"/>
            </w:tcMar>
          </w:tcPr>
          <w:p>
            <w:pPr>
              <w:spacing w:after="0" w:line="260"/>
              <w:jc w:val="left"/>
            </w:pPr>
            <w:r>
              <w:rPr>
                <w:b w:val="false"/>
                <w:bCs w:val="false"/>
                <w:color w:val="16202B"/>
                <w:sz w:val="18"/>
                <w:szCs w:val="18"/>
              </w:rPr>
              <w:t xml:space="preserve">Settlement position</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r>
    </w:tbl>
    <w:p>
      <w:pPr>
        <w:spacing w:after="160" w:line="300"/>
      </w:pPr>
      <w:r>
        <w:rPr>
          <w:color w:val="16202B"/>
          <w:sz w:val="21"/>
          <w:szCs w:val="21"/>
        </w:rPr>
        <w:t xml:space="preserve">No component requires new infrastructure, a new dependency, or a change to the tenancy, permission or plan model. The two medium-risk items both touch the engine, which is why Phase 2 is sequenced before the work that depends on it.</w:t>
      </w:r>
    </w:p>
    <w:p>
      <w:pPr>
        <w:pStyle w:val="Heading1"/>
        <w:pBdr>
          <w:bottom w:val="single" w:color="D9DDD8" w:sz="6" w:space="6"/>
        </w:pBdr>
        <w:spacing w:after="160" w:before="380"/>
      </w:pPr>
      <w:r>
        <w:rPr>
          <w:b/>
          <w:bCs/>
          <w:color w:val="1F5F8B"/>
          <w:sz w:val="30"/>
          <w:szCs w:val="30"/>
        </w:rPr>
        <w:t xml:space="preserve">5.  </w:t>
      </w:r>
      <w:r>
        <w:rPr>
          <w:b/>
          <w:bCs/>
          <w:color w:val="16202B"/>
          <w:sz w:val="30"/>
          <w:szCs w:val="30"/>
        </w:rPr>
        <w:t xml:space="preserve">Success Criteria and Metrics</w:t>
      </w:r>
    </w:p>
    <w:p>
      <w:pPr>
        <w:pStyle w:val="Heading2"/>
        <w:spacing w:after="110" w:before="280"/>
      </w:pPr>
      <w:r>
        <w:rPr>
          <w:b/>
          <w:bCs/>
          <w:color w:val="75828F"/>
          <w:sz w:val="23"/>
          <w:szCs w:val="23"/>
        </w:rPr>
        <w:t xml:space="preserve">5.1  </w:t>
      </w:r>
      <w:r>
        <w:rPr>
          <w:b/>
          <w:bCs/>
          <w:color w:val="16202B"/>
          <w:sz w:val="23"/>
          <w:szCs w:val="23"/>
        </w:rPr>
        <w:t xml:space="preserve">Core operational metrics</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4680"/>
        <w:gridCol w:w="2340"/>
        <w:gridCol w:w="2340"/>
      </w:tblGrid>
      <w:tr>
        <w:trPr>
          <w:tblHeader/>
        </w:trPr>
        <w:tc>
          <w:tcPr>
            <w:tcW w:type="dxa" w:w="4680"/>
            <w:shd w:fill="EEF2F5" w:color="auto" w:val="clear"/>
            <w:tcMar>
              <w:top w:type="dxa" w:w="90"/>
              <w:left w:type="dxa" w:w="120"/>
              <w:bottom w:type="dxa" w:w="90"/>
              <w:right w:type="dxa" w:w="120"/>
            </w:tcMar>
          </w:tcPr>
          <w:p>
            <w:pPr>
              <w:spacing w:after="0"/>
            </w:pPr>
            <w:r>
              <w:rPr>
                <w:b/>
                <w:bCs/>
                <w:color w:val="75828F"/>
                <w:sz w:val="16"/>
                <w:szCs w:val="16"/>
              </w:rPr>
              <w:t xml:space="preserve">METRIC</w:t>
            </w:r>
          </w:p>
        </w:tc>
        <w:tc>
          <w:tcPr>
            <w:tcW w:type="dxa" w:w="2340"/>
            <w:shd w:fill="EEF2F5" w:color="auto" w:val="clear"/>
            <w:tcMar>
              <w:top w:type="dxa" w:w="90"/>
              <w:left w:type="dxa" w:w="120"/>
              <w:bottom w:type="dxa" w:w="90"/>
              <w:right w:type="dxa" w:w="120"/>
            </w:tcMar>
          </w:tcPr>
          <w:p>
            <w:pPr>
              <w:spacing w:after="0"/>
            </w:pPr>
            <w:r>
              <w:rPr>
                <w:b/>
                <w:bCs/>
                <w:color w:val="75828F"/>
                <w:sz w:val="16"/>
                <w:szCs w:val="16"/>
              </w:rPr>
              <w:t xml:space="preserve">BASELINE TODAY</w:t>
            </w:r>
          </w:p>
        </w:tc>
        <w:tc>
          <w:tcPr>
            <w:tcW w:type="dxa" w:w="2340"/>
            <w:shd w:fill="EEF2F5" w:color="auto" w:val="clear"/>
            <w:tcMar>
              <w:top w:type="dxa" w:w="90"/>
              <w:left w:type="dxa" w:w="120"/>
              <w:bottom w:type="dxa" w:w="90"/>
              <w:right w:type="dxa" w:w="120"/>
            </w:tcMar>
          </w:tcPr>
          <w:p>
            <w:pPr>
              <w:spacing w:after="0"/>
            </w:pPr>
            <w:r>
              <w:rPr>
                <w:b/>
                <w:bCs/>
                <w:color w:val="75828F"/>
                <w:sz w:val="16"/>
                <w:szCs w:val="16"/>
              </w:rPr>
              <w:t xml:space="preserve">TARGET</w:t>
            </w:r>
          </w:p>
        </w:tc>
      </w:tr>
      <w:tr>
        <w:tc>
          <w:tcPr>
            <w:tcW w:type="dxa" w:w="4680"/>
            <w:tcMar>
              <w:top w:type="dxa" w:w="90"/>
              <w:left w:type="dxa" w:w="120"/>
              <w:bottom w:type="dxa" w:w="90"/>
              <w:right w:type="dxa" w:w="120"/>
            </w:tcMar>
          </w:tcPr>
          <w:p>
            <w:pPr>
              <w:spacing w:after="0" w:line="260"/>
              <w:jc w:val="left"/>
            </w:pPr>
            <w:r>
              <w:rPr>
                <w:b/>
                <w:bCs/>
                <w:color w:val="16202B"/>
                <w:sz w:val="18"/>
                <w:szCs w:val="18"/>
              </w:rPr>
              <w:t xml:space="preserve">Lifecycle stages live</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18 of 22</w:t>
            </w:r>
          </w:p>
        </w:tc>
        <w:tc>
          <w:tcPr>
            <w:tcW w:type="dxa" w:w="2340"/>
            <w:tcMar>
              <w:top w:type="dxa" w:w="90"/>
              <w:left w:type="dxa" w:w="120"/>
              <w:bottom w:type="dxa" w:w="90"/>
              <w:right w:type="dxa" w:w="120"/>
            </w:tcMar>
          </w:tcPr>
          <w:p>
            <w:pPr>
              <w:spacing w:after="0" w:line="260"/>
              <w:jc w:val="left"/>
            </w:pPr>
            <w:r>
              <w:rPr>
                <w:b/>
                <w:bCs/>
                <w:color w:val="16202B"/>
                <w:sz w:val="18"/>
                <w:szCs w:val="18"/>
              </w:rPr>
              <w:t xml:space="preserve">22 of 22</w:t>
            </w:r>
          </w:p>
        </w:tc>
      </w:tr>
      <w:tr>
        <w:tc>
          <w:tcPr>
            <w:tcW w:type="dxa" w:w="4680"/>
            <w:tcMar>
              <w:top w:type="dxa" w:w="90"/>
              <w:left w:type="dxa" w:w="120"/>
              <w:bottom w:type="dxa" w:w="90"/>
              <w:right w:type="dxa" w:w="120"/>
            </w:tcMar>
          </w:tcPr>
          <w:p>
            <w:pPr>
              <w:spacing w:after="0" w:line="260"/>
              <w:jc w:val="left"/>
            </w:pPr>
            <w:r>
              <w:rPr>
                <w:b/>
                <w:bCs/>
                <w:color w:val="16202B"/>
                <w:sz w:val="18"/>
                <w:szCs w:val="18"/>
              </w:rPr>
              <w:t xml:space="preserve">Engine tests passing</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19</w:t>
            </w:r>
          </w:p>
        </w:tc>
        <w:tc>
          <w:tcPr>
            <w:tcW w:type="dxa" w:w="2340"/>
            <w:tcMar>
              <w:top w:type="dxa" w:w="90"/>
              <w:left w:type="dxa" w:w="120"/>
              <w:bottom w:type="dxa" w:w="90"/>
              <w:right w:type="dxa" w:w="120"/>
            </w:tcMar>
          </w:tcPr>
          <w:p>
            <w:pPr>
              <w:spacing w:after="0" w:line="260"/>
              <w:jc w:val="left"/>
            </w:pPr>
            <w:r>
              <w:rPr>
                <w:b/>
                <w:bCs/>
                <w:color w:val="16202B"/>
                <w:sz w:val="18"/>
                <w:szCs w:val="18"/>
              </w:rPr>
              <w:t xml:space="preserve">30 or more</w:t>
            </w:r>
          </w:p>
        </w:tc>
      </w:tr>
      <w:tr>
        <w:tc>
          <w:tcPr>
            <w:tcW w:type="dxa" w:w="4680"/>
            <w:tcMar>
              <w:top w:type="dxa" w:w="90"/>
              <w:left w:type="dxa" w:w="120"/>
              <w:bottom w:type="dxa" w:w="90"/>
              <w:right w:type="dxa" w:w="120"/>
            </w:tcMar>
          </w:tcPr>
          <w:p>
            <w:pPr>
              <w:spacing w:after="0" w:line="260"/>
              <w:jc w:val="left"/>
            </w:pPr>
            <w:r>
              <w:rPr>
                <w:b/>
                <w:bCs/>
                <w:color w:val="16202B"/>
                <w:sz w:val="18"/>
                <w:szCs w:val="18"/>
              </w:rPr>
              <w:t xml:space="preserve">Test results held in system</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none</w:t>
            </w:r>
          </w:p>
        </w:tc>
        <w:tc>
          <w:tcPr>
            <w:tcW w:type="dxa" w:w="2340"/>
            <w:tcMar>
              <w:top w:type="dxa" w:w="90"/>
              <w:left w:type="dxa" w:w="120"/>
              <w:bottom w:type="dxa" w:w="90"/>
              <w:right w:type="dxa" w:w="120"/>
            </w:tcMar>
          </w:tcPr>
          <w:p>
            <w:pPr>
              <w:spacing w:after="0" w:line="260"/>
              <w:jc w:val="left"/>
            </w:pPr>
            <w:r>
              <w:rPr>
                <w:b/>
                <w:bCs/>
                <w:color w:val="16202B"/>
                <w:sz w:val="18"/>
                <w:szCs w:val="18"/>
              </w:rPr>
              <w:t xml:space="preserve">all</w:t>
            </w:r>
          </w:p>
        </w:tc>
      </w:tr>
      <w:tr>
        <w:tc>
          <w:tcPr>
            <w:tcW w:type="dxa" w:w="4680"/>
            <w:tcMar>
              <w:top w:type="dxa" w:w="90"/>
              <w:left w:type="dxa" w:w="120"/>
              <w:bottom w:type="dxa" w:w="90"/>
              <w:right w:type="dxa" w:w="120"/>
            </w:tcMar>
          </w:tcPr>
          <w:p>
            <w:pPr>
              <w:spacing w:after="0" w:line="260"/>
              <w:jc w:val="left"/>
            </w:pPr>
            <w:r>
              <w:rPr>
                <w:b/>
                <w:bCs/>
                <w:color w:val="16202B"/>
                <w:sz w:val="18"/>
                <w:szCs w:val="18"/>
              </w:rPr>
              <w:t xml:space="preserve">Dayworks valued in system</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none</w:t>
            </w:r>
          </w:p>
        </w:tc>
        <w:tc>
          <w:tcPr>
            <w:tcW w:type="dxa" w:w="2340"/>
            <w:tcMar>
              <w:top w:type="dxa" w:w="90"/>
              <w:left w:type="dxa" w:w="120"/>
              <w:bottom w:type="dxa" w:w="90"/>
              <w:right w:type="dxa" w:w="120"/>
            </w:tcMar>
          </w:tcPr>
          <w:p>
            <w:pPr>
              <w:spacing w:after="0" w:line="260"/>
              <w:jc w:val="left"/>
            </w:pPr>
            <w:r>
              <w:rPr>
                <w:b/>
                <w:bCs/>
                <w:color w:val="16202B"/>
                <w:sz w:val="18"/>
                <w:szCs w:val="18"/>
              </w:rPr>
              <w:t xml:space="preserve">all</w:t>
            </w:r>
          </w:p>
        </w:tc>
      </w:tr>
      <w:tr>
        <w:tc>
          <w:tcPr>
            <w:tcW w:type="dxa" w:w="4680"/>
            <w:tcMar>
              <w:top w:type="dxa" w:w="90"/>
              <w:left w:type="dxa" w:w="120"/>
              <w:bottom w:type="dxa" w:w="90"/>
              <w:right w:type="dxa" w:w="120"/>
            </w:tcMar>
          </w:tcPr>
          <w:p>
            <w:pPr>
              <w:spacing w:after="0" w:line="260"/>
              <w:jc w:val="left"/>
            </w:pPr>
            <w:r>
              <w:rPr>
                <w:b/>
                <w:bCs/>
                <w:color w:val="16202B"/>
                <w:sz w:val="18"/>
                <w:szCs w:val="18"/>
              </w:rPr>
              <w:t xml:space="preserve">Certificate produced without re-keying</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partial</w:t>
            </w:r>
          </w:p>
        </w:tc>
        <w:tc>
          <w:tcPr>
            <w:tcW w:type="dxa" w:w="2340"/>
            <w:tcMar>
              <w:top w:type="dxa" w:w="90"/>
              <w:left w:type="dxa" w:w="120"/>
              <w:bottom w:type="dxa" w:w="90"/>
              <w:right w:type="dxa" w:w="120"/>
            </w:tcMar>
          </w:tcPr>
          <w:p>
            <w:pPr>
              <w:spacing w:after="0" w:line="260"/>
              <w:jc w:val="left"/>
            </w:pPr>
            <w:r>
              <w:rPr>
                <w:b/>
                <w:bCs/>
                <w:color w:val="16202B"/>
                <w:sz w:val="18"/>
                <w:szCs w:val="18"/>
              </w:rPr>
              <w:t xml:space="preserve">full</w:t>
            </w:r>
          </w:p>
        </w:tc>
      </w:tr>
      <w:tr>
        <w:tc>
          <w:tcPr>
            <w:tcW w:type="dxa" w:w="4680"/>
            <w:tcMar>
              <w:top w:type="dxa" w:w="90"/>
              <w:left w:type="dxa" w:w="120"/>
              <w:bottom w:type="dxa" w:w="90"/>
              <w:right w:type="dxa" w:w="120"/>
            </w:tcMar>
          </w:tcPr>
          <w:p>
            <w:pPr>
              <w:spacing w:after="0" w:line="260"/>
              <w:jc w:val="left"/>
            </w:pPr>
            <w:r>
              <w:rPr>
                <w:b/>
                <w:bCs/>
                <w:color w:val="16202B"/>
                <w:sz w:val="18"/>
                <w:szCs w:val="18"/>
              </w:rPr>
              <w:t xml:space="preserve">Final account traceable to records</w:t>
            </w:r>
          </w:p>
        </w:tc>
        <w:tc>
          <w:tcPr>
            <w:tcW w:type="dxa" w:w="2340"/>
            <w:tcMar>
              <w:top w:type="dxa" w:w="90"/>
              <w:left w:type="dxa" w:w="120"/>
              <w:bottom w:type="dxa" w:w="90"/>
              <w:right w:type="dxa" w:w="120"/>
            </w:tcMar>
          </w:tcPr>
          <w:p>
            <w:pPr>
              <w:spacing w:after="0" w:line="260"/>
              <w:jc w:val="left"/>
            </w:pPr>
            <w:r>
              <w:rPr>
                <w:b w:val="false"/>
                <w:bCs w:val="false"/>
                <w:color w:val="16202B"/>
                <w:sz w:val="18"/>
                <w:szCs w:val="18"/>
              </w:rPr>
              <w:t xml:space="preserve">partial</w:t>
            </w:r>
          </w:p>
        </w:tc>
        <w:tc>
          <w:tcPr>
            <w:tcW w:type="dxa" w:w="2340"/>
            <w:tcMar>
              <w:top w:type="dxa" w:w="90"/>
              <w:left w:type="dxa" w:w="120"/>
              <w:bottom w:type="dxa" w:w="90"/>
              <w:right w:type="dxa" w:w="120"/>
            </w:tcMar>
          </w:tcPr>
          <w:p>
            <w:pPr>
              <w:spacing w:after="0" w:line="260"/>
              <w:jc w:val="left"/>
            </w:pPr>
            <w:r>
              <w:rPr>
                <w:b/>
                <w:bCs/>
                <w:color w:val="16202B"/>
                <w:sz w:val="18"/>
                <w:szCs w:val="18"/>
              </w:rPr>
              <w:t xml:space="preserve">full</w:t>
            </w:r>
          </w:p>
        </w:tc>
      </w:tr>
    </w:tbl>
    <w:p>
      <w:pPr>
        <w:pStyle w:val="Heading2"/>
        <w:spacing w:after="110" w:before="280"/>
      </w:pPr>
      <w:r>
        <w:rPr>
          <w:b/>
          <w:bCs/>
          <w:color w:val="75828F"/>
          <w:sz w:val="23"/>
          <w:szCs w:val="23"/>
        </w:rPr>
        <w:t xml:space="preserve">5.2  </w:t>
      </w:r>
      <w:r>
        <w:rPr>
          <w:b/>
          <w:bCs/>
          <w:color w:val="16202B"/>
          <w:sz w:val="23"/>
          <w:szCs w:val="23"/>
        </w:rPr>
        <w:t xml:space="preserve">Acceptance benchmarks</w:t>
      </w:r>
    </w:p>
    <w:p>
      <w:pPr>
        <w:spacing w:after="160" w:line="300"/>
      </w:pPr>
      <w:r>
        <w:rPr>
          <w:color w:val="16202B"/>
          <w:sz w:val="21"/>
          <w:szCs w:val="21"/>
        </w:rPr>
        <w:t xml:space="preserve">Acceptance is arithmetic, not opinion. The pilot contract must satisfy each of the following before handover:</w:t>
      </w:r>
    </w:p>
    <w:p>
      <w:pPr>
        <w:pStyle w:val="ListParagraph"/>
        <w:numPr>
          <w:ilvl w:val="0"/>
          <w:numId w:val="2"/>
        </w:numPr>
        <w:spacing w:after="90" w:line="290"/>
      </w:pPr>
      <w:r>
        <w:rPr>
          <w:b/>
          <w:bCs/>
          <w:color w:val="16202B"/>
          <w:sz w:val="21"/>
          <w:szCs w:val="21"/>
        </w:rPr>
        <w:t xml:space="preserve">Traditional equals Single</w:t>
      </w:r>
      <w:r>
        <w:rPr>
          <w:color w:val="16202B"/>
          <w:sz w:val="21"/>
          <w:szCs w:val="21"/>
        </w:rPr>
        <w:t xml:space="preserve"> on every period — the two forms of Clause 13.8 are algebraically identical, and a gap means the coefficients are wrong.</w:t>
      </w:r>
    </w:p>
    <w:p>
      <w:pPr>
        <w:pStyle w:val="ListParagraph"/>
        <w:numPr>
          <w:ilvl w:val="0"/>
          <w:numId w:val="2"/>
        </w:numPr>
        <w:spacing w:after="90" w:line="290"/>
      </w:pPr>
      <w:r>
        <w:rPr>
          <w:b/>
          <w:bCs/>
          <w:color w:val="16202B"/>
          <w:sz w:val="21"/>
          <w:szCs w:val="21"/>
        </w:rPr>
        <w:t xml:space="preserve">The trial balance agrees</w:t>
      </w:r>
      <w:r>
        <w:rPr>
          <w:color w:val="16202B"/>
          <w:sz w:val="21"/>
          <w:szCs w:val="21"/>
        </w:rPr>
        <w:t xml:space="preserve"> — every certificate and expense posted, debits equal credits to the shilling.</w:t>
      </w:r>
    </w:p>
    <w:p>
      <w:pPr>
        <w:pStyle w:val="ListParagraph"/>
        <w:numPr>
          <w:ilvl w:val="0"/>
          <w:numId w:val="2"/>
        </w:numPr>
        <w:spacing w:after="90" w:line="290"/>
      </w:pPr>
      <w:r>
        <w:rPr>
          <w:b/>
          <w:bCs/>
          <w:color w:val="16202B"/>
          <w:sz w:val="21"/>
          <w:szCs w:val="21"/>
        </w:rPr>
        <w:t xml:space="preserve">Retention and advance never exceed their caps</w:t>
      </w:r>
      <w:r>
        <w:rPr>
          <w:color w:val="16202B"/>
          <w:sz w:val="21"/>
          <w:szCs w:val="21"/>
        </w:rPr>
        <w:t xml:space="preserve"> across a sixty-period run.</w:t>
      </w:r>
    </w:p>
    <w:p>
      <w:pPr>
        <w:pStyle w:val="ListParagraph"/>
        <w:numPr>
          <w:ilvl w:val="0"/>
          <w:numId w:val="2"/>
        </w:numPr>
        <w:spacing w:after="90" w:line="290"/>
      </w:pPr>
      <w:r>
        <w:rPr>
          <w:b/>
          <w:bCs/>
          <w:color w:val="16202B"/>
          <w:sz w:val="21"/>
          <w:szCs w:val="21"/>
        </w:rPr>
        <w:t xml:space="preserve">Damages are nil while an extension covers the delay</w:t>
      </w:r>
      <w:r>
        <w:rPr>
          <w:color w:val="16202B"/>
          <w:sz w:val="21"/>
          <w:szCs w:val="21"/>
        </w:rPr>
        <w:t xml:space="preserve">, and cease at taking over.</w:t>
      </w:r>
    </w:p>
    <w:p>
      <w:pPr>
        <w:pStyle w:val="ListParagraph"/>
        <w:numPr>
          <w:ilvl w:val="0"/>
          <w:numId w:val="2"/>
        </w:numPr>
        <w:spacing w:after="90" w:line="290"/>
      </w:pPr>
      <w:r>
        <w:rPr>
          <w:b/>
          <w:bCs/>
          <w:color w:val="16202B"/>
          <w:sz w:val="21"/>
          <w:szCs w:val="21"/>
        </w:rPr>
        <w:t xml:space="preserve">The contract refuses to close</w:t>
      </w:r>
      <w:r>
        <w:rPr>
          <w:color w:val="16202B"/>
          <w:sz w:val="21"/>
          <w:szCs w:val="21"/>
        </w:rPr>
        <w:t xml:space="preserve"> while any defect is open or the advance is unrecovered, and states which.</w:t>
      </w:r>
    </w:p>
    <w:p>
      <w:pPr>
        <w:pStyle w:val="ListParagraph"/>
        <w:numPr>
          <w:ilvl w:val="0"/>
          <w:numId w:val="2"/>
        </w:numPr>
        <w:spacing w:after="90" w:line="290"/>
      </w:pPr>
      <w:r>
        <w:rPr>
          <w:b/>
          <w:bCs/>
          <w:color w:val="16202B"/>
          <w:sz w:val="21"/>
          <w:szCs w:val="21"/>
        </w:rPr>
        <w:t xml:space="preserve">A printed certificate reconciles</w:t>
      </w:r>
      <w:r>
        <w:rPr>
          <w:color w:val="16202B"/>
          <w:sz w:val="21"/>
          <w:szCs w:val="21"/>
        </w:rPr>
        <w:t xml:space="preserve"> line for line against one issued manually for the same period.</w:t>
      </w:r>
    </w:p>
    <w:p>
      <w:r>
        <w:br w:type="page"/>
      </w:r>
    </w:p>
    <w:p>
      <w:pPr>
        <w:pStyle w:val="Heading1"/>
        <w:pBdr>
          <w:bottom w:val="single" w:color="D9DDD8" w:sz="6" w:space="6"/>
        </w:pBdr>
        <w:spacing w:after="160" w:before="380"/>
      </w:pPr>
      <w:r>
        <w:rPr>
          <w:b/>
          <w:bCs/>
          <w:color w:val="1F5F8B"/>
          <w:sz w:val="30"/>
          <w:szCs w:val="30"/>
        </w:rPr>
        <w:t xml:space="preserve">6.  </w:t>
      </w:r>
      <w:r>
        <w:rPr>
          <w:b/>
          <w:bCs/>
          <w:color w:val="16202B"/>
          <w:sz w:val="30"/>
          <w:szCs w:val="30"/>
        </w:rPr>
        <w:t xml:space="preserve">Implementation Plan and Approach</w:t>
      </w:r>
    </w:p>
    <w:p>
      <w:pPr>
        <w:pStyle w:val="Heading2"/>
        <w:spacing w:after="110" w:before="280"/>
      </w:pPr>
      <w:r>
        <w:rPr>
          <w:b/>
          <w:bCs/>
          <w:color w:val="75828F"/>
          <w:sz w:val="23"/>
          <w:szCs w:val="23"/>
        </w:rPr>
        <w:t xml:space="preserve">6.1  </w:t>
      </w:r>
      <w:r>
        <w:rPr>
          <w:b/>
          <w:bCs/>
          <w:color w:val="16202B"/>
          <w:sz w:val="23"/>
          <w:szCs w:val="23"/>
        </w:rPr>
        <w:t xml:space="preserve">Sequencing rationale</w:t>
      </w:r>
    </w:p>
    <w:p>
      <w:pPr>
        <w:spacing w:after="160" w:line="300"/>
      </w:pPr>
      <w:r>
        <w:rPr>
          <w:color w:val="16202B"/>
          <w:sz w:val="21"/>
          <w:szCs w:val="21"/>
        </w:rPr>
        <w:t xml:space="preserve">The order is driven by dependency, not by size. Tests come first because Part C is otherwise complete and closing it is the cheapest visible win. Dayworks and the engine extension follow together, because valuing dayworks changes the net adjustable amount and that change must be tested before anything downstream trusts it. The forecast comes third because it depends on the programme baseline being credible. Documents come fourth, once every figure they print is settled, and the pilot last.</w:t>
      </w:r>
    </w:p>
    <w:p>
      <w:pPr>
        <w:pStyle w:val="Heading2"/>
        <w:spacing w:after="110" w:before="280"/>
      </w:pPr>
      <w:r>
        <w:rPr>
          <w:b/>
          <w:bCs/>
          <w:color w:val="75828F"/>
          <w:sz w:val="23"/>
          <w:szCs w:val="23"/>
        </w:rPr>
        <w:t xml:space="preserve">6.2  </w:t>
      </w:r>
      <w:r>
        <w:rPr>
          <w:b/>
          <w:bCs/>
          <w:color w:val="16202B"/>
          <w:sz w:val="23"/>
          <w:szCs w:val="23"/>
        </w:rPr>
        <w:t xml:space="preserve">Formulas introduced</w:t>
      </w:r>
    </w:p>
    <w:p>
      <w:pPr>
        <w:spacing w:after="60" w:before="200"/>
      </w:pPr>
      <w:r>
        <w:rPr>
          <w:b/>
          <w:bCs/>
          <w:color w:val="1F5F8B"/>
          <w:sz w:val="16"/>
          <w:szCs w:val="16"/>
        </w:rPr>
        <w:t xml:space="preserve">CLAUSE 56 · DAYWORKS VALUATION</w:t>
      </w:r>
    </w:p>
    <w:p>
      <w:pPr>
        <w:spacing w:after="0" w:line="280"/>
        <w:ind w:left="360"/>
      </w:pPr>
      <w:r>
        <w:rPr>
          <w:rFonts w:ascii="Consolas" w:cs="Consolas" w:eastAsia="Consolas" w:hAnsi="Consolas"/>
          <w:color w:val="16202B"/>
          <w:sz w:val="18"/>
          <w:szCs w:val="18"/>
        </w:rPr>
        <w:t xml:space="preserve">daywork  = Σ (labour hours × rate)</w:t>
      </w:r>
    </w:p>
    <w:p>
      <w:pPr>
        <w:spacing w:after="0" w:line="280"/>
        <w:ind w:left="360"/>
      </w:pPr>
      <w:r>
        <w:rPr>
          <w:rFonts w:ascii="Consolas" w:cs="Consolas" w:eastAsia="Consolas" w:hAnsi="Consolas"/>
          <w:color w:val="16202B"/>
          <w:sz w:val="18"/>
          <w:szCs w:val="18"/>
        </w:rPr>
        <w:t xml:space="preserve">         + Σ (plant hours × rate)</w:t>
      </w:r>
    </w:p>
    <w:p>
      <w:pPr>
        <w:spacing w:after="0" w:line="280"/>
        <w:ind w:left="360"/>
      </w:pPr>
      <w:r>
        <w:rPr>
          <w:rFonts w:ascii="Consolas" w:cs="Consolas" w:eastAsia="Consolas" w:hAnsi="Consolas"/>
          <w:color w:val="16202B"/>
          <w:sz w:val="18"/>
          <w:szCs w:val="18"/>
        </w:rPr>
        <w:t xml:space="preserve">         + Σ (materials × rate × (1 + percentage addition))</w:t>
      </w:r>
    </w:p>
    <w:p>
      <w:pPr>
        <w:spacing w:after="200" w:before="120" w:line="290"/>
      </w:pPr>
      <w:r>
        <w:rPr>
          <w:color w:val="4A5867"/>
          <w:sz w:val="19"/>
          <w:szCs w:val="19"/>
        </w:rPr>
        <w:t xml:space="preserve">Dayworks are varied work at time rates. They are measured work for the purposes of the certificate, which is why they must enter before price adjustment is applied rather than being added afterwards.</w:t>
      </w:r>
    </w:p>
    <w:p>
      <w:pPr>
        <w:spacing w:after="60" w:before="200"/>
      </w:pPr>
      <w:r>
        <w:rPr>
          <w:b/>
          <w:bCs/>
          <w:color w:val="1F5F8B"/>
          <w:sz w:val="16"/>
          <w:szCs w:val="16"/>
        </w:rPr>
        <w:t xml:space="preserve">CLAUSE 44 · FORECAST VARIANCE</w:t>
      </w:r>
    </w:p>
    <w:p>
      <w:pPr>
        <w:spacing w:after="0" w:line="280"/>
        <w:ind w:left="360"/>
      </w:pPr>
      <w:r>
        <w:rPr>
          <w:rFonts w:ascii="Consolas" w:cs="Consolas" w:eastAsia="Consolas" w:hAnsi="Consolas"/>
          <w:color w:val="16202B"/>
          <w:sz w:val="18"/>
          <w:szCs w:val="18"/>
        </w:rPr>
        <w:t xml:space="preserve">variance = certified to date − forecast to date</w:t>
      </w:r>
    </w:p>
    <w:p>
      <w:pPr>
        <w:spacing w:after="0" w:line="280"/>
        <w:ind w:left="360"/>
      </w:pPr>
      <w:r>
        <w:rPr>
          <w:rFonts w:ascii="Consolas" w:cs="Consolas" w:eastAsia="Consolas" w:hAnsi="Consolas"/>
          <w:color w:val="16202B"/>
          <w:sz w:val="18"/>
          <w:szCs w:val="18"/>
        </w:rPr>
        <w:t xml:space="preserve">slippage = variance ⁄ forecast to date</w:t>
      </w:r>
    </w:p>
    <w:p>
      <w:pPr>
        <w:spacing w:after="200" w:before="120" w:line="290"/>
      </w:pPr>
      <w:r>
        <w:rPr>
          <w:color w:val="4A5867"/>
          <w:sz w:val="19"/>
          <w:szCs w:val="19"/>
        </w:rPr>
        <w:t xml:space="preserve">Compared per period against the programme, so a shortfall is visible in the month it occurs rather than at the end. The certified side already exists; only the baseline is new.</w:t>
      </w:r>
    </w:p>
    <w:p>
      <w:pPr>
        <w:pStyle w:val="Heading2"/>
        <w:spacing w:after="110" w:before="280"/>
      </w:pPr>
      <w:r>
        <w:rPr>
          <w:b/>
          <w:bCs/>
          <w:color w:val="75828F"/>
          <w:sz w:val="23"/>
          <w:szCs w:val="23"/>
        </w:rPr>
        <w:t xml:space="preserve">6.3  </w:t>
      </w:r>
      <w:r>
        <w:rPr>
          <w:b/>
          <w:bCs/>
          <w:color w:val="16202B"/>
          <w:sz w:val="23"/>
          <w:szCs w:val="23"/>
        </w:rPr>
        <w:t xml:space="preserve">Risk management matrix</w:t>
      </w:r>
    </w:p>
    <w:tbl>
      <w:tblPr>
        <w:tblW w:type="dxa" w:w="9360"/>
        <w:tblBorders>
          <w:top w:val="single" w:color="D9DDD8" w:sz="4"/>
          <w:left w:val="none" w:color="FFFFFF" w:sz="0"/>
          <w:bottom w:val="single" w:color="D9DDD8" w:sz="4"/>
          <w:right w:val="none" w:color="FFFFFF" w:sz="0"/>
          <w:insideH w:val="single" w:color="D9DDD8" w:sz="2"/>
          <w:insideV w:val="none" w:color="FFFFFF" w:sz="0"/>
        </w:tblBorders>
      </w:tblPr>
      <w:tblGrid>
        <w:gridCol w:w="2700"/>
        <w:gridCol w:w="1200"/>
        <w:gridCol w:w="1100"/>
        <w:gridCol w:w="4360"/>
      </w:tblGrid>
      <w:tr>
        <w:trPr>
          <w:tblHeader/>
        </w:trPr>
        <w:tc>
          <w:tcPr>
            <w:tcW w:type="dxa" w:w="2700"/>
            <w:shd w:fill="EEF2F5" w:color="auto" w:val="clear"/>
            <w:tcMar>
              <w:top w:type="dxa" w:w="90"/>
              <w:left w:type="dxa" w:w="120"/>
              <w:bottom w:type="dxa" w:w="90"/>
              <w:right w:type="dxa" w:w="120"/>
            </w:tcMar>
          </w:tcPr>
          <w:p>
            <w:pPr>
              <w:spacing w:after="0"/>
            </w:pPr>
            <w:r>
              <w:rPr>
                <w:b/>
                <w:bCs/>
                <w:color w:val="75828F"/>
                <w:sz w:val="16"/>
                <w:szCs w:val="16"/>
              </w:rPr>
              <w:t xml:space="preserve">IDENTIFIED RISK</w:t>
            </w:r>
          </w:p>
        </w:tc>
        <w:tc>
          <w:tcPr>
            <w:tcW w:type="dxa" w:w="1200"/>
            <w:shd w:fill="EEF2F5" w:color="auto" w:val="clear"/>
            <w:tcMar>
              <w:top w:type="dxa" w:w="90"/>
              <w:left w:type="dxa" w:w="120"/>
              <w:bottom w:type="dxa" w:w="90"/>
              <w:right w:type="dxa" w:w="120"/>
            </w:tcMar>
          </w:tcPr>
          <w:p>
            <w:pPr>
              <w:spacing w:after="0"/>
            </w:pPr>
            <w:r>
              <w:rPr>
                <w:b/>
                <w:bCs/>
                <w:color w:val="75828F"/>
                <w:sz w:val="16"/>
                <w:szCs w:val="16"/>
              </w:rPr>
              <w:t xml:space="preserve">LIKELIHOOD</w:t>
            </w:r>
          </w:p>
        </w:tc>
        <w:tc>
          <w:tcPr>
            <w:tcW w:type="dxa" w:w="1100"/>
            <w:shd w:fill="EEF2F5" w:color="auto" w:val="clear"/>
            <w:tcMar>
              <w:top w:type="dxa" w:w="90"/>
              <w:left w:type="dxa" w:w="120"/>
              <w:bottom w:type="dxa" w:w="90"/>
              <w:right w:type="dxa" w:w="120"/>
            </w:tcMar>
          </w:tcPr>
          <w:p>
            <w:pPr>
              <w:spacing w:after="0"/>
            </w:pPr>
            <w:r>
              <w:rPr>
                <w:b/>
                <w:bCs/>
                <w:color w:val="75828F"/>
                <w:sz w:val="16"/>
                <w:szCs w:val="16"/>
              </w:rPr>
              <w:t xml:space="preserve">IMPACT</w:t>
            </w:r>
          </w:p>
        </w:tc>
        <w:tc>
          <w:tcPr>
            <w:tcW w:type="dxa" w:w="4360"/>
            <w:shd w:fill="EEF2F5" w:color="auto" w:val="clear"/>
            <w:tcMar>
              <w:top w:type="dxa" w:w="90"/>
              <w:left w:type="dxa" w:w="120"/>
              <w:bottom w:type="dxa" w:w="90"/>
              <w:right w:type="dxa" w:w="120"/>
            </w:tcMar>
          </w:tcPr>
          <w:p>
            <w:pPr>
              <w:spacing w:after="0"/>
            </w:pPr>
            <w:r>
              <w:rPr>
                <w:b/>
                <w:bCs/>
                <w:color w:val="75828F"/>
                <w:sz w:val="16"/>
                <w:szCs w:val="16"/>
              </w:rPr>
              <w:t xml:space="preserve">MITIGATION</w:t>
            </w:r>
          </w:p>
        </w:tc>
      </w:tr>
      <w:tr>
        <w:tc>
          <w:tcPr>
            <w:tcW w:type="dxa" w:w="2700"/>
            <w:tcMar>
              <w:top w:type="dxa" w:w="90"/>
              <w:left w:type="dxa" w:w="120"/>
              <w:bottom w:type="dxa" w:w="90"/>
              <w:right w:type="dxa" w:w="120"/>
            </w:tcMar>
          </w:tcPr>
          <w:p>
            <w:pPr>
              <w:spacing w:after="0" w:line="260"/>
              <w:jc w:val="left"/>
            </w:pPr>
            <w:r>
              <w:rPr>
                <w:b/>
                <w:bCs/>
                <w:color w:val="16202B"/>
                <w:sz w:val="18"/>
                <w:szCs w:val="18"/>
              </w:rPr>
              <w:t xml:space="preserve">Dayworks change certified figures</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High</w:t>
            </w:r>
          </w:p>
        </w:tc>
        <w:tc>
          <w:tcPr>
            <w:tcW w:type="dxa" w:w="4360"/>
            <w:tcMar>
              <w:top w:type="dxa" w:w="90"/>
              <w:left w:type="dxa" w:w="120"/>
              <w:bottom w:type="dxa" w:w="90"/>
              <w:right w:type="dxa" w:w="120"/>
            </w:tcMar>
          </w:tcPr>
          <w:p>
            <w:pPr>
              <w:spacing w:after="0" w:line="260"/>
              <w:jc w:val="left"/>
            </w:pPr>
            <w:r>
              <w:rPr>
                <w:b w:val="false"/>
                <w:bCs w:val="false"/>
                <w:color w:val="16202B"/>
                <w:sz w:val="18"/>
                <w:szCs w:val="18"/>
              </w:rPr>
              <w:t xml:space="preserve">Sequence the engine change before dependent work; assert the existing tests still pass; reconcile a certificate before and after the change for an unchanged period. Dayworks are held outside the price-adjustment base for exactly this reason.</w:t>
            </w:r>
          </w:p>
        </w:tc>
      </w:tr>
      <w:tr>
        <w:tc>
          <w:tcPr>
            <w:tcW w:type="dxa" w:w="2700"/>
            <w:tcMar>
              <w:top w:type="dxa" w:w="90"/>
              <w:left w:type="dxa" w:w="120"/>
              <w:bottom w:type="dxa" w:w="90"/>
              <w:right w:type="dxa" w:w="120"/>
            </w:tcMar>
          </w:tcPr>
          <w:p>
            <w:pPr>
              <w:spacing w:after="0" w:line="260"/>
              <w:jc w:val="left"/>
            </w:pPr>
            <w:r>
              <w:rPr>
                <w:b/>
                <w:bCs/>
                <w:color w:val="16202B"/>
                <w:sz w:val="18"/>
                <w:szCs w:val="18"/>
              </w:rPr>
              <w:t xml:space="preserve">Printed certificate disagrees with screen</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High</w:t>
            </w:r>
          </w:p>
        </w:tc>
        <w:tc>
          <w:tcPr>
            <w:tcW w:type="dxa" w:w="4360"/>
            <w:tcMar>
              <w:top w:type="dxa" w:w="90"/>
              <w:left w:type="dxa" w:w="120"/>
              <w:bottom w:type="dxa" w:w="90"/>
              <w:right w:type="dxa" w:w="120"/>
            </w:tcMar>
          </w:tcPr>
          <w:p>
            <w:pPr>
              <w:spacing w:after="0" w:line="260"/>
              <w:jc w:val="left"/>
            </w:pPr>
            <w:r>
              <w:rPr>
                <w:b w:val="false"/>
                <w:bCs w:val="false"/>
                <w:color w:val="16202B"/>
                <w:sz w:val="18"/>
                <w:szCs w:val="18"/>
              </w:rPr>
              <w:t xml:space="preserve">Print from the engine’s own output rather than re-reading the database; reconcile line for line against a manually issued certificate during the pilot.</w:t>
            </w:r>
          </w:p>
        </w:tc>
      </w:tr>
      <w:tr>
        <w:tc>
          <w:tcPr>
            <w:tcW w:type="dxa" w:w="2700"/>
            <w:tcMar>
              <w:top w:type="dxa" w:w="90"/>
              <w:left w:type="dxa" w:w="120"/>
              <w:bottom w:type="dxa" w:w="90"/>
              <w:right w:type="dxa" w:w="120"/>
            </w:tcMar>
          </w:tcPr>
          <w:p>
            <w:pPr>
              <w:spacing w:after="0" w:line="260"/>
              <w:jc w:val="left"/>
            </w:pPr>
            <w:r>
              <w:rPr>
                <w:b/>
                <w:bCs/>
                <w:color w:val="16202B"/>
                <w:sz w:val="18"/>
                <w:szCs w:val="18"/>
              </w:rPr>
              <w:t xml:space="preserve">Special Conditions vary from the standard</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High</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4360"/>
            <w:tcMar>
              <w:top w:type="dxa" w:w="90"/>
              <w:left w:type="dxa" w:w="120"/>
              <w:bottom w:type="dxa" w:w="90"/>
              <w:right w:type="dxa" w:w="120"/>
            </w:tcMar>
          </w:tcPr>
          <w:p>
            <w:pPr>
              <w:spacing w:after="0" w:line="260"/>
              <w:jc w:val="left"/>
            </w:pPr>
            <w:r>
              <w:rPr>
                <w:b w:val="false"/>
                <w:bCs w:val="false"/>
                <w:color w:val="16202B"/>
                <w:sz w:val="18"/>
                <w:szCs w:val="18"/>
              </w:rPr>
              <w:t xml:space="preserve">Every rate already lives per contract with the clause it varies; the engine reads them and falls back to the Ministry default only when unset.</w:t>
            </w:r>
          </w:p>
        </w:tc>
      </w:tr>
      <w:tr>
        <w:tc>
          <w:tcPr>
            <w:tcW w:type="dxa" w:w="2700"/>
            <w:tcMar>
              <w:top w:type="dxa" w:w="90"/>
              <w:left w:type="dxa" w:w="120"/>
              <w:bottom w:type="dxa" w:w="90"/>
              <w:right w:type="dxa" w:w="120"/>
            </w:tcMar>
          </w:tcPr>
          <w:p>
            <w:pPr>
              <w:spacing w:after="0" w:line="260"/>
              <w:jc w:val="left"/>
            </w:pPr>
            <w:r>
              <w:rPr>
                <w:b/>
                <w:bCs/>
                <w:color w:val="16202B"/>
                <w:sz w:val="18"/>
                <w:szCs w:val="18"/>
              </w:rPr>
              <w:t xml:space="preserve">Test results arrive on paper from a laboratory</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High</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Low</w:t>
            </w:r>
          </w:p>
        </w:tc>
        <w:tc>
          <w:tcPr>
            <w:tcW w:type="dxa" w:w="4360"/>
            <w:tcMar>
              <w:top w:type="dxa" w:w="90"/>
              <w:left w:type="dxa" w:w="120"/>
              <w:bottom w:type="dxa" w:w="90"/>
              <w:right w:type="dxa" w:w="120"/>
            </w:tcMar>
          </w:tcPr>
          <w:p>
            <w:pPr>
              <w:spacing w:after="0" w:line="260"/>
              <w:jc w:val="left"/>
            </w:pPr>
            <w:r>
              <w:rPr>
                <w:b w:val="false"/>
                <w:bCs w:val="false"/>
                <w:color w:val="16202B"/>
                <w:sz w:val="18"/>
                <w:szCs w:val="18"/>
              </w:rPr>
              <w:t xml:space="preserve">Allow a scanned certificate against each test record through the existing storage module; the register carries the result, the file carries the proof.</w:t>
            </w:r>
          </w:p>
        </w:tc>
      </w:tr>
      <w:tr>
        <w:tc>
          <w:tcPr>
            <w:tcW w:type="dxa" w:w="2700"/>
            <w:tcMar>
              <w:top w:type="dxa" w:w="90"/>
              <w:left w:type="dxa" w:w="120"/>
              <w:bottom w:type="dxa" w:w="90"/>
              <w:right w:type="dxa" w:w="120"/>
            </w:tcMar>
          </w:tcPr>
          <w:p>
            <w:pPr>
              <w:spacing w:after="0" w:line="260"/>
              <w:jc w:val="left"/>
            </w:pPr>
            <w:r>
              <w:rPr>
                <w:b/>
                <w:bCs/>
                <w:color w:val="16202B"/>
                <w:sz w:val="18"/>
                <w:szCs w:val="18"/>
              </w:rPr>
              <w:t xml:space="preserve">Forecast baseline never entered</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4360"/>
            <w:tcMar>
              <w:top w:type="dxa" w:w="90"/>
              <w:left w:type="dxa" w:w="120"/>
              <w:bottom w:type="dxa" w:w="90"/>
              <w:right w:type="dxa" w:w="120"/>
            </w:tcMar>
          </w:tcPr>
          <w:p>
            <w:pPr>
              <w:spacing w:after="0" w:line="260"/>
              <w:jc w:val="left"/>
            </w:pPr>
            <w:r>
              <w:rPr>
                <w:b w:val="false"/>
                <w:bCs w:val="false"/>
                <w:color w:val="16202B"/>
                <w:sz w:val="18"/>
                <w:szCs w:val="18"/>
              </w:rPr>
              <w:t xml:space="preserve">Derive an initial straight-line baseline from the contract sum and duration, so the variance is available before anyone enters a detailed programme.</w:t>
            </w:r>
          </w:p>
        </w:tc>
      </w:tr>
      <w:tr>
        <w:tc>
          <w:tcPr>
            <w:tcW w:type="dxa" w:w="2700"/>
            <w:tcMar>
              <w:top w:type="dxa" w:w="90"/>
              <w:left w:type="dxa" w:w="120"/>
              <w:bottom w:type="dxa" w:w="90"/>
              <w:right w:type="dxa" w:w="120"/>
            </w:tcMar>
          </w:tcPr>
          <w:p>
            <w:pPr>
              <w:spacing w:after="0" w:line="260"/>
              <w:jc w:val="left"/>
            </w:pPr>
            <w:r>
              <w:rPr>
                <w:b/>
                <w:bCs/>
                <w:color w:val="16202B"/>
                <w:sz w:val="18"/>
                <w:szCs w:val="18"/>
              </w:rPr>
              <w:t xml:space="preserve">Operator does not adopt the registers</w:t>
            </w:r>
          </w:p>
        </w:tc>
        <w:tc>
          <w:tcPr>
            <w:tcW w:type="dxa" w:w="1200"/>
            <w:tcMar>
              <w:top w:type="dxa" w:w="90"/>
              <w:left w:type="dxa" w:w="120"/>
              <w:bottom w:type="dxa" w:w="90"/>
              <w:right w:type="dxa" w:w="120"/>
            </w:tcMar>
          </w:tcPr>
          <w:p>
            <w:pPr>
              <w:spacing w:after="0" w:line="260"/>
              <w:jc w:val="left"/>
            </w:pPr>
            <w:r>
              <w:rPr>
                <w:b w:val="false"/>
                <w:bCs w:val="false"/>
                <w:color w:val="16202B"/>
                <w:sz w:val="18"/>
                <w:szCs w:val="18"/>
              </w:rPr>
              <w:t xml:space="preserve">Medium</w:t>
            </w:r>
          </w:p>
        </w:tc>
        <w:tc>
          <w:tcPr>
            <w:tcW w:type="dxa" w:w="1100"/>
            <w:tcMar>
              <w:top w:type="dxa" w:w="90"/>
              <w:left w:type="dxa" w:w="120"/>
              <w:bottom w:type="dxa" w:w="90"/>
              <w:right w:type="dxa" w:w="120"/>
            </w:tcMar>
          </w:tcPr>
          <w:p>
            <w:pPr>
              <w:spacing w:after="0" w:line="260"/>
              <w:jc w:val="left"/>
            </w:pPr>
            <w:r>
              <w:rPr>
                <w:b w:val="false"/>
                <w:bCs w:val="false"/>
                <w:color w:val="16202B"/>
                <w:sz w:val="18"/>
                <w:szCs w:val="18"/>
              </w:rPr>
              <w:t xml:space="preserve">High</w:t>
            </w:r>
          </w:p>
        </w:tc>
        <w:tc>
          <w:tcPr>
            <w:tcW w:type="dxa" w:w="4360"/>
            <w:tcMar>
              <w:top w:type="dxa" w:w="90"/>
              <w:left w:type="dxa" w:w="120"/>
              <w:bottom w:type="dxa" w:w="90"/>
              <w:right w:type="dxa" w:w="120"/>
            </w:tcMar>
          </w:tcPr>
          <w:p>
            <w:pPr>
              <w:spacing w:after="0" w:line="260"/>
              <w:jc w:val="left"/>
            </w:pPr>
            <w:r>
              <w:rPr>
                <w:b w:val="false"/>
                <w:bCs w:val="false"/>
                <w:color w:val="16202B"/>
                <w:sz w:val="18"/>
                <w:szCs w:val="18"/>
              </w:rPr>
              <w:t xml:space="preserve">Run the pilot on a live contract with the project manager, not a demonstration; training uses their own contract data.</w:t>
            </w:r>
          </w:p>
        </w:tc>
      </w:tr>
    </w:tbl>
    <w:p>
      <w:pPr>
        <w:pStyle w:val="Heading2"/>
        <w:spacing w:after="110" w:before="280"/>
      </w:pPr>
      <w:r>
        <w:rPr>
          <w:b/>
          <w:bCs/>
          <w:color w:val="75828F"/>
          <w:sz w:val="23"/>
          <w:szCs w:val="23"/>
        </w:rPr>
        <w:t xml:space="preserve">6.4  </w:t>
      </w:r>
      <w:r>
        <w:rPr>
          <w:b/>
          <w:bCs/>
          <w:color w:val="16202B"/>
          <w:sz w:val="23"/>
          <w:szCs w:val="23"/>
        </w:rPr>
        <w:t xml:space="preserve">Resourcing and timeline</w:t>
      </w:r>
    </w:p>
    <w:p>
      <w:pPr>
        <w:spacing w:after="160" w:line="300"/>
      </w:pPr>
      <w:r>
        <w:rPr>
          <w:color w:val="16202B"/>
          <w:sz w:val="21"/>
          <w:szCs w:val="21"/>
        </w:rPr>
        <w:t xml:space="preserve">Six weeks of engineering, sequenced as set out in section 4. No new infrastructure is required: the system runs on the existing deployment, and the engine adds nothing at runtime — it is a static asset served with the application.</w:t>
      </w:r>
    </w:p>
    <w:p>
      <w:pPr>
        <w:pStyle w:val="Heading1"/>
        <w:pBdr>
          <w:bottom w:val="single" w:color="D9DDD8" w:sz="6" w:space="6"/>
        </w:pBdr>
        <w:spacing w:after="160" w:before="380"/>
      </w:pPr>
      <w:r>
        <w:rPr>
          <w:b/>
          <w:bCs/>
          <w:color w:val="1F5F8B"/>
          <w:sz w:val="30"/>
          <w:szCs w:val="30"/>
        </w:rPr>
        <w:t xml:space="preserve">7.  </w:t>
      </w:r>
      <w:r>
        <w:rPr>
          <w:b/>
          <w:bCs/>
          <w:color w:val="16202B"/>
          <w:sz w:val="30"/>
          <w:szCs w:val="30"/>
        </w:rPr>
        <w:t xml:space="preserve">Recommendation and Action Plan</w:t>
      </w:r>
    </w:p>
    <w:p>
      <w:pPr>
        <w:spacing w:after="160" w:line="300"/>
      </w:pPr>
      <w:r>
        <w:rPr>
          <w:color w:val="16202B"/>
          <w:sz w:val="21"/>
          <w:szCs w:val="21"/>
        </w:rPr>
        <w:t xml:space="preserve">Approve the six-phase scope and nominate CTR-00001 — or a live contract of the Employer’s choosing — as the pilot. The system is already carrying eighteen of the twenty-two stages on real data; this completes it rather than starting it, which is why six weeks is a credible duration.</w:t>
      </w:r>
    </w:p>
    <w:p>
      <w:pPr>
        <w:pStyle w:val="Heading2"/>
        <w:spacing w:after="110" w:before="280"/>
      </w:pPr>
      <w:r>
        <w:rPr>
          <w:b/>
          <w:bCs/>
          <w:color w:val="16202B"/>
          <w:sz w:val="23"/>
          <w:szCs w:val="23"/>
        </w:rPr>
        <w:t xml:space="preserve">Immediate actions</w:t>
      </w:r>
    </w:p>
    <w:p>
      <w:pPr>
        <w:pStyle w:val="ListParagraph"/>
        <w:numPr>
          <w:ilvl w:val="0"/>
          <w:numId w:val="2"/>
        </w:numPr>
        <w:spacing w:after="90" w:line="290"/>
      </w:pPr>
      <w:r>
        <w:rPr>
          <w:b/>
          <w:bCs/>
          <w:color w:val="16202B"/>
          <w:sz w:val="21"/>
          <w:szCs w:val="21"/>
        </w:rPr>
        <w:t xml:space="preserve">Nominate the pilot contract</w:t>
      </w:r>
      <w:r>
        <w:rPr>
          <w:color w:val="16202B"/>
          <w:sz w:val="21"/>
          <w:szCs w:val="21"/>
        </w:rPr>
        <w:t xml:space="preserve"> and confirm its Special Conditions: retention and limit, advance and recovery rate, damages rate and cap, defects liability period.</w:t>
      </w:r>
    </w:p>
    <w:p>
      <w:pPr>
        <w:pStyle w:val="ListParagraph"/>
        <w:numPr>
          <w:ilvl w:val="0"/>
          <w:numId w:val="2"/>
        </w:numPr>
        <w:spacing w:after="90" w:line="290"/>
      </w:pPr>
      <w:r>
        <w:rPr>
          <w:b/>
          <w:bCs/>
          <w:color w:val="16202B"/>
          <w:sz w:val="21"/>
          <w:szCs w:val="21"/>
        </w:rPr>
        <w:t xml:space="preserve">Supply the schedule of dayworks rates</w:t>
      </w:r>
      <w:r>
        <w:rPr>
          <w:color w:val="16202B"/>
          <w:sz w:val="21"/>
          <w:szCs w:val="21"/>
        </w:rPr>
        <w:t xml:space="preserve"> for labour, plant and materials, and the percentage addition the contract allows.</w:t>
      </w:r>
    </w:p>
    <w:p>
      <w:pPr>
        <w:pStyle w:val="ListParagraph"/>
        <w:numPr>
          <w:ilvl w:val="0"/>
          <w:numId w:val="2"/>
        </w:numPr>
        <w:spacing w:after="90" w:line="290"/>
      </w:pPr>
      <w:r>
        <w:rPr>
          <w:b/>
          <w:bCs/>
          <w:color w:val="16202B"/>
          <w:sz w:val="21"/>
          <w:szCs w:val="21"/>
        </w:rPr>
        <w:t xml:space="preserve">Supply the programme</w:t>
      </w:r>
      <w:r>
        <w:rPr>
          <w:color w:val="16202B"/>
          <w:sz w:val="21"/>
          <w:szCs w:val="21"/>
        </w:rPr>
        <w:t xml:space="preserve"> as a period-by-period drawdown, or accept the straight-line baseline until one is available.</w:t>
      </w:r>
    </w:p>
    <w:p>
      <w:pPr>
        <w:pStyle w:val="ListParagraph"/>
        <w:numPr>
          <w:ilvl w:val="0"/>
          <w:numId w:val="2"/>
        </w:numPr>
        <w:spacing w:after="90" w:line="290"/>
      </w:pPr>
      <w:r>
        <w:rPr>
          <w:b/>
          <w:bCs/>
          <w:color w:val="16202B"/>
          <w:sz w:val="21"/>
          <w:szCs w:val="21"/>
        </w:rPr>
        <w:t xml:space="preserve">Begin Phase 0</w:t>
      </w:r>
      <w:r>
        <w:rPr>
          <w:color w:val="16202B"/>
          <w:sz w:val="21"/>
          <w:szCs w:val="21"/>
        </w:rPr>
        <w:t xml:space="preserve">, the test register, which is independent of the above and can start on approval.</w:t>
      </w:r>
    </w:p>
    <w:p>
      <w:pPr>
        <w:spacing w:after="160" w:line="300"/>
      </w:pPr>
      <w:r>
        <w:rPr>
          <w:color w:val="16202B"/>
          <w:sz w:val="21"/>
          <w:szCs w:val="21"/>
        </w:rPr>
        <w:t xml:space="preserve">On completion the contract file answers, from one place and with evidence behind each figure: what the contract is worth today, when it is due, what has been certified, what is held, what is owed, and whether it can be closed.</w:t>
      </w:r>
    </w:p>
    <w:p>
      <w:pPr>
        <w:pBdr>
          <w:top w:val="single" w:color="D9DDD8" w:sz="6" w:space="10"/>
        </w:pBdr>
        <w:spacing w:before="400"/>
      </w:pPr>
      <w:r>
        <w:rPr>
          <w:rFonts w:ascii="Calibri" w:cs="Calibri" w:eastAsia="Calibri" w:hAnsi="Calibri"/>
          <w:color w:val="75828F"/>
          <w:sz w:val="16"/>
          <w:szCs w:val="16"/>
        </w:rPr>
        <w:t xml:space="preserve">Prepared against the Ministry of Works General Conditions of Contract and a signed reference contract (Makangale Primary School, Zanzibar · SMZ/IMF/CW 04/2021-2022). Baseline figures drawn from CTR-00001 as currently held in the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620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Lifecycle &amp; Settlement Engine — Project Proposal</dc:title>
  <dc:creator>FGE Admin</dc:creator>
  <dc:description>Completing the Ministry of Works contract lifecycle from award to final account.</dc:description>
  <cp:lastModifiedBy>Un-named</cp:lastModifiedBy>
  <cp:revision>1</cp:revision>
  <dcterms:created xsi:type="dcterms:W3CDTF">2026-08-16T11:40:22.453Z</dcterms:created>
  <dcterms:modified xsi:type="dcterms:W3CDTF">2026-08-16T11:40:22.467Z</dcterms:modified>
</cp:coreProperties>
</file>

<file path=docProps/custom.xml><?xml version="1.0" encoding="utf-8"?>
<Properties xmlns="http://schemas.openxmlformats.org/officeDocument/2006/custom-properties" xmlns:vt="http://schemas.openxmlformats.org/officeDocument/2006/docPropsVTypes"/>
</file>