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w:pict>
      </w:r>
    </w:p>
    <w:bookmarkStart w:colFirst="0" w:colLast="0" w:name="bookmark=id.30j0zll" w:id="0"/>
    <w:bookmarkEnd w:id="0"/>
    <w:bookmarkStart w:colFirst="0" w:colLast="0" w:name="bookmark=id.gjdgxs" w:id="1"/>
    <w:bookmarkEnd w:id="1"/>
    <w:p w:rsidR="00000000" w:rsidDel="00000000" w:rsidP="00000000" w:rsidRDefault="00000000" w:rsidRPr="00000000" w14:paraId="00000002">
      <w:pPr>
        <w:spacing w:after="0" w:line="360" w:lineRule="auto"/>
        <w:jc w:val="both"/>
        <w:rPr>
          <w:b w:val="1"/>
          <w:sz w:val="24"/>
          <w:szCs w:val="24"/>
        </w:rPr>
      </w:pPr>
      <w:r w:rsidDel="00000000" w:rsidR="00000000" w:rsidRPr="00000000">
        <w:rPr>
          <w:b w:val="1"/>
          <w:sz w:val="24"/>
          <w:szCs w:val="24"/>
          <w:rtl w:val="0"/>
        </w:rPr>
        <w:t xml:space="preserve">COURS  7.                   TROISIEME SEMAINE DU DEVELOPPEMENT EMBRYONNAIRE</w:t>
      </w:r>
    </w:p>
    <w:p w:rsidR="00000000" w:rsidDel="00000000" w:rsidP="00000000" w:rsidRDefault="00000000" w:rsidRPr="00000000" w14:paraId="00000003">
      <w:pPr>
        <w:spacing w:after="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0" w:line="360" w:lineRule="auto"/>
        <w:jc w:val="both"/>
        <w:rPr>
          <w:sz w:val="24"/>
          <w:szCs w:val="24"/>
        </w:rPr>
      </w:pPr>
      <w:r w:rsidDel="00000000" w:rsidR="00000000" w:rsidRPr="00000000">
        <w:rPr>
          <w:sz w:val="24"/>
          <w:szCs w:val="24"/>
          <w:rtl w:val="0"/>
        </w:rPr>
        <w:t xml:space="preserve">Au cours de la 3</w:t>
      </w:r>
      <w:r w:rsidDel="00000000" w:rsidR="00000000" w:rsidRPr="00000000">
        <w:rPr>
          <w:sz w:val="24"/>
          <w:szCs w:val="24"/>
          <w:vertAlign w:val="superscript"/>
          <w:rtl w:val="0"/>
        </w:rPr>
        <w:t xml:space="preserve">ème</w:t>
      </w:r>
      <w:r w:rsidDel="00000000" w:rsidR="00000000" w:rsidRPr="00000000">
        <w:rPr>
          <w:sz w:val="24"/>
          <w:szCs w:val="24"/>
          <w:rtl w:val="0"/>
        </w:rPr>
        <w:t xml:space="preserve">  semaine, plusieurs phénomènes se produisent : </w:t>
      </w:r>
    </w:p>
    <w:p w:rsidR="00000000" w:rsidDel="00000000" w:rsidP="00000000" w:rsidRDefault="00000000" w:rsidRPr="00000000" w14:paraId="0000000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gastrulation : mise en place des trois feuillets définitifs. </w:t>
      </w:r>
    </w:p>
    <w:p w:rsidR="00000000" w:rsidDel="00000000" w:rsidP="00000000" w:rsidRDefault="00000000" w:rsidRPr="00000000" w14:paraId="0000000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début de deux grands phénomènes : neurulation et métamérisation. </w:t>
      </w:r>
    </w:p>
    <w:p w:rsidR="00000000" w:rsidDel="00000000" w:rsidP="00000000" w:rsidRDefault="00000000" w:rsidRPr="00000000" w14:paraId="0000000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14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développement des annexes ; allantoïde et placenta avec la formation des ébauches vasculaires extra-embryonnaires  et l'apparition des cellules souche s germinales. </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b w:val="1"/>
          <w:rtl w:val="0"/>
        </w:rPr>
        <w:t xml:space="preserve">1. 1. GASTRULATION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gastrulation, peut se définir comme le processus au cours duquel du matériel cellulaire issu du feuillet externe, l’ectophylle, jusqu'alors superficiel s'enfonce en profondeur, se différenciant en un troisième feuillet embryonnaire : Le mésoblaste et le disque embryonnaire didermique devient  tridermique. La gastrulation suit les étapes suivantes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Formation de la ligne primitive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16</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jour, à la face supérieure du disque embryonnaire, dans sa moitié caudale, les cellules de l’ectophylle convergent pour former un bourrelet longitudinal et médian : c'est la ligne primitive (L</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IVE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Formation du nœud de Hensen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17</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jour, l’extrémité de la L</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IVE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située à peu près au milieu de la plaque embryonnaire, se termine par un épaississement : le nœud de Hensen.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47115" cy="1673445"/>
            <wp:effectExtent b="0" l="0" r="0" t="0"/>
            <wp:docPr id="6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47115" cy="167344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Figure 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Invagination des cellules ectophylliques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et formation de la ligne primitive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Ces deux structures sont le point de départ d'un important flux de migration cellulaire pour former un troisième feuillet moyen : le mésoblaste, les cellules de l'ectophylle s'insinuent entre l'ectophylle pré-existant et l'entophylle pour constituer le mésoblaste. Dés la mise en place du troisième feuillet, ectophylle et entophylle deviennent ectoblaste et entoblaste.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ligne primitive détermine l'orientation axiale cranio-caudale de l'embryon et sa symétrie bilatérale.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mésoblaste a deux composantes :</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412"/>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 mésoblaste latéral qui provient de la ligne primitive</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72"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mésoblaste axial ou chordal provenant du nœud de Hensen.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Aux deux extrémités du grand axe du disque embryonnaire, l'ectoblaste et l’entoblaste restent jointifs, sans interposition de mésoblaste. ; ces deux zones, de forme circulaire, constituent la membrane pharyngienne en avant et la membrane cloacale en arrière.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13394" cy="2239049"/>
            <wp:effectExtent b="0" l="0" r="0" t="0"/>
            <wp:docPr descr="http://www.embryology.ch/images/imgmultuse/h2a2_ligneprim.gif" id="69" name="image8.gif"/>
            <a:graphic>
              <a:graphicData uri="http://schemas.openxmlformats.org/drawingml/2006/picture">
                <pic:pic>
                  <pic:nvPicPr>
                    <pic:cNvPr descr="http://www.embryology.ch/images/imgmultuse/h2a2_ligneprim.gif" id="0" name="image8.gif"/>
                    <pic:cNvPicPr preferRelativeResize="0"/>
                  </pic:nvPicPr>
                  <pic:blipFill>
                    <a:blip r:embed="rId14"/>
                    <a:srcRect b="0" l="0" r="0" t="0"/>
                    <a:stretch>
                      <a:fillRect/>
                    </a:stretch>
                  </pic:blipFill>
                  <pic:spPr>
                    <a:xfrm>
                      <a:off x="0" y="0"/>
                      <a:ext cx="3613394" cy="223904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1066800</wp:posOffset>
                </wp:positionV>
                <wp:extent cx="666115" cy="527050"/>
                <wp:effectExtent b="0" l="0" r="0" t="0"/>
                <wp:wrapNone/>
                <wp:docPr id="64" name=""/>
                <a:graphic>
                  <a:graphicData uri="http://schemas.microsoft.com/office/word/2010/wordprocessingShape">
                    <wps:wsp>
                      <wps:cNvSpPr/>
                      <wps:cNvPr id="7" name="Shape 7"/>
                      <wps:spPr>
                        <a:xfrm flipH="1">
                          <a:off x="5019293" y="3522825"/>
                          <a:ext cx="653415" cy="514350"/>
                        </a:xfrm>
                        <a:custGeom>
                          <a:rect b="b" l="l" r="r" t="t"/>
                          <a:pathLst>
                            <a:path extrusionOk="0" h="514350" w="653415">
                              <a:moveTo>
                                <a:pt x="0" y="0"/>
                              </a:moveTo>
                              <a:lnTo>
                                <a:pt x="653415" y="51435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1066800</wp:posOffset>
                </wp:positionV>
                <wp:extent cx="666115" cy="527050"/>
                <wp:effectExtent b="0" l="0" r="0" t="0"/>
                <wp:wrapNone/>
                <wp:docPr id="64" name="image17.png"/>
                <a:graphic>
                  <a:graphicData uri="http://schemas.openxmlformats.org/drawingml/2006/picture">
                    <pic:pic>
                      <pic:nvPicPr>
                        <pic:cNvPr id="0" name="image17.png"/>
                        <pic:cNvPicPr preferRelativeResize="0"/>
                      </pic:nvPicPr>
                      <pic:blipFill>
                        <a:blip r:embed="rId15"/>
                        <a:srcRect/>
                        <a:stretch>
                          <a:fillRect/>
                        </a:stretch>
                      </pic:blipFill>
                      <pic:spPr>
                        <a:xfrm>
                          <a:off x="0" y="0"/>
                          <a:ext cx="666115" cy="527050"/>
                        </a:xfrm>
                        <a:prstGeom prst="rect"/>
                        <a:ln/>
                      </pic:spPr>
                    </pic:pic>
                  </a:graphicData>
                </a:graphic>
              </wp:anchor>
            </w:drawing>
          </mc:Fallback>
        </mc:AlternateContent>
      </w:r>
    </w:p>
    <w:tbl>
      <w:tblPr>
        <w:tblStyle w:val="Table1"/>
        <w:tblW w:w="6975.0" w:type="dxa"/>
        <w:jc w:val="left"/>
        <w:tblLayout w:type="fixed"/>
        <w:tblLook w:val="0400"/>
      </w:tblPr>
      <w:tblGrid>
        <w:gridCol w:w="300"/>
        <w:gridCol w:w="6675"/>
        <w:tblGridChange w:id="0">
          <w:tblGrid>
            <w:gridCol w:w="300"/>
            <w:gridCol w:w="6675"/>
          </w:tblGrid>
        </w:tblGridChange>
      </w:tblGrid>
      <w:tr>
        <w:trPr>
          <w:cantSplit w:val="0"/>
          <w:tblHeader w:val="0"/>
        </w:trPr>
        <w:tc>
          <w:tcPr/>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b w:val="1"/>
                <w:sz w:val="20"/>
                <w:szCs w:val="20"/>
                <w:rtl w:val="0"/>
              </w:rPr>
              <w:t xml:space="preserve">1</w:t>
              <w:br w:type="textWrapping"/>
              <w:t xml:space="preserve">2</w:t>
              <w:br w:type="textWrapping"/>
              <w:t xml:space="preserve">3</w:t>
              <w:br w:type="textWrapping"/>
              <w:t xml:space="preserve">4</w:t>
              <w:br w:type="textWrapping"/>
              <w:t xml:space="preserve">5</w:t>
              <w:br w:type="textWrapping"/>
              <w:t xml:space="preserve">6</w:t>
              <w:br w:type="textWrapping"/>
              <w:t xml:space="preserve">7</w:t>
              <w:br w:type="textWrapping"/>
              <w:t xml:space="preserve">8</w:t>
              <w:br w:type="textWrapping"/>
              <w:t xml:space="preserve">9</w:t>
              <w:br w:type="textWrapping"/>
            </w:r>
            <w:r w:rsidDel="00000000" w:rsidR="00000000" w:rsidRPr="00000000">
              <w:rPr>
                <w:rtl w:val="0"/>
              </w:rPr>
            </w:r>
          </w:p>
        </w:tc>
        <w:tc>
          <w:tcPr/>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Ligne primitive </w:t>
              <w:br w:type="textWrapping"/>
              <w:t xml:space="preserve">Dépression primitive </w:t>
              <w:br w:type="textWrapping"/>
              <w:t xml:space="preserve">Noeud de Hensen</w:t>
              <w:br w:type="textWrapping"/>
              <w:t xml:space="preserve">Membrane pharyngienne</w:t>
              <w:br w:type="textWrapping"/>
              <w:t xml:space="preserve">Aire cardiaque</w:t>
              <w:br w:type="textWrapping"/>
              <w:t xml:space="preserve">Bord sectionné de l'amnios</w:t>
              <w:br w:type="textWrapping"/>
              <w:t xml:space="preserve">Mésoblaste</w:t>
              <w:br w:type="textWrapping"/>
              <w:t xml:space="preserve">Entoblaste</w:t>
              <w:br w:type="textWrapping"/>
              <w:t xml:space="preserve">Membrane cloacale</w:t>
              <w:br w:type="textWrapp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Figure 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Gastrulation et mouvements morphogénétiques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MISE EN PLACE DE LA CHORDE : PROCESSUS CHORDAL</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partir du tiers rostral de la ligne primitive, les cellules du mésoblaste (mésoblaste issu du nœud de Hensen) migrent, de part et d'autre du nœud de Hensen, vers l'extrémité rostrale.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Cette migration contribue à la croissance rapide de la plaque embryonnaire en avant du nœud de Hensen.  </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cours de sa  migration, le mésoblaste  forme la plaque pro-chordale : première partie du mésoblaste formé avant la chorde et induisant la formation de celle-ci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mise en place de la chorde suit plusieurs étapes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pict>
          <v:shape id="_x0000_s1034" style="position:absolute;left:0;text-align:left;margin-left:16.45pt;margin-top:11.65pt;width:6in;height:348.75pt;z-index:251666432;mso-position-horizontal:absolute;mso-position-vertical:absolute;mso-position-horizontal-relative:margin;mso-position-vertical-relative:text;" type="#_x0000_t202">
            <v:textbox>
              <w:txbxContent>
                <w:p w:rsidR="009E7452" w:rsidDel="00000000" w:rsidP="009E7452" w:rsidRDefault="009E7452" w:rsidRPr="00000000">
                  <w:r w:rsidDel="00000000" w:rsidR="00000000" w:rsidRPr="00844559">
                    <w:rPr>
                      <w:noProof w:val="1"/>
                      <w:lang w:eastAsia="fr-FR"/>
                    </w:rPr>
                    <w:drawing>
                      <wp:inline distB="0" distT="0" distL="0" distR="0">
                        <wp:extent cx="2333625" cy="885825"/>
                        <wp:effectExtent b="0" l="19050" r="9525" t="0"/>
                        <wp:docPr id="5" name="Image 3"/>
                        <wp:cNvGraphicFramePr/>
                        <a:graphic>
                          <a:graphicData uri="http://schemas.openxmlformats.org/drawingml/2006/picture">
                            <pic:pic>
                              <pic:nvPicPr>
                                <pic:cNvPr id="1026" name="Picture 2"/>
                                <pic:cNvPicPr>
                                  <a:picLocks noChangeAspect="1" noChangeArrowheads="1"/>
                                </pic:cNvPicPr>
                              </pic:nvPicPr>
                              <pic:blipFill>
                                <a:blip cstate="print" r:embed="rId1"/>
                                <a:srcRect/>
                                <a:stretch>
                                  <a:fillRect/>
                                </a:stretch>
                              </pic:blipFill>
                              <pic:spPr bwMode="auto">
                                <a:xfrm>
                                  <a:off x="0" y="0"/>
                                  <a:ext cx="2333625" cy="885825"/>
                                </a:xfrm>
                                <a:prstGeom prst="rect">
                                  <a:avLst/>
                                </a:prstGeom>
                                <a:noFill/>
                                <a:ln w="9525">
                                  <a:noFill/>
                                  <a:miter lim="800000"/>
                                  <a:headEnd/>
                                  <a:tailEnd/>
                                </a:ln>
                              </pic:spPr>
                            </pic:pic>
                          </a:graphicData>
                        </a:graphic>
                      </wp:inline>
                    </w:drawing>
                  </w:r>
                  <w:r w:rsidDel="00000000" w:rsidR="00000000" w:rsidRPr="00000000">
                    <w:rPr>
                      <w:noProof w:val="1"/>
                      <w:lang w:eastAsia="fr-FR"/>
                    </w:rPr>
                    <w:drawing>
                      <wp:inline distB="0" distT="0" distL="0" distR="0">
                        <wp:extent cx="2809875" cy="628650"/>
                        <wp:effectExtent b="0" l="19050" r="9525" t="0"/>
                        <wp:docPr id="6" name="Image 7"/>
                        <wp:cNvGraphicFramePr>
                          <a:graphicFrameLocks noChangeAspect="1"/>
                        </wp:cNvGraphicFramePr>
                        <a:graphic>
                          <a:graphicData uri="http://schemas.openxmlformats.org/drawingml/2006/picture">
                            <pic:pic>
                              <pic:nvPicPr>
                                <pic:cNvPr id="0" name="Picture 7"/>
                                <pic:cNvPicPr>
                                  <a:picLocks noChangeAspect="1" noChangeArrowheads="1"/>
                                </pic:cNvPicPr>
                              </pic:nvPicPr>
                              <pic:blipFill>
                                <a:blip r:embed="rId2"/>
                                <a:srcRect/>
                                <a:stretch>
                                  <a:fillRect/>
                                </a:stretch>
                              </pic:blipFill>
                              <pic:spPr bwMode="auto">
                                <a:xfrm>
                                  <a:off x="0" y="0"/>
                                  <a:ext cx="2809875" cy="628650"/>
                                </a:xfrm>
                                <a:prstGeom prst="rect">
                                  <a:avLst/>
                                </a:prstGeom>
                                <a:noFill/>
                                <a:ln w="9525">
                                  <a:noFill/>
                                  <a:miter lim="800000"/>
                                  <a:headEnd/>
                                  <a:tailEnd/>
                                </a:ln>
                              </pic:spPr>
                            </pic:pic>
                          </a:graphicData>
                        </a:graphic>
                      </wp:inline>
                    </w:drawing>
                  </w:r>
                </w:p>
                <w:p w:rsidR="009E7452" w:rsidDel="00000000" w:rsidP="009E7452" w:rsidRDefault="009E7452" w:rsidRPr="00000000">
                  <w:r w:rsidDel="00000000" w:rsidR="00000000" w:rsidRPr="00000000">
                    <w:rPr>
                      <w:noProof w:val="1"/>
                      <w:lang w:eastAsia="fr-FR"/>
                    </w:rPr>
                    <w:drawing>
                      <wp:inline distB="0" distT="0" distL="0" distR="0">
                        <wp:extent cx="2247900" cy="1447800"/>
                        <wp:effectExtent b="0" l="19050" r="0" t="0"/>
                        <wp:docPr id="8" name="Image 10"/>
                        <wp:cNvGraphicFramePr>
                          <a:graphicFrameLocks noChangeAspect="1"/>
                        </wp:cNvGraphicFramePr>
                        <a:graphic>
                          <a:graphicData uri="http://schemas.openxmlformats.org/drawingml/2006/picture">
                            <pic:pic>
                              <pic:nvPicPr>
                                <pic:cNvPr id="0" name="Picture 10"/>
                                <pic:cNvPicPr>
                                  <a:picLocks noChangeAspect="1" noChangeArrowheads="1"/>
                                </pic:cNvPicPr>
                              </pic:nvPicPr>
                              <pic:blipFill>
                                <a:blip r:embed="rId3"/>
                                <a:srcRect/>
                                <a:stretch>
                                  <a:fillRect/>
                                </a:stretch>
                              </pic:blipFill>
                              <pic:spPr bwMode="auto">
                                <a:xfrm>
                                  <a:off x="0" y="0"/>
                                  <a:ext cx="2247900" cy="1447800"/>
                                </a:xfrm>
                                <a:prstGeom prst="rect">
                                  <a:avLst/>
                                </a:prstGeom>
                                <a:noFill/>
                                <a:ln w="9525">
                                  <a:noFill/>
                                  <a:miter lim="800000"/>
                                  <a:headEnd/>
                                  <a:tailEnd/>
                                </a:ln>
                              </pic:spPr>
                            </pic:pic>
                          </a:graphicData>
                        </a:graphic>
                      </wp:inline>
                    </w:drawing>
                  </w:r>
                  <w:r w:rsidDel="00000000" w:rsidR="00000000" w:rsidRPr="00844559">
                    <w:rPr>
                      <w:noProof w:val="1"/>
                      <w:lang w:eastAsia="fr-FR"/>
                    </w:rPr>
                    <w:drawing>
                      <wp:inline distB="0" distT="0" distL="0" distR="0">
                        <wp:extent cx="2657475" cy="1433532"/>
                        <wp:effectExtent b="0" l="19050" r="9525" t="0"/>
                        <wp:docPr id="9" name="Image 4"/>
                        <wp:cNvGraphicFramePr/>
                        <a:graphic>
                          <a:graphicData uri="http://schemas.openxmlformats.org/drawingml/2006/picture">
                            <pic:pic>
                              <pic:nvPicPr>
                                <pic:cNvPr id="3074" name="Picture 2"/>
                                <pic:cNvPicPr>
                                  <a:picLocks noChangeAspect="1" noChangeArrowheads="1"/>
                                </pic:cNvPicPr>
                              </pic:nvPicPr>
                              <pic:blipFill>
                                <a:blip cstate="print" r:embed="rId4"/>
                                <a:srcRect/>
                                <a:stretch>
                                  <a:fillRect/>
                                </a:stretch>
                              </pic:blipFill>
                              <pic:spPr bwMode="auto">
                                <a:xfrm>
                                  <a:off x="0" y="0"/>
                                  <a:ext cx="2657475" cy="1433532"/>
                                </a:xfrm>
                                <a:prstGeom prst="rect">
                                  <a:avLst/>
                                </a:prstGeom>
                                <a:noFill/>
                                <a:ln w="9525">
                                  <a:noFill/>
                                  <a:miter lim="800000"/>
                                  <a:headEnd/>
                                  <a:tailEnd/>
                                </a:ln>
                              </pic:spPr>
                            </pic:pic>
                          </a:graphicData>
                        </a:graphic>
                      </wp:inline>
                    </w:drawing>
                  </w:r>
                </w:p>
                <w:p w:rsidR="009E7452" w:rsidDel="00000000" w:rsidP="009E7452" w:rsidRDefault="009E7452" w:rsidRPr="00000000">
                  <w:r w:rsidDel="00000000" w:rsidR="00000000" w:rsidRPr="00000000">
                    <w:rPr>
                      <w:noProof w:val="1"/>
                      <w:lang w:eastAsia="fr-FR"/>
                    </w:rPr>
                    <w:drawing>
                      <wp:inline distB="0" distT="0" distL="0" distR="0">
                        <wp:extent cx="2695575" cy="1571625"/>
                        <wp:effectExtent b="0" l="19050" r="9525" t="0"/>
                        <wp:docPr id="11" name="Image 13"/>
                        <wp:cNvGraphicFramePr>
                          <a:graphicFrameLocks noChangeAspect="1"/>
                        </wp:cNvGraphicFramePr>
                        <a:graphic>
                          <a:graphicData uri="http://schemas.openxmlformats.org/drawingml/2006/picture">
                            <pic:pic>
                              <pic:nvPicPr>
                                <pic:cNvPr id="0" name="Picture 13"/>
                                <pic:cNvPicPr>
                                  <a:picLocks noChangeAspect="1" noChangeArrowheads="1"/>
                                </pic:cNvPicPr>
                              </pic:nvPicPr>
                              <pic:blipFill>
                                <a:blip r:embed="rId5"/>
                                <a:srcRect/>
                                <a:stretch>
                                  <a:fillRect/>
                                </a:stretch>
                              </pic:blipFill>
                              <pic:spPr bwMode="auto">
                                <a:xfrm>
                                  <a:off x="0" y="0"/>
                                  <a:ext cx="2695575" cy="1571625"/>
                                </a:xfrm>
                                <a:prstGeom prst="rect">
                                  <a:avLst/>
                                </a:prstGeom>
                                <a:noFill/>
                                <a:ln w="9525">
                                  <a:noFill/>
                                  <a:miter lim="800000"/>
                                  <a:headEnd/>
                                  <a:tailEnd/>
                                </a:ln>
                              </pic:spPr>
                            </pic:pic>
                          </a:graphicData>
                        </a:graphic>
                      </wp:inline>
                    </w:drawing>
                  </w:r>
                  <w:r w:rsidDel="00000000" w:rsidR="00000000" w:rsidRPr="00000000">
                    <w:rPr>
                      <w:noProof w:val="1"/>
                      <w:lang w:eastAsia="fr-FR"/>
                    </w:rPr>
                    <w:drawing>
                      <wp:inline distB="0" distT="0" distL="0" distR="0">
                        <wp:extent cx="2447925" cy="1419225"/>
                        <wp:effectExtent b="0" l="19050" r="9525" t="0"/>
                        <wp:docPr id="12" name="Image 16"/>
                        <wp:cNvGraphicFramePr>
                          <a:graphicFrameLocks noChangeAspect="1"/>
                        </wp:cNvGraphicFramePr>
                        <a:graphic>
                          <a:graphicData uri="http://schemas.openxmlformats.org/drawingml/2006/picture">
                            <pic:pic>
                              <pic:nvPicPr>
                                <pic:cNvPr id="0" name="Picture 16"/>
                                <pic:cNvPicPr>
                                  <a:picLocks noChangeAspect="1" noChangeArrowheads="1"/>
                                </pic:cNvPicPr>
                              </pic:nvPicPr>
                              <pic:blipFill>
                                <a:blip r:embed="rId6"/>
                                <a:srcRect/>
                                <a:stretch>
                                  <a:fillRect/>
                                </a:stretch>
                              </pic:blipFill>
                              <pic:spPr bwMode="auto">
                                <a:xfrm>
                                  <a:off x="0" y="0"/>
                                  <a:ext cx="2447925" cy="141922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384175" cy="307975"/>
                <wp:effectExtent b="0" l="0" r="0" t="0"/>
                <wp:wrapNone/>
                <wp:docPr id="66" name=""/>
                <a:graphic>
                  <a:graphicData uri="http://schemas.microsoft.com/office/word/2010/wordprocessingShape">
                    <wps:wsp>
                      <wps:cNvSpPr/>
                      <wps:cNvPr id="9" name="Shape 9"/>
                      <wps:spPr>
                        <a:xfrm>
                          <a:off x="5160263" y="3632363"/>
                          <a:ext cx="371475" cy="295275"/>
                        </a:xfrm>
                        <a:custGeom>
                          <a:rect b="b" l="l" r="r" t="t"/>
                          <a:pathLst>
                            <a:path extrusionOk="0" h="295275" w="371475">
                              <a:moveTo>
                                <a:pt x="0" y="0"/>
                              </a:moveTo>
                              <a:lnTo>
                                <a:pt x="0" y="295275"/>
                              </a:lnTo>
                              <a:lnTo>
                                <a:pt x="371475" y="295275"/>
                              </a:lnTo>
                              <a:lnTo>
                                <a:pt x="37147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1333500</wp:posOffset>
                </wp:positionH>
                <wp:positionV relativeFrom="paragraph">
                  <wp:posOffset>0</wp:posOffset>
                </wp:positionV>
                <wp:extent cx="384175" cy="307975"/>
                <wp:effectExtent b="0" l="0" r="0" t="0"/>
                <wp:wrapNone/>
                <wp:docPr id="66"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384175" cy="307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76200</wp:posOffset>
                </wp:positionV>
                <wp:extent cx="393700" cy="279400"/>
                <wp:effectExtent b="0" l="0" r="0" t="0"/>
                <wp:wrapNone/>
                <wp:docPr id="60" name=""/>
                <a:graphic>
                  <a:graphicData uri="http://schemas.microsoft.com/office/word/2010/wordprocessingShape">
                    <wps:wsp>
                      <wps:cNvSpPr/>
                      <wps:cNvPr id="3" name="Shape 3"/>
                      <wps:spPr>
                        <a:xfrm>
                          <a:off x="5155500" y="3646650"/>
                          <a:ext cx="381000" cy="266700"/>
                        </a:xfrm>
                        <a:custGeom>
                          <a:rect b="b" l="l" r="r" t="t"/>
                          <a:pathLst>
                            <a:path extrusionOk="0" h="266700" w="381000">
                              <a:moveTo>
                                <a:pt x="0" y="0"/>
                              </a:moveTo>
                              <a:lnTo>
                                <a:pt x="0" y="266700"/>
                              </a:lnTo>
                              <a:lnTo>
                                <a:pt x="381000" y="266700"/>
                              </a:lnTo>
                              <a:lnTo>
                                <a:pt x="38100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76200</wp:posOffset>
                </wp:positionV>
                <wp:extent cx="393700" cy="279400"/>
                <wp:effectExtent b="0" l="0" r="0" t="0"/>
                <wp:wrapNone/>
                <wp:docPr id="60"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393700" cy="27940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36550" cy="346075"/>
                <wp:effectExtent b="0" l="0" r="0" t="0"/>
                <wp:wrapNone/>
                <wp:docPr id="62" name=""/>
                <a:graphic>
                  <a:graphicData uri="http://schemas.microsoft.com/office/word/2010/wordprocessingShape">
                    <wps:wsp>
                      <wps:cNvSpPr/>
                      <wps:cNvPr id="5" name="Shape 5"/>
                      <wps:spPr>
                        <a:xfrm>
                          <a:off x="5184075" y="3613313"/>
                          <a:ext cx="323850" cy="333375"/>
                        </a:xfrm>
                        <a:custGeom>
                          <a:rect b="b" l="l" r="r" t="t"/>
                          <a:pathLst>
                            <a:path extrusionOk="0" h="333375" w="323850">
                              <a:moveTo>
                                <a:pt x="0" y="0"/>
                              </a:moveTo>
                              <a:lnTo>
                                <a:pt x="0" y="333375"/>
                              </a:lnTo>
                              <a:lnTo>
                                <a:pt x="323850" y="333375"/>
                              </a:lnTo>
                              <a:lnTo>
                                <a:pt x="32385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36550" cy="346075"/>
                <wp:effectExtent b="0" l="0" r="0" t="0"/>
                <wp:wrapNone/>
                <wp:docPr id="6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336550" cy="346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215900</wp:posOffset>
                </wp:positionV>
                <wp:extent cx="346075" cy="317500"/>
                <wp:effectExtent b="0" l="0" r="0" t="0"/>
                <wp:wrapNone/>
                <wp:docPr id="59" name=""/>
                <a:graphic>
                  <a:graphicData uri="http://schemas.microsoft.com/office/word/2010/wordprocessingShape">
                    <wps:wsp>
                      <wps:cNvSpPr/>
                      <wps:cNvPr id="2" name="Shape 2"/>
                      <wps:spPr>
                        <a:xfrm>
                          <a:off x="5179313" y="3627600"/>
                          <a:ext cx="333375" cy="304800"/>
                        </a:xfrm>
                        <a:custGeom>
                          <a:rect b="b" l="l" r="r" t="t"/>
                          <a:pathLst>
                            <a:path extrusionOk="0" h="304800" w="333375">
                              <a:moveTo>
                                <a:pt x="0" y="0"/>
                              </a:moveTo>
                              <a:lnTo>
                                <a:pt x="0" y="304800"/>
                              </a:lnTo>
                              <a:lnTo>
                                <a:pt x="333375" y="304800"/>
                              </a:lnTo>
                              <a:lnTo>
                                <a:pt x="333375"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4.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215900</wp:posOffset>
                </wp:positionV>
                <wp:extent cx="346075" cy="317500"/>
                <wp:effectExtent b="0" l="0" r="0" t="0"/>
                <wp:wrapNone/>
                <wp:docPr id="59"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346075" cy="3175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wp:posOffset>
                </wp:positionV>
                <wp:extent cx="450850" cy="384175"/>
                <wp:effectExtent b="0" l="0" r="0" t="0"/>
                <wp:wrapNone/>
                <wp:docPr id="63" name=""/>
                <a:graphic>
                  <a:graphicData uri="http://schemas.microsoft.com/office/word/2010/wordprocessingShape">
                    <wps:wsp>
                      <wps:cNvSpPr/>
                      <wps:cNvPr id="6" name="Shape 6"/>
                      <wps:spPr>
                        <a:xfrm>
                          <a:off x="5126925" y="3594263"/>
                          <a:ext cx="438150" cy="371475"/>
                        </a:xfrm>
                        <a:custGeom>
                          <a:rect b="b" l="l" r="r" t="t"/>
                          <a:pathLst>
                            <a:path extrusionOk="0" h="371475" w="438150">
                              <a:moveTo>
                                <a:pt x="0" y="0"/>
                              </a:moveTo>
                              <a:lnTo>
                                <a:pt x="0" y="371475"/>
                              </a:lnTo>
                              <a:lnTo>
                                <a:pt x="438150" y="371475"/>
                              </a:lnTo>
                              <a:lnTo>
                                <a:pt x="43815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5.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12700</wp:posOffset>
                </wp:positionV>
                <wp:extent cx="450850" cy="384175"/>
                <wp:effectExtent b="0" l="0" r="0" t="0"/>
                <wp:wrapNone/>
                <wp:docPr id="63"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450850" cy="384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3683000</wp:posOffset>
                </wp:positionH>
                <wp:positionV relativeFrom="paragraph">
                  <wp:posOffset>76200</wp:posOffset>
                </wp:positionV>
                <wp:extent cx="355600" cy="317500"/>
                <wp:effectExtent b="0" l="0" r="0" t="0"/>
                <wp:wrapNone/>
                <wp:docPr id="65" name=""/>
                <a:graphic>
                  <a:graphicData uri="http://schemas.microsoft.com/office/word/2010/wordprocessingShape">
                    <wps:wsp>
                      <wps:cNvSpPr/>
                      <wps:cNvPr id="8" name="Shape 8"/>
                      <wps:spPr>
                        <a:xfrm>
                          <a:off x="5174550" y="3627600"/>
                          <a:ext cx="342900" cy="304800"/>
                        </a:xfrm>
                        <a:custGeom>
                          <a:rect b="b" l="l" r="r" t="t"/>
                          <a:pathLst>
                            <a:path extrusionOk="0" h="304800" w="342900">
                              <a:moveTo>
                                <a:pt x="0" y="0"/>
                              </a:moveTo>
                              <a:lnTo>
                                <a:pt x="0" y="304800"/>
                              </a:lnTo>
                              <a:lnTo>
                                <a:pt x="342900" y="304800"/>
                              </a:lnTo>
                              <a:lnTo>
                                <a:pt x="342900" y="0"/>
                              </a:lnTo>
                              <a:close/>
                            </a:path>
                          </a:pathLst>
                        </a:custGeom>
                        <a:solidFill>
                          <a:srgbClr val="FFFFFF"/>
                        </a:solidFill>
                        <a:ln cap="flat" cmpd="sng" w="12700">
                          <a:solidFill>
                            <a:srgbClr val="FFFFFF"/>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6.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3683000</wp:posOffset>
                </wp:positionH>
                <wp:positionV relativeFrom="paragraph">
                  <wp:posOffset>76200</wp:posOffset>
                </wp:positionV>
                <wp:extent cx="355600" cy="317500"/>
                <wp:effectExtent b="0" l="0" r="0" t="0"/>
                <wp:wrapNone/>
                <wp:docPr id="65"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355600" cy="3175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Planche 1. Les étapes du processus chordal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 Formation du prolongement céphalique et du canal chordal (18</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et 19</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jour)</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partir du nœud de Hensen, les cellules migrent vers l'extrémité rostrale jusqu'à proximité de la plaque pro-chordale. </w:t>
      </w:r>
    </w:p>
    <w:p w:rsidR="00000000" w:rsidDel="00000000" w:rsidP="00000000" w:rsidRDefault="00000000" w:rsidRPr="00000000" w14:paraId="0000003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Elles forment, entre l'ectoblaste et l'entoblaste, un diverticule axial en doigt de gant, le prolongement céphalique qui s’étend en canal : le canal chordal.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2.2. Formation de la gouttière chordale et de la plaque chordale (20</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et 21</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jour)</w:t>
      </w:r>
    </w:p>
    <w:p w:rsidR="00000000" w:rsidDel="00000000" w:rsidP="00000000" w:rsidRDefault="00000000" w:rsidRPr="00000000" w14:paraId="000000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toit du canal chordal fusionne avec l'entoblaste sur la voûte de la vésicule vitelline. Le matériel chordal apparaît alors comme une gouttière renversée, qui, tout en progressant vers la partie caudale, s'aplatit pour former finalement une plaque longitudinale, remplaçant l’entoblaste sur la partie axiale du toit de la vésicule vitelline. </w:t>
      </w:r>
    </w:p>
    <w:p w:rsidR="00000000" w:rsidDel="00000000" w:rsidP="00000000" w:rsidRDefault="00000000" w:rsidRPr="00000000" w14:paraId="000000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disparition du plancher chordal ouvre une communication entre la cavité amniotique et le lécithocèle secondaire au niveau du nœud de Hensen : canal de Lieberkhun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 canal neurentérique. Cette communication est transitoire et se ferme rapidement.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2.3. Formation de la chorde dorsale (22</w:t>
      </w:r>
      <w:r w:rsidDel="00000000" w:rsidR="00000000" w:rsidRPr="00000000">
        <w:rPr>
          <w:rFonts w:ascii="Calibri" w:cs="Calibri" w:eastAsia="Calibri" w:hAnsi="Calibri"/>
          <w:b w:val="1"/>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jour)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2844800</wp:posOffset>
                </wp:positionH>
                <wp:positionV relativeFrom="paragraph">
                  <wp:posOffset>1473200</wp:posOffset>
                </wp:positionV>
                <wp:extent cx="19685" cy="1287780"/>
                <wp:effectExtent b="0" l="0" r="0" t="0"/>
                <wp:wrapNone/>
                <wp:docPr id="67" name=""/>
                <a:graphic>
                  <a:graphicData uri="http://schemas.microsoft.com/office/word/2010/wordprocessingShape">
                    <wps:wsp>
                      <wps:cNvSpPr/>
                      <wps:cNvPr id="10" name="Shape 10"/>
                      <wps:spPr>
                        <a:xfrm>
                          <a:off x="5336158" y="3136110"/>
                          <a:ext cx="19685" cy="1287780"/>
                        </a:xfrm>
                        <a:custGeom>
                          <a:rect b="b" l="l" r="r" t="t"/>
                          <a:pathLst>
                            <a:path extrusionOk="0" h="1287780" w="19685">
                              <a:moveTo>
                                <a:pt x="0" y="0"/>
                              </a:moveTo>
                              <a:lnTo>
                                <a:pt x="19685" y="1287780"/>
                              </a:lnTo>
                            </a:path>
                          </a:pathLst>
                        </a:custGeom>
                        <a:solidFill>
                          <a:srgbClr val="FFFFFF"/>
                        </a:solidFill>
                        <a:ln cap="flat" cmpd="sng" w="5715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1473200</wp:posOffset>
                </wp:positionV>
                <wp:extent cx="19685" cy="1287780"/>
                <wp:effectExtent b="0" l="0" r="0" t="0"/>
                <wp:wrapNone/>
                <wp:docPr id="67" name="image20.png"/>
                <a:graphic>
                  <a:graphicData uri="http://schemas.openxmlformats.org/drawingml/2006/picture">
                    <pic:pic>
                      <pic:nvPicPr>
                        <pic:cNvPr id="0" name="image20.png"/>
                        <pic:cNvPicPr preferRelativeResize="0"/>
                      </pic:nvPicPr>
                      <pic:blipFill>
                        <a:blip r:embed="rId22"/>
                        <a:srcRect/>
                        <a:stretch>
                          <a:fillRect/>
                        </a:stretch>
                      </pic:blipFill>
                      <pic:spPr>
                        <a:xfrm>
                          <a:off x="0" y="0"/>
                          <a:ext cx="19685" cy="128778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L'entoblaste définitif se referme, individualisant au sein du mésoblaste embryonnaire un cordon plein, la chorde dorsale.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760720" cy="2536930"/>
            <wp:effectExtent b="0" l="0" r="0" t="0"/>
            <wp:docPr id="7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60720" cy="253693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Figure 3.   Coupe longitudinale au niveau d’un embryon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âgé de 22 jours stade chorde pleine </w:t>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b w:val="1"/>
          <w:sz w:val="24"/>
          <w:szCs w:val="24"/>
          <w:rtl w:val="0"/>
        </w:rPr>
        <w:t xml:space="preserve">3. APPARITION DE CERTAINES EBAUCHES ET DEVELOPPEMENT DES ANNEXES</w:t>
      </w:r>
    </w:p>
    <w:p w:rsidR="00000000" w:rsidDel="00000000" w:rsidP="00000000" w:rsidRDefault="00000000" w:rsidRPr="00000000" w14:paraId="0000004A">
      <w:pPr>
        <w:spacing w:after="0" w:line="360" w:lineRule="auto"/>
        <w:jc w:val="both"/>
        <w:rPr>
          <w:b w:val="1"/>
          <w:sz w:val="24"/>
          <w:szCs w:val="24"/>
        </w:rPr>
      </w:pPr>
      <w:r w:rsidDel="00000000" w:rsidR="00000000" w:rsidRPr="00000000">
        <w:rPr>
          <w:b w:val="1"/>
          <w:sz w:val="24"/>
          <w:szCs w:val="24"/>
          <w:rtl w:val="0"/>
        </w:rPr>
        <w:t xml:space="preserve"> </w:t>
      </w:r>
      <w:r w:rsidDel="00000000" w:rsidR="00000000" w:rsidRPr="00000000">
        <w:rPr>
          <w:sz w:val="23"/>
          <w:szCs w:val="23"/>
          <w:rtl w:val="0"/>
        </w:rPr>
        <w:t xml:space="preserve">Avant même que soit terminée leur mise en place définitive, les feuillets commencent déjà à subir des modifications, qui se prolongeront lors de la </w:t>
      </w:r>
      <w:r w:rsidDel="00000000" w:rsidR="00000000" w:rsidRPr="00000000">
        <w:rPr>
          <w:sz w:val="24"/>
          <w:szCs w:val="24"/>
          <w:rtl w:val="0"/>
        </w:rPr>
        <w:t xml:space="preserve">4</w:t>
      </w:r>
      <w:r w:rsidDel="00000000" w:rsidR="00000000" w:rsidRPr="00000000">
        <w:rPr>
          <w:sz w:val="24"/>
          <w:szCs w:val="24"/>
          <w:vertAlign w:val="superscript"/>
          <w:rtl w:val="0"/>
        </w:rPr>
        <w:t xml:space="preserve">ème </w:t>
      </w:r>
      <w:r w:rsidDel="00000000" w:rsidR="00000000" w:rsidRPr="00000000">
        <w:rPr>
          <w:sz w:val="24"/>
          <w:szCs w:val="24"/>
          <w:rtl w:val="0"/>
        </w:rPr>
        <w:t xml:space="preserve">s</w:t>
      </w:r>
      <w:r w:rsidDel="00000000" w:rsidR="00000000" w:rsidRPr="00000000">
        <w:rPr>
          <w:sz w:val="23"/>
          <w:szCs w:val="23"/>
          <w:rtl w:val="0"/>
        </w:rPr>
        <w:t xml:space="preserve">emaine. </w:t>
      </w:r>
      <w:r w:rsidDel="00000000" w:rsidR="00000000" w:rsidRPr="00000000">
        <w:rPr>
          <w:b w:val="1"/>
          <w:sz w:val="24"/>
          <w:szCs w:val="24"/>
          <w:rtl w:val="0"/>
        </w:rPr>
        <w:t xml:space="preserve"> </w:t>
      </w:r>
    </w:p>
    <w:p w:rsidR="00000000" w:rsidDel="00000000" w:rsidP="00000000" w:rsidRDefault="00000000" w:rsidRPr="00000000" w14:paraId="0000004B">
      <w:pPr>
        <w:tabs>
          <w:tab w:val="left" w:leader="none" w:pos="851"/>
        </w:tabs>
        <w:spacing w:after="0" w:line="360" w:lineRule="auto"/>
        <w:jc w:val="both"/>
        <w:rPr>
          <w:b w:val="1"/>
          <w:sz w:val="24"/>
          <w:szCs w:val="24"/>
        </w:rPr>
      </w:pPr>
      <w:r w:rsidDel="00000000" w:rsidR="00000000" w:rsidRPr="00000000">
        <w:rPr>
          <w:b w:val="1"/>
          <w:sz w:val="24"/>
          <w:szCs w:val="24"/>
          <w:rtl w:val="0"/>
        </w:rPr>
        <w:t xml:space="preserve">3.1. Début de la neurulation</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L’ébauchage du système nerveux débute le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jour du développement embryonnaire. </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phénomène est apprécié sur des coupes transversales et comporte les phases suivantes :</w:t>
      </w:r>
    </w:p>
    <w:p w:rsidR="00000000" w:rsidDel="00000000" w:rsidP="00000000" w:rsidRDefault="00000000" w:rsidRPr="00000000" w14:paraId="0000004E">
      <w:pPr>
        <w:spacing w:after="0" w:line="360" w:lineRule="auto"/>
        <w:jc w:val="both"/>
        <w:rPr>
          <w:b w:val="1"/>
          <w:sz w:val="24"/>
          <w:szCs w:val="24"/>
        </w:rPr>
      </w:pPr>
      <w:r w:rsidDel="00000000" w:rsidR="00000000" w:rsidRPr="00000000">
        <w:rPr>
          <w:b w:val="1"/>
          <w:sz w:val="24"/>
          <w:szCs w:val="24"/>
          <w:rtl w:val="0"/>
        </w:rPr>
        <w:t xml:space="preserve">Formation de la plaque neurale  (18</w:t>
      </w:r>
      <w:r w:rsidDel="00000000" w:rsidR="00000000" w:rsidRPr="00000000">
        <w:rPr>
          <w:b w:val="1"/>
          <w:sz w:val="24"/>
          <w:szCs w:val="24"/>
          <w:vertAlign w:val="superscript"/>
          <w:rtl w:val="0"/>
        </w:rPr>
        <w:t xml:space="preserve">ème</w:t>
      </w:r>
      <w:r w:rsidDel="00000000" w:rsidR="00000000" w:rsidRPr="00000000">
        <w:rPr>
          <w:b w:val="1"/>
          <w:sz w:val="24"/>
          <w:szCs w:val="24"/>
          <w:rtl w:val="0"/>
        </w:rPr>
        <w:t xml:space="preserve"> jour)</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L'ectoblaste donne deux ensembles cellulaires distincts, le neurectoblaste (plaque neurale) et l'épiblaste (le reste de l'ectoblaste). </w:t>
      </w:r>
    </w:p>
    <w:p w:rsidR="00000000" w:rsidDel="00000000" w:rsidP="00000000" w:rsidRDefault="00000000" w:rsidRPr="00000000" w14:paraId="000000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neurectoblaste s'épaissit en avant du nœud de Hensen et prend la forme d'une raquette renflée en avant. C'est la plaque neurale  qui s'étend progressivement vers la partie caudale. </w:t>
      </w:r>
    </w:p>
    <w:p w:rsidR="00000000" w:rsidDel="00000000" w:rsidP="00000000" w:rsidRDefault="00000000" w:rsidRPr="00000000" w14:paraId="00000051">
      <w:pPr>
        <w:spacing w:after="0" w:line="360" w:lineRule="auto"/>
        <w:jc w:val="both"/>
        <w:rPr>
          <w:b w:val="1"/>
          <w:sz w:val="24"/>
          <w:szCs w:val="24"/>
        </w:rPr>
      </w:pPr>
      <w:r w:rsidDel="00000000" w:rsidR="00000000" w:rsidRPr="00000000">
        <w:rPr>
          <w:b w:val="1"/>
          <w:sz w:val="24"/>
          <w:szCs w:val="24"/>
          <w:rtl w:val="0"/>
        </w:rPr>
        <w:t xml:space="preserve">Formation de la gouttière neurale (19</w:t>
      </w:r>
      <w:r w:rsidDel="00000000" w:rsidR="00000000" w:rsidRPr="00000000">
        <w:rPr>
          <w:b w:val="1"/>
          <w:sz w:val="24"/>
          <w:szCs w:val="24"/>
          <w:vertAlign w:val="superscript"/>
          <w:rtl w:val="0"/>
        </w:rPr>
        <w:t xml:space="preserve">ème</w:t>
      </w:r>
      <w:r w:rsidDel="00000000" w:rsidR="00000000" w:rsidRPr="00000000">
        <w:rPr>
          <w:b w:val="1"/>
          <w:sz w:val="24"/>
          <w:szCs w:val="24"/>
          <w:rtl w:val="0"/>
        </w:rPr>
        <w:t xml:space="preserve"> jour) </w:t>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bords latéraux de la plaque neurale se relèvent transformant la plaque en gouttière neurale.</w:t>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zones de jonction entre les bords de la gouttière neurale et l'ectoblaste constituent alors deux crêtes longitudinales : Les crêtes neurales.</w:t>
      </w:r>
    </w:p>
    <w:p w:rsidR="00000000" w:rsidDel="00000000" w:rsidP="00000000" w:rsidRDefault="00000000" w:rsidRPr="00000000" w14:paraId="00000054">
      <w:pPr>
        <w:spacing w:after="0" w:line="360" w:lineRule="auto"/>
        <w:jc w:val="both"/>
        <w:rPr>
          <w:b w:val="1"/>
          <w:sz w:val="24"/>
          <w:szCs w:val="24"/>
        </w:rPr>
      </w:pPr>
      <w:r w:rsidDel="00000000" w:rsidR="00000000" w:rsidRPr="00000000">
        <w:rPr>
          <w:b w:val="1"/>
          <w:sz w:val="24"/>
          <w:szCs w:val="24"/>
          <w:rtl w:val="0"/>
        </w:rPr>
        <w:t xml:space="preserve">Formation du tube neural (21</w:t>
      </w:r>
      <w:r w:rsidDel="00000000" w:rsidR="00000000" w:rsidRPr="00000000">
        <w:rPr>
          <w:b w:val="1"/>
          <w:sz w:val="24"/>
          <w:szCs w:val="24"/>
          <w:vertAlign w:val="superscript"/>
          <w:rtl w:val="0"/>
        </w:rPr>
        <w:t xml:space="preserve">ème</w:t>
      </w:r>
      <w:r w:rsidDel="00000000" w:rsidR="00000000" w:rsidRPr="00000000">
        <w:rPr>
          <w:b w:val="1"/>
          <w:sz w:val="24"/>
          <w:szCs w:val="24"/>
          <w:rtl w:val="0"/>
        </w:rPr>
        <w:t xml:space="preserve"> jour) </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bords de la gouttière se rejoignent et fusionnent dans la partie centrale de la plaque embryonnaire. </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fermeture s'étend vers les extrémités céphalique (plus rapide) et caudale. </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 moment de la fusion des berges de la gouttière pour former un tube qui est le tube neural, les crêtes neurales s'isolent dans le mésenchyme sous-jacent, de part et d'autre du tube.</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L’épiblaste rétablit sa continuité en surface.</w:t>
      </w:r>
    </w:p>
    <w:p w:rsidR="00000000" w:rsidDel="00000000" w:rsidP="00000000" w:rsidRDefault="00000000" w:rsidRPr="00000000" w14:paraId="00000059">
      <w:pPr>
        <w:spacing w:line="360" w:lineRule="auto"/>
        <w:jc w:val="both"/>
        <w:rPr>
          <w:b w:val="1"/>
          <w:sz w:val="24"/>
          <w:szCs w:val="24"/>
        </w:rPr>
      </w:pPr>
      <w:r w:rsidDel="00000000" w:rsidR="00000000" w:rsidRPr="00000000">
        <w:rPr>
          <w:b w:val="1"/>
          <w:sz w:val="24"/>
          <w:szCs w:val="24"/>
          <w:rtl w:val="0"/>
        </w:rPr>
        <w:t xml:space="preserve">3.2. Début de la métamérisation</w:t>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mésoblaste (issu de la ligne primitive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développe de façon très active du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 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 Trois bandes longitudinales se densifient au sein d'un tissu mésenchymateux, de chaque côté de la corde dorsale : mésoblaste para-axial, mésoblaste intermédiaire, et mésoblaste latéral.</w:t>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sz w:val="24"/>
          <w:szCs w:val="24"/>
        </w:rPr>
      </w:pPr>
      <w:r w:rsidDel="00000000" w:rsidR="00000000" w:rsidRPr="00000000">
        <w:rPr>
          <w:b w:val="1"/>
          <w:sz w:val="24"/>
          <w:szCs w:val="24"/>
          <w:rtl w:val="0"/>
        </w:rPr>
        <w:t xml:space="preserve">                                    </w:t>
      </w:r>
      <w:r w:rsidDel="00000000" w:rsidR="00000000" w:rsidRPr="00000000">
        <w:rPr/>
        <w:drawing>
          <wp:inline distB="0" distT="0" distL="0" distR="0">
            <wp:extent cx="3688930" cy="2162442"/>
            <wp:effectExtent b="0" l="0" r="0" t="0"/>
            <wp:docPr descr="2èME partie : 3ème semaine DU DEVELOPPEMENT EMBRYONNAIRE Début de la  neurulation Différenciation du mésoderme Évolution" id="70" name="image9.jpg"/>
            <a:graphic>
              <a:graphicData uri="http://schemas.openxmlformats.org/drawingml/2006/picture">
                <pic:pic>
                  <pic:nvPicPr>
                    <pic:cNvPr descr="2èME partie : 3ème semaine DU DEVELOPPEMENT EMBRYONNAIRE Début de la  neurulation Différenciation du mésoderme Évolution" id="0" name="image9.jpg"/>
                    <pic:cNvPicPr preferRelativeResize="0"/>
                  </pic:nvPicPr>
                  <pic:blipFill>
                    <a:blip r:embed="rId24"/>
                    <a:srcRect b="0" l="0" r="0" t="0"/>
                    <a:stretch>
                      <a:fillRect/>
                    </a:stretch>
                  </pic:blipFill>
                  <pic:spPr>
                    <a:xfrm>
                      <a:off x="0" y="0"/>
                      <a:ext cx="3688930" cy="216244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sz w:val="24"/>
          <w:szCs w:val="24"/>
        </w:rPr>
      </w:pPr>
      <w:r w:rsidDel="00000000" w:rsidR="00000000" w:rsidRPr="00000000">
        <w:rPr>
          <w:b w:val="1"/>
          <w:sz w:val="24"/>
          <w:szCs w:val="24"/>
          <w:rtl w:val="0"/>
        </w:rPr>
        <w:t xml:space="preserve">                                          </w:t>
      </w:r>
      <w:r w:rsidDel="00000000" w:rsidR="00000000" w:rsidRPr="00000000">
        <w:rPr>
          <w:b w:val="1"/>
          <w:rtl w:val="0"/>
        </w:rPr>
        <w:t xml:space="preserve"> </w:t>
      </w:r>
      <w:r w:rsidDel="00000000" w:rsidR="00000000" w:rsidRPr="00000000">
        <w:rPr>
          <w:b w:val="1"/>
          <w:sz w:val="24"/>
          <w:szCs w:val="24"/>
          <w:rtl w:val="0"/>
        </w:rPr>
        <w:t xml:space="preserve">Figure 4.   Les étapes de la neurulation</w:t>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sz w:val="24"/>
          <w:szCs w:val="24"/>
        </w:rPr>
      </w:pPr>
      <w:r w:rsidDel="00000000" w:rsidR="00000000" w:rsidRPr="00000000">
        <w:rPr>
          <w:b w:val="1"/>
          <w:sz w:val="24"/>
          <w:szCs w:val="24"/>
          <w:rtl w:val="0"/>
        </w:rPr>
        <w:t xml:space="preserve">Mésoblaste para-axial</w:t>
      </w:r>
      <w:r w:rsidDel="00000000" w:rsidR="00000000" w:rsidRPr="00000000">
        <w:rPr>
          <w:sz w:val="24"/>
          <w:szCs w:val="24"/>
          <w:rtl w:val="0"/>
        </w:rPr>
        <w:t xml:space="preserve"> </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cellules se groupent en amas volumineux qui s'isolent les uns des autres dans le sens longitudinal. </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Chaque amas s'appelle un somite.</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segmentation commence à la partie rostrale de la plaque embryonnaire (future région occipitale) et progresse vers la région caudale de façon symétrique.</w:t>
      </w:r>
    </w:p>
    <w:p w:rsidR="00000000" w:rsidDel="00000000" w:rsidP="00000000" w:rsidRDefault="00000000" w:rsidRPr="00000000" w14:paraId="00000064">
      <w:pPr>
        <w:spacing w:after="0" w:line="360" w:lineRule="auto"/>
        <w:jc w:val="both"/>
        <w:rPr>
          <w:sz w:val="24"/>
          <w:szCs w:val="24"/>
        </w:rPr>
      </w:pPr>
      <w:r w:rsidDel="00000000" w:rsidR="00000000" w:rsidRPr="00000000">
        <w:rPr>
          <w:b w:val="1"/>
          <w:sz w:val="24"/>
          <w:szCs w:val="24"/>
          <w:rtl w:val="0"/>
        </w:rPr>
        <w:t xml:space="preserve">Mésoblaste intermédiaire</w:t>
      </w:r>
      <w:r w:rsidDel="00000000" w:rsidR="00000000" w:rsidRPr="00000000">
        <w:rPr>
          <w:sz w:val="24"/>
          <w:szCs w:val="24"/>
          <w:rtl w:val="0"/>
        </w:rPr>
        <w:t xml:space="preserve"> </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forme un cordon qui subit également une segmentation métamérique longitudinal, le cordon néphrogène et sera en particulier à l'origine de l'appareil urinaire. </w:t>
      </w:r>
    </w:p>
    <w:p w:rsidR="00000000" w:rsidDel="00000000" w:rsidP="00000000" w:rsidRDefault="00000000" w:rsidRPr="00000000" w14:paraId="00000066">
      <w:pPr>
        <w:spacing w:after="0" w:line="360" w:lineRule="auto"/>
        <w:jc w:val="both"/>
        <w:rPr>
          <w:sz w:val="24"/>
          <w:szCs w:val="24"/>
        </w:rPr>
      </w:pPr>
      <w:r w:rsidDel="00000000" w:rsidR="00000000" w:rsidRPr="00000000">
        <w:rPr>
          <w:b w:val="1"/>
          <w:sz w:val="24"/>
          <w:szCs w:val="24"/>
          <w:rtl w:val="0"/>
        </w:rPr>
        <w:t xml:space="preserve">Mésoblaste latéral</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se clive et donne 2 feuillets : la somatopleure intra-embryonnaire </w:t>
        <w:br w:type="textWrapping"/>
        <w:t xml:space="preserve">et la splanchnopleure intra-embryonnaire. </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Entre ces deux feuillets, l'espace est ouvert sur le cœlome intra- embryonnaire :  future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cavité péritonéo-pleuro-péricardique (dont le cloisonnement donnera les cavités péritonéale,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pleurale et péricardique).</w:t>
      </w:r>
    </w:p>
    <w:p w:rsidR="00000000" w:rsidDel="00000000" w:rsidP="00000000" w:rsidRDefault="00000000" w:rsidRPr="00000000" w14:paraId="00000069">
      <w:pPr>
        <w:spacing w:line="36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sz w:val="24"/>
          <w:szCs w:val="24"/>
        </w:rPr>
      </w:pPr>
      <w:r w:rsidDel="00000000" w:rsidR="00000000" w:rsidRPr="00000000">
        <w:rPr>
          <w:sz w:val="24"/>
          <w:szCs w:val="24"/>
        </w:rPr>
        <w:drawing>
          <wp:inline distB="0" distT="0" distL="0" distR="0">
            <wp:extent cx="5691130" cy="3078691"/>
            <wp:effectExtent b="0" l="0" r="0" t="0"/>
            <wp:docPr id="7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691130" cy="30786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4276725</wp:posOffset>
                </wp:positionH>
                <wp:positionV relativeFrom="paragraph">
                  <wp:posOffset>3209925</wp:posOffset>
                </wp:positionV>
                <wp:extent cx="190500" cy="190500"/>
                <wp:effectExtent b="0" l="0" r="0" t="0"/>
                <wp:wrapNone/>
                <wp:docPr id="61" name=""/>
                <a:graphic>
                  <a:graphicData uri="http://schemas.microsoft.com/office/word/2010/wordprocessingShape">
                    <wps:wsp>
                      <wps:cNvSpPr/>
                      <wps:cNvPr id="4" name="Shape 4"/>
                      <wps:spPr>
                        <a:xfrm>
                          <a:off x="3436555" y="3566323"/>
                          <a:ext cx="3818890" cy="427355"/>
                        </a:xfrm>
                        <a:custGeom>
                          <a:rect b="b" l="l" r="r" t="t"/>
                          <a:pathLst>
                            <a:path extrusionOk="0" h="427355" w="3818890">
                              <a:moveTo>
                                <a:pt x="0" y="0"/>
                              </a:moveTo>
                              <a:lnTo>
                                <a:pt x="0" y="427355"/>
                              </a:lnTo>
                              <a:lnTo>
                                <a:pt x="3818890" y="427355"/>
                              </a:lnTo>
                              <a:lnTo>
                                <a:pt x="3818890"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t xml:space="preserve">            Figure  5.  Les étapes de la métamérisation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4276725</wp:posOffset>
                </wp:positionH>
                <wp:positionV relativeFrom="paragraph">
                  <wp:posOffset>3209925</wp:posOffset>
                </wp:positionV>
                <wp:extent cx="190500" cy="190500"/>
                <wp:effectExtent b="0" l="0" r="0" t="0"/>
                <wp:wrapNone/>
                <wp:docPr id="61" name="image13.png"/>
                <a:graphic>
                  <a:graphicData uri="http://schemas.openxmlformats.org/drawingml/2006/picture">
                    <pic:pic>
                      <pic:nvPicPr>
                        <pic:cNvPr id="0" name="image13.png"/>
                        <pic:cNvPicPr preferRelativeResize="0"/>
                      </pic:nvPicPr>
                      <pic:blipFill>
                        <a:blip r:embed="rId26"/>
                        <a:srcRect/>
                        <a:stretch>
                          <a:fillRect/>
                        </a:stretch>
                      </pic:blipFill>
                      <pic:spPr>
                        <a:xfrm>
                          <a:off x="0" y="0"/>
                          <a:ext cx="190500" cy="190500"/>
                        </a:xfrm>
                        <a:prstGeom prst="rect"/>
                        <a:ln/>
                      </pic:spPr>
                    </pic:pic>
                  </a:graphicData>
                </a:graphic>
              </wp:anchor>
            </w:drawing>
          </mc:Fallback>
        </mc:AlternateContent>
      </w:r>
    </w:p>
    <w:p w:rsidR="00000000" w:rsidDel="00000000" w:rsidP="00000000" w:rsidRDefault="00000000" w:rsidRPr="00000000" w14:paraId="0000006B">
      <w:pPr>
        <w:spacing w:after="0" w:line="360" w:lineRule="auto"/>
        <w:jc w:val="both"/>
        <w:rPr>
          <w:b w:val="1"/>
          <w:sz w:val="24"/>
          <w:szCs w:val="24"/>
        </w:rPr>
      </w:pPr>
      <w:r w:rsidDel="00000000" w:rsidR="00000000" w:rsidRPr="00000000">
        <w:rPr>
          <w:b w:val="1"/>
          <w:sz w:val="24"/>
          <w:szCs w:val="24"/>
          <w:rtl w:val="0"/>
        </w:rPr>
        <w:t xml:space="preserve">3.3. Apparition des ébauches cardiovasculaires </w:t>
      </w:r>
    </w:p>
    <w:p w:rsidR="00000000" w:rsidDel="00000000" w:rsidP="00000000" w:rsidRDefault="00000000" w:rsidRPr="00000000" w14:paraId="0000006C">
      <w:pPr>
        <w:spacing w:after="0" w:line="360" w:lineRule="auto"/>
        <w:jc w:val="both"/>
        <w:rPr>
          <w:sz w:val="24"/>
          <w:szCs w:val="24"/>
        </w:rPr>
      </w:pPr>
      <w:r w:rsidDel="00000000" w:rsidR="00000000" w:rsidRPr="00000000">
        <w:rPr>
          <w:sz w:val="24"/>
          <w:szCs w:val="24"/>
          <w:rtl w:val="0"/>
        </w:rPr>
        <w:t xml:space="preserve">Les premières ébauches vasculaires apparaissent vers le 17</w:t>
      </w:r>
      <w:r w:rsidDel="00000000" w:rsidR="00000000" w:rsidRPr="00000000">
        <w:rPr>
          <w:sz w:val="24"/>
          <w:szCs w:val="24"/>
          <w:vertAlign w:val="superscript"/>
          <w:rtl w:val="0"/>
        </w:rPr>
        <w:t xml:space="preserve">ème</w:t>
      </w:r>
      <w:r w:rsidDel="00000000" w:rsidR="00000000" w:rsidRPr="00000000">
        <w:rPr>
          <w:sz w:val="24"/>
          <w:szCs w:val="24"/>
          <w:rtl w:val="0"/>
        </w:rPr>
        <w:t xml:space="preserve">  jour dans le mésenchyme extra-embryonnaire. </w:t>
      </w:r>
    </w:p>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partie du mésoblaste (issu de la ligne primitive)  migre vers la partie antérieure du disque embryonnaire, au-delà de  la membrane pharyngienne et conflue avec le mésenchyme extra-embryonnaire. Cette zone est l'emplacement de l'ébauche cardiaque, visible dès le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 </w:t>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4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îlots de cellules angiogènes apparaissent dans le mésenchyme extra-embryonnaire : </w:t>
      </w:r>
    </w:p>
    <w:p w:rsidR="00000000" w:rsidDel="00000000" w:rsidP="00000000" w:rsidRDefault="00000000" w:rsidRPr="00000000" w14:paraId="0000006F">
      <w:pPr>
        <w:spacing w:after="0" w:line="360" w:lineRule="auto"/>
        <w:ind w:left="-284" w:hanging="141.99999999999994"/>
        <w:jc w:val="both"/>
        <w:rPr>
          <w:sz w:val="24"/>
          <w:szCs w:val="24"/>
        </w:rPr>
      </w:pPr>
      <w:r w:rsidDel="00000000" w:rsidR="00000000" w:rsidRPr="00000000">
        <w:rPr>
          <w:sz w:val="24"/>
          <w:szCs w:val="24"/>
          <w:rtl w:val="0"/>
        </w:rPr>
        <w:t xml:space="preserve">- dans la paroi du lécithocèle (splanchnopleure), ce sont les vrais îlots de Wolff et Pander qui seront à l'origine de la circulation vitelline et des premières cellules sanguines : </w:t>
      </w:r>
    </w:p>
    <w:p w:rsidR="00000000" w:rsidDel="00000000" w:rsidP="00000000" w:rsidRDefault="00000000" w:rsidRPr="00000000" w14:paraId="00000070">
      <w:pPr>
        <w:spacing w:after="0" w:line="360" w:lineRule="auto"/>
        <w:ind w:left="-284" w:hanging="141.99999999999994"/>
        <w:jc w:val="both"/>
        <w:rPr>
          <w:sz w:val="24"/>
          <w:szCs w:val="24"/>
        </w:rPr>
      </w:pPr>
      <w:r w:rsidDel="00000000" w:rsidR="00000000" w:rsidRPr="00000000">
        <w:rPr>
          <w:sz w:val="24"/>
          <w:szCs w:val="24"/>
          <w:rtl w:val="0"/>
        </w:rPr>
        <w:t xml:space="preserve">              - dans le pédicule embryonnaire, autour de l'allantoïde, ils seront à l'origine de la circulation allantoïdienne (ou ombilicale).</w:t>
      </w:r>
    </w:p>
    <w:p w:rsidR="00000000" w:rsidDel="00000000" w:rsidP="00000000" w:rsidRDefault="00000000" w:rsidRPr="00000000" w14:paraId="00000071">
      <w:pPr>
        <w:spacing w:after="0" w:line="360" w:lineRule="auto"/>
        <w:ind w:left="-284" w:hanging="141.99999999999994"/>
        <w:jc w:val="both"/>
        <w:rPr>
          <w:sz w:val="24"/>
          <w:szCs w:val="24"/>
        </w:rPr>
      </w:pPr>
      <w:r w:rsidDel="00000000" w:rsidR="00000000" w:rsidRPr="00000000">
        <w:rPr>
          <w:sz w:val="24"/>
          <w:szCs w:val="24"/>
          <w:rtl w:val="0"/>
        </w:rPr>
        <w:t xml:space="preserve">             - dans le mésenchyme de la sphère choriale, ils seront à l'origine du réseau vasculaire du placenta, en continuité avec la circulation allantoïdienne. </w:t>
      </w:r>
    </w:p>
    <w:p w:rsidR="00000000" w:rsidDel="00000000" w:rsidP="00000000" w:rsidRDefault="00000000" w:rsidRPr="00000000" w14:paraId="00000072">
      <w:pPr>
        <w:spacing w:after="0" w:line="360" w:lineRule="auto"/>
        <w:jc w:val="both"/>
        <w:rPr>
          <w:b w:val="1"/>
          <w:sz w:val="24"/>
          <w:szCs w:val="24"/>
        </w:rPr>
      </w:pPr>
      <w:r w:rsidDel="00000000" w:rsidR="00000000" w:rsidRPr="00000000">
        <w:rPr>
          <w:b w:val="1"/>
          <w:sz w:val="24"/>
          <w:szCs w:val="24"/>
          <w:rtl w:val="0"/>
        </w:rPr>
        <w:t xml:space="preserve">3.4. Apparition des cellules germinales primitives </w:t>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 de volumineuses cellules arrondies apparaissent dans le mésenchyme extra-embryonnaire autour de l'allantoïde. </w:t>
      </w:r>
    </w:p>
    <w:p w:rsidR="00000000" w:rsidDel="00000000" w:rsidP="00000000" w:rsidRDefault="00000000" w:rsidRPr="00000000" w14:paraId="000000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sont les cellules souches des futurs gamètes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(cellules  germinales primordiales) ou gonocytes primordiaux. </w:t>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Ils commencent à se  différencier au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 à partir du mésoblaste (ligne primitive) dans la région allantoïdienne. </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gonocytes primordiaux migrent, à la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semaine (27-35 jours),  pour aller coloniser les ébauches des gonades. Dans les gonades, ils seront à l'origine des spermatogonies et des ovogonies. </w:t>
      </w:r>
    </w:p>
    <w:p w:rsidR="00000000" w:rsidDel="00000000" w:rsidP="00000000" w:rsidRDefault="00000000" w:rsidRPr="00000000" w14:paraId="00000077">
      <w:pPr>
        <w:spacing w:after="0" w:line="360" w:lineRule="auto"/>
        <w:jc w:val="both"/>
        <w:rPr>
          <w:b w:val="1"/>
          <w:sz w:val="24"/>
          <w:szCs w:val="24"/>
        </w:rPr>
      </w:pPr>
      <w:r w:rsidDel="00000000" w:rsidR="00000000" w:rsidRPr="00000000">
        <w:rPr>
          <w:b w:val="1"/>
          <w:sz w:val="24"/>
          <w:szCs w:val="24"/>
          <w:rtl w:val="0"/>
        </w:rPr>
        <w:t xml:space="preserve">3.5. Formation de l'allantoïde </w:t>
      </w:r>
    </w:p>
    <w:p w:rsidR="00000000" w:rsidDel="00000000" w:rsidP="00000000" w:rsidRDefault="00000000" w:rsidRPr="00000000" w14:paraId="000000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 le 18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ème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 le toit du lécithocèle II (entoblaste) émet un diverticule qui s'enfonce dans le pédicule embryonnaire : le diverticule allantoïdien ou allantoïde. </w:t>
      </w:r>
    </w:p>
    <w:p w:rsidR="00000000" w:rsidDel="00000000" w:rsidP="00000000" w:rsidRDefault="00000000" w:rsidRPr="00000000" w14:paraId="00000079">
      <w:pPr>
        <w:rPr>
          <w:b w:val="1"/>
          <w:sz w:val="24"/>
          <w:szCs w:val="24"/>
        </w:rPr>
      </w:pPr>
      <w:r w:rsidDel="00000000" w:rsidR="00000000" w:rsidRPr="00000000">
        <w:rPr>
          <w:b w:val="1"/>
          <w:sz w:val="24"/>
          <w:szCs w:val="24"/>
          <w:rtl w:val="0"/>
        </w:rPr>
        <w:t xml:space="preserve">3.6. Formation du placenta</w:t>
      </w:r>
    </w:p>
    <w:p w:rsidR="00000000" w:rsidDel="00000000" w:rsidP="00000000" w:rsidRDefault="00000000" w:rsidRPr="00000000" w14:paraId="0000007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 cours de la 3</w:t>
      </w:r>
      <w:r w:rsidDel="00000000" w:rsidR="00000000" w:rsidRPr="00000000">
        <w:rPr>
          <w:rFonts w:ascii="Calibri" w:cs="Calibri" w:eastAsia="Calibri" w:hAnsi="Calibri"/>
          <w:b w:val="0"/>
          <w:i w:val="0"/>
          <w:smallCaps w:val="0"/>
          <w:strike w:val="0"/>
          <w:color w:val="000000"/>
          <w:sz w:val="24"/>
          <w:szCs w:val="24"/>
          <w:u w:val="none"/>
          <w:shd w:fill="auto" w:val="clear"/>
          <w:vertAlign w:val="superscript"/>
          <w:rtl w:val="0"/>
        </w:rPr>
        <w:t xml:space="preserve">ème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semaine, en même temps que s’opère la gastrulation, le trophoblaste va former des villosités placentaires (ce chapitre sera abordé dans les annexes embryonnaires).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17 jours, la croissance de la plaque embryonnaire devient très faible en arrière du nœud de Hensen, alors qu'elle est rapide en avant. </w:t>
      </w:r>
    </w:p>
    <w:p w:rsidR="00000000" w:rsidDel="00000000" w:rsidP="00000000" w:rsidRDefault="00000000" w:rsidRPr="00000000" w14:paraId="000000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360" w:lineRule="auto"/>
        <w:ind w:left="-284" w:right="0" w:hanging="141.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corde dorsale semble ainsi s'allonger vers l'extrémité caudale de la plaque embryonnaire en repoussant le nœud de Hensen. La ligne primitive ne s'allonge pas, mais produira du mésoblaste jusqu'à la fin de la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éme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semaine. Elle dégénère ensuite.</w:t>
      </w:r>
    </w:p>
    <w:sectPr>
      <w:footerReference r:id="rId27" w:type="default"/>
      <w:pgSz w:h="16838" w:w="11906" w:orient="portrait"/>
      <w:pgMar w:bottom="1417" w:top="1417" w:left="1276"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11">
    <w:lvl w:ilvl="0">
      <w:start w:val="1"/>
      <w:numFmt w:val="bullet"/>
      <w:lvlText w:val="o"/>
      <w:lvlJc w:val="left"/>
      <w:pPr>
        <w:ind w:left="772" w:hanging="360"/>
      </w:pPr>
      <w:rPr>
        <w:rFonts w:ascii="Courier New" w:cs="Courier New" w:eastAsia="Courier New" w:hAnsi="Courier New"/>
      </w:rPr>
    </w:lvl>
    <w:lvl w:ilvl="1">
      <w:start w:val="1"/>
      <w:numFmt w:val="bullet"/>
      <w:lvlText w:val="o"/>
      <w:lvlJc w:val="left"/>
      <w:pPr>
        <w:ind w:left="1492" w:hanging="360"/>
      </w:pPr>
      <w:rPr>
        <w:rFonts w:ascii="Courier New" w:cs="Courier New" w:eastAsia="Courier New" w:hAnsi="Courier New"/>
      </w:rPr>
    </w:lvl>
    <w:lvl w:ilvl="2">
      <w:start w:val="1"/>
      <w:numFmt w:val="bullet"/>
      <w:lvlText w:val="▪"/>
      <w:lvlJc w:val="left"/>
      <w:pPr>
        <w:ind w:left="2212" w:hanging="360"/>
      </w:pPr>
      <w:rPr>
        <w:rFonts w:ascii="Noto Sans Symbols" w:cs="Noto Sans Symbols" w:eastAsia="Noto Sans Symbols" w:hAnsi="Noto Sans Symbols"/>
      </w:rPr>
    </w:lvl>
    <w:lvl w:ilvl="3">
      <w:start w:val="1"/>
      <w:numFmt w:val="bullet"/>
      <w:lvlText w:val="●"/>
      <w:lvlJc w:val="left"/>
      <w:pPr>
        <w:ind w:left="2932" w:hanging="360"/>
      </w:pPr>
      <w:rPr>
        <w:rFonts w:ascii="Noto Sans Symbols" w:cs="Noto Sans Symbols" w:eastAsia="Noto Sans Symbols" w:hAnsi="Noto Sans Symbols"/>
      </w:rPr>
    </w:lvl>
    <w:lvl w:ilvl="4">
      <w:start w:val="1"/>
      <w:numFmt w:val="bullet"/>
      <w:lvlText w:val="o"/>
      <w:lvlJc w:val="left"/>
      <w:pPr>
        <w:ind w:left="3652" w:hanging="360"/>
      </w:pPr>
      <w:rPr>
        <w:rFonts w:ascii="Courier New" w:cs="Courier New" w:eastAsia="Courier New" w:hAnsi="Courier New"/>
      </w:rPr>
    </w:lvl>
    <w:lvl w:ilvl="5">
      <w:start w:val="1"/>
      <w:numFmt w:val="bullet"/>
      <w:lvlText w:val="▪"/>
      <w:lvlJc w:val="left"/>
      <w:pPr>
        <w:ind w:left="4372" w:hanging="360"/>
      </w:pPr>
      <w:rPr>
        <w:rFonts w:ascii="Noto Sans Symbols" w:cs="Noto Sans Symbols" w:eastAsia="Noto Sans Symbols" w:hAnsi="Noto Sans Symbols"/>
      </w:rPr>
    </w:lvl>
    <w:lvl w:ilvl="6">
      <w:start w:val="1"/>
      <w:numFmt w:val="bullet"/>
      <w:lvlText w:val="●"/>
      <w:lvlJc w:val="left"/>
      <w:pPr>
        <w:ind w:left="5092" w:hanging="360"/>
      </w:pPr>
      <w:rPr>
        <w:rFonts w:ascii="Noto Sans Symbols" w:cs="Noto Sans Symbols" w:eastAsia="Noto Sans Symbols" w:hAnsi="Noto Sans Symbols"/>
      </w:rPr>
    </w:lvl>
    <w:lvl w:ilvl="7">
      <w:start w:val="1"/>
      <w:numFmt w:val="bullet"/>
      <w:lvlText w:val="o"/>
      <w:lvlJc w:val="left"/>
      <w:pPr>
        <w:ind w:left="5812" w:hanging="360"/>
      </w:pPr>
      <w:rPr>
        <w:rFonts w:ascii="Courier New" w:cs="Courier New" w:eastAsia="Courier New" w:hAnsi="Courier New"/>
      </w:rPr>
    </w:lvl>
    <w:lvl w:ilvl="8">
      <w:start w:val="1"/>
      <w:numFmt w:val="bullet"/>
      <w:lvlText w:val="▪"/>
      <w:lvlJc w:val="left"/>
      <w:pPr>
        <w:ind w:left="6532"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83882"/>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ev">
    <w:name w:val="Strong"/>
    <w:basedOn w:val="Policepardfaut"/>
    <w:uiPriority w:val="22"/>
    <w:qFormat w:val="1"/>
    <w:rsid w:val="00483882"/>
    <w:rPr>
      <w:b w:val="1"/>
      <w:bCs w:val="1"/>
    </w:rPr>
  </w:style>
  <w:style w:type="paragraph" w:styleId="NormalWeb">
    <w:name w:val="Normal (Web)"/>
    <w:basedOn w:val="Normal"/>
    <w:uiPriority w:val="99"/>
    <w:unhideWhenUsed w:val="1"/>
    <w:rsid w:val="00483882"/>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Paragraphedeliste">
    <w:name w:val="List Paragraph"/>
    <w:basedOn w:val="Normal"/>
    <w:uiPriority w:val="34"/>
    <w:qFormat w:val="1"/>
    <w:rsid w:val="00483882"/>
    <w:pPr>
      <w:widowControl w:val="0"/>
      <w:autoSpaceDE w:val="0"/>
      <w:autoSpaceDN w:val="0"/>
      <w:adjustRightInd w:val="0"/>
      <w:spacing w:after="0" w:line="240" w:lineRule="auto"/>
      <w:ind w:left="720"/>
      <w:contextualSpacing w:val="1"/>
    </w:pPr>
    <w:rPr>
      <w:rFonts w:ascii="Times New Roman" w:cs="Times New Roman" w:eastAsia="Times New Roman" w:hAnsi="Times New Roman"/>
      <w:sz w:val="20"/>
      <w:szCs w:val="20"/>
      <w:lang w:eastAsia="fr-FR"/>
    </w:rPr>
  </w:style>
  <w:style w:type="paragraph" w:styleId="Textedebulles">
    <w:name w:val="Balloon Text"/>
    <w:basedOn w:val="Normal"/>
    <w:link w:val="TextedebullesCar"/>
    <w:uiPriority w:val="99"/>
    <w:semiHidden w:val="1"/>
    <w:unhideWhenUsed w:val="1"/>
    <w:rsid w:val="00483882"/>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483882"/>
    <w:rPr>
      <w:rFonts w:ascii="Tahoma" w:cs="Tahoma" w:hAnsi="Tahoma"/>
      <w:sz w:val="16"/>
      <w:szCs w:val="16"/>
    </w:rPr>
  </w:style>
  <w:style w:type="paragraph" w:styleId="En-tte">
    <w:name w:val="header"/>
    <w:basedOn w:val="Normal"/>
    <w:link w:val="En-tteCar"/>
    <w:uiPriority w:val="99"/>
    <w:semiHidden w:val="1"/>
    <w:unhideWhenUsed w:val="1"/>
    <w:rsid w:val="00557CFA"/>
    <w:pPr>
      <w:tabs>
        <w:tab w:val="center" w:pos="4536"/>
        <w:tab w:val="right" w:pos="9072"/>
      </w:tabs>
      <w:spacing w:after="0" w:line="240" w:lineRule="auto"/>
    </w:pPr>
  </w:style>
  <w:style w:type="character" w:styleId="En-tteCar" w:customStyle="1">
    <w:name w:val="En-tête Car"/>
    <w:basedOn w:val="Policepardfaut"/>
    <w:link w:val="En-tte"/>
    <w:uiPriority w:val="99"/>
    <w:semiHidden w:val="1"/>
    <w:rsid w:val="00557CFA"/>
  </w:style>
  <w:style w:type="paragraph" w:styleId="Pieddepage">
    <w:name w:val="footer"/>
    <w:basedOn w:val="Normal"/>
    <w:link w:val="PieddepageCar"/>
    <w:uiPriority w:val="99"/>
    <w:unhideWhenUsed w:val="1"/>
    <w:rsid w:val="00557CFA"/>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557CFA"/>
  </w:style>
  <w:style w:type="character" w:styleId="ExempleHTML">
    <w:name w:val="HTML Sample"/>
    <w:basedOn w:val="Policepardfaut"/>
    <w:uiPriority w:val="99"/>
    <w:semiHidden w:val="1"/>
    <w:unhideWhenUsed w:val="1"/>
    <w:rsid w:val="00B37167"/>
    <w:rPr>
      <w:rFonts w:ascii="Courier New" w:cs="Courier New" w:eastAsia="Times New Roman" w:hAnsi="Courier New"/>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0.png"/><Relationship Id="rId21" Type="http://schemas.openxmlformats.org/officeDocument/2006/relationships/image" Target="media/image18.png"/><Relationship Id="rId24" Type="http://schemas.openxmlformats.org/officeDocument/2006/relationships/image" Target="media/image9.jpg"/><Relationship Id="rId23" Type="http://schemas.openxmlformats.org/officeDocument/2006/relationships/image" Target="media/image16.png"/><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9" Type="http://schemas.openxmlformats.org/officeDocument/2006/relationships/fontTable" Target="fontTable.xml"/><Relationship Id="rId26" Type="http://schemas.openxmlformats.org/officeDocument/2006/relationships/image" Target="media/image13.png"/><Relationship Id="rId25" Type="http://schemas.openxmlformats.org/officeDocument/2006/relationships/image" Target="media/image10.png"/><Relationship Id="rId27" Type="http://schemas.openxmlformats.org/officeDocument/2006/relationships/footer" Target="footer1.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theme" Target="theme/theme1.xml"/><Relationship Id="rId8" Type="http://schemas.openxmlformats.org/officeDocument/2006/relationships/settings" Target="settings.xml"/><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customXml" Target="../customXML/item1.xml"/><Relationship Id="rId15" Type="http://schemas.openxmlformats.org/officeDocument/2006/relationships/image" Target="media/image17.png"/><Relationship Id="rId14" Type="http://schemas.openxmlformats.org/officeDocument/2006/relationships/image" Target="media/image8.gif"/><Relationship Id="rId17" Type="http://schemas.openxmlformats.org/officeDocument/2006/relationships/image" Target="media/image12.png"/><Relationship Id="rId16" Type="http://schemas.openxmlformats.org/officeDocument/2006/relationships/image" Target="media/image19.png"/><Relationship Id="rId19" Type="http://schemas.openxmlformats.org/officeDocument/2006/relationships/image" Target="media/image11.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6XlSpugCAxyRvAUFwag7UJS5+VQ==">AMUW2mV2UoilzzeIzPahtakiEH3hTtxkRbbMkGL54+SRel7HkwlOZtjS026ujahCvtBul9rI7TOor2l2zJfplhv3SaPcP8Vj4AK+bFx2vvmhBlH/FspgnKRMcByWui4XiOfby2OHLCI58tgMvJs/x0HpTt6FfgCTJw==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2021-11-19T17:15:00Z</dcterms:created>
  <dc:creator>dell</dc:creator>
</cp:coreProperties>
</file>