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F11" w:rsidRPr="001E442B" w:rsidRDefault="00722A8D" w:rsidP="00F86465">
      <w:pPr>
        <w:spacing w:after="0"/>
        <w:jc w:val="both"/>
        <w:rPr>
          <w:rFonts w:cstheme="minorHAnsi"/>
          <w:b/>
          <w:sz w:val="24"/>
          <w:szCs w:val="24"/>
        </w:rPr>
      </w:pPr>
      <w:r w:rsidRPr="001E442B">
        <w:rPr>
          <w:rFonts w:cstheme="minorHAnsi"/>
          <w:b/>
          <w:sz w:val="24"/>
          <w:szCs w:val="24"/>
        </w:rPr>
        <w:t>C</w:t>
      </w:r>
      <w:r w:rsidR="00346E8E" w:rsidRPr="001E442B">
        <w:rPr>
          <w:rFonts w:cstheme="minorHAnsi"/>
          <w:b/>
          <w:sz w:val="24"/>
          <w:szCs w:val="24"/>
        </w:rPr>
        <w:t xml:space="preserve">OURS </w:t>
      </w:r>
      <w:r w:rsidRPr="001E442B">
        <w:rPr>
          <w:rFonts w:cstheme="minorHAnsi"/>
          <w:b/>
          <w:sz w:val="24"/>
          <w:szCs w:val="24"/>
        </w:rPr>
        <w:t xml:space="preserve"> </w:t>
      </w:r>
      <w:r w:rsidR="00F86465" w:rsidRPr="001E442B">
        <w:rPr>
          <w:rFonts w:cstheme="minorHAnsi"/>
          <w:b/>
          <w:sz w:val="24"/>
          <w:szCs w:val="24"/>
        </w:rPr>
        <w:t>11.</w:t>
      </w:r>
      <w:r w:rsidRPr="001E442B">
        <w:rPr>
          <w:rFonts w:cstheme="minorHAnsi"/>
          <w:b/>
          <w:sz w:val="24"/>
          <w:szCs w:val="24"/>
        </w:rPr>
        <w:t xml:space="preserve">       </w:t>
      </w:r>
      <w:r w:rsidR="00A51517" w:rsidRPr="001E442B">
        <w:rPr>
          <w:rFonts w:cstheme="minorHAnsi"/>
          <w:b/>
          <w:sz w:val="24"/>
          <w:szCs w:val="24"/>
        </w:rPr>
        <w:t xml:space="preserve">                 </w:t>
      </w:r>
      <w:r w:rsidR="00346E8E" w:rsidRPr="001E442B">
        <w:rPr>
          <w:rFonts w:cstheme="minorHAnsi"/>
          <w:b/>
          <w:sz w:val="24"/>
          <w:szCs w:val="24"/>
        </w:rPr>
        <w:t xml:space="preserve">      </w:t>
      </w:r>
      <w:r w:rsidRPr="001E442B">
        <w:rPr>
          <w:rFonts w:cstheme="minorHAnsi"/>
          <w:b/>
          <w:sz w:val="24"/>
          <w:szCs w:val="24"/>
        </w:rPr>
        <w:t xml:space="preserve"> CELLULES SOUCHES</w:t>
      </w:r>
      <w:r w:rsidR="00A51517" w:rsidRPr="001E442B">
        <w:rPr>
          <w:rFonts w:cstheme="minorHAnsi"/>
          <w:b/>
          <w:sz w:val="24"/>
          <w:szCs w:val="24"/>
        </w:rPr>
        <w:t xml:space="preserve"> ET  BIOTHERAPIE</w:t>
      </w:r>
    </w:p>
    <w:p w:rsidR="002F4DC6" w:rsidRPr="001E442B" w:rsidRDefault="002F4DC6" w:rsidP="00F86465">
      <w:pPr>
        <w:spacing w:after="0"/>
        <w:jc w:val="both"/>
        <w:rPr>
          <w:rFonts w:cstheme="minorHAnsi"/>
          <w:b/>
          <w:sz w:val="24"/>
          <w:szCs w:val="24"/>
        </w:rPr>
      </w:pPr>
    </w:p>
    <w:p w:rsidR="00722A8D" w:rsidRPr="001E442B" w:rsidRDefault="00722A8D" w:rsidP="00F86465">
      <w:pPr>
        <w:spacing w:after="0"/>
        <w:jc w:val="both"/>
        <w:rPr>
          <w:rFonts w:cstheme="minorHAnsi"/>
          <w:b/>
          <w:sz w:val="24"/>
          <w:szCs w:val="24"/>
        </w:rPr>
      </w:pPr>
      <w:r w:rsidRPr="001E442B">
        <w:rPr>
          <w:rFonts w:cstheme="minorHAnsi"/>
          <w:b/>
          <w:sz w:val="24"/>
          <w:szCs w:val="24"/>
        </w:rPr>
        <w:t>1. DEFINITION</w:t>
      </w:r>
    </w:p>
    <w:p w:rsidR="00F86465" w:rsidRPr="001E442B" w:rsidRDefault="00F86465" w:rsidP="00F86465">
      <w:pPr>
        <w:pStyle w:val="NormalWeb"/>
        <w:spacing w:before="0" w:beforeAutospacing="0" w:after="0" w:afterAutospacing="0" w:line="276" w:lineRule="auto"/>
        <w:jc w:val="both"/>
        <w:rPr>
          <w:rFonts w:asciiTheme="minorHAnsi" w:hAnsiTheme="minorHAnsi" w:cstheme="minorHAnsi"/>
          <w:color w:val="231F20"/>
        </w:rPr>
      </w:pPr>
      <w:r w:rsidRPr="001E442B">
        <w:rPr>
          <w:rFonts w:asciiTheme="minorHAnsi" w:hAnsiTheme="minorHAnsi" w:cstheme="minorHAnsi"/>
          <w:color w:val="231F20"/>
        </w:rPr>
        <w:t>Une cellule est dite « souche » si elle présente les deux propriétés fondamentales suivantes :</w:t>
      </w:r>
      <w:r w:rsidRPr="001E442B">
        <w:rPr>
          <w:rFonts w:asciiTheme="minorHAnsi" w:hAnsiTheme="minorHAnsi" w:cstheme="minorHAnsi"/>
          <w:color w:val="231F20"/>
        </w:rPr>
        <w:br/>
      </w:r>
      <w:r w:rsidRPr="001E442B">
        <w:rPr>
          <w:rFonts w:asciiTheme="minorHAnsi" w:hAnsiTheme="minorHAnsi" w:cstheme="minorHAnsi"/>
          <w:b/>
          <w:bCs/>
          <w:color w:val="000000" w:themeColor="text1"/>
        </w:rPr>
        <w:t xml:space="preserve">1.1.  </w:t>
      </w:r>
      <w:r w:rsidRPr="001E442B">
        <w:rPr>
          <w:rFonts w:asciiTheme="minorHAnsi" w:hAnsiTheme="minorHAnsi" w:cstheme="minorHAnsi"/>
          <w:b/>
          <w:bCs/>
          <w:i/>
          <w:iCs/>
          <w:color w:val="000000" w:themeColor="text1"/>
        </w:rPr>
        <w:t>Auto-renouvellement</w:t>
      </w:r>
      <w:r w:rsidRPr="001E442B">
        <w:rPr>
          <w:rFonts w:asciiTheme="minorHAnsi" w:hAnsiTheme="minorHAnsi" w:cstheme="minorHAnsi"/>
          <w:i/>
          <w:iCs/>
          <w:color w:val="231F20"/>
        </w:rPr>
        <w:t xml:space="preserve"> : </w:t>
      </w:r>
      <w:r w:rsidRPr="001E442B">
        <w:rPr>
          <w:rFonts w:asciiTheme="minorHAnsi" w:hAnsiTheme="minorHAnsi" w:cstheme="minorHAnsi"/>
          <w:color w:val="231F20"/>
        </w:rPr>
        <w:t>dans un environnement propice, sa descendance a précisément les mêmes caractéristiques qu’elle, même après un grand nombre de divisions cellulaires.</w:t>
      </w:r>
      <w:r w:rsidRPr="001E442B">
        <w:rPr>
          <w:rFonts w:asciiTheme="minorHAnsi" w:hAnsiTheme="minorHAnsi" w:cstheme="minorHAnsi"/>
          <w:color w:val="231F20"/>
        </w:rPr>
        <w:br/>
      </w:r>
    </w:p>
    <w:p w:rsidR="00F86465" w:rsidRPr="001E442B" w:rsidRDefault="00F86465" w:rsidP="00FD2994">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b/>
          <w:bCs/>
          <w:color w:val="231F20"/>
        </w:rPr>
        <w:t xml:space="preserve">1.2. </w:t>
      </w:r>
      <w:r w:rsidRPr="001E442B">
        <w:rPr>
          <w:rFonts w:asciiTheme="minorHAnsi" w:hAnsiTheme="minorHAnsi" w:cstheme="minorHAnsi"/>
          <w:b/>
          <w:bCs/>
          <w:i/>
          <w:iCs/>
          <w:color w:val="231F20"/>
        </w:rPr>
        <w:t>Différenciation</w:t>
      </w:r>
      <w:r w:rsidRPr="001E442B">
        <w:rPr>
          <w:rFonts w:asciiTheme="minorHAnsi" w:hAnsiTheme="minorHAnsi" w:cstheme="minorHAnsi"/>
          <w:i/>
          <w:iCs/>
          <w:color w:val="231F20"/>
        </w:rPr>
        <w:t xml:space="preserve"> : </w:t>
      </w:r>
      <w:r w:rsidRPr="001E442B">
        <w:rPr>
          <w:rFonts w:asciiTheme="minorHAnsi" w:hAnsiTheme="minorHAnsi" w:cstheme="minorHAnsi"/>
          <w:color w:val="231F20"/>
        </w:rPr>
        <w:t xml:space="preserve">dans des conditions appropriées, elle peut se différencier vers des types cellulaires matures (constituants des tissus de l’organisme), </w:t>
      </w:r>
      <w:r w:rsidRPr="001E442B">
        <w:rPr>
          <w:rFonts w:asciiTheme="minorHAnsi" w:hAnsiTheme="minorHAnsi" w:cstheme="minorHAnsi"/>
          <w:i/>
          <w:iCs/>
          <w:color w:val="231F20"/>
        </w:rPr>
        <w:t xml:space="preserve">via </w:t>
      </w:r>
      <w:r w:rsidRPr="001E442B">
        <w:rPr>
          <w:rFonts w:asciiTheme="minorHAnsi" w:hAnsiTheme="minorHAnsi" w:cstheme="minorHAnsi"/>
          <w:color w:val="231F20"/>
        </w:rPr>
        <w:t>des types cellulaires intermédiaires</w:t>
      </w:r>
      <w:r w:rsidR="00FD2994">
        <w:rPr>
          <w:rFonts w:asciiTheme="minorHAnsi" w:hAnsiTheme="minorHAnsi" w:cstheme="minorHAnsi"/>
          <w:color w:val="231F20"/>
        </w:rPr>
        <w:t xml:space="preserve"> </w:t>
      </w:r>
      <w:r w:rsidRPr="001E442B">
        <w:rPr>
          <w:rFonts w:asciiTheme="minorHAnsi" w:hAnsiTheme="minorHAnsi" w:cstheme="minorHAnsi"/>
          <w:color w:val="231F20"/>
        </w:rPr>
        <w:t xml:space="preserve"> appelés </w:t>
      </w:r>
      <w:r w:rsidRPr="001E442B">
        <w:rPr>
          <w:rFonts w:asciiTheme="minorHAnsi" w:hAnsiTheme="minorHAnsi" w:cstheme="minorHAnsi"/>
          <w:i/>
          <w:iCs/>
          <w:color w:val="231F20"/>
        </w:rPr>
        <w:t>progéniteurs</w:t>
      </w:r>
      <w:r w:rsidRPr="001E442B">
        <w:rPr>
          <w:rFonts w:asciiTheme="minorHAnsi" w:hAnsiTheme="minorHAnsi" w:cstheme="minorHAnsi"/>
          <w:color w:val="231F20"/>
        </w:rPr>
        <w:t>.</w:t>
      </w:r>
      <w:r w:rsidRPr="001E442B">
        <w:rPr>
          <w:rFonts w:asciiTheme="minorHAnsi" w:hAnsiTheme="minorHAnsi" w:cstheme="minorHAnsi"/>
          <w:color w:val="231F20"/>
        </w:rPr>
        <w:br/>
      </w:r>
    </w:p>
    <w:p w:rsidR="00893F54"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On appelle cellules souches des cellules indifférenciées capables de s'auto-renouveler, de se multiplier à l’infini et de se différencier en des cellules spécialisées, c’est-à-dire dotées d’un rôle précis dans l’organisme : cellules des muscles, du foie, des os, du sang</w:t>
      </w:r>
      <w:r w:rsidR="00893F54" w:rsidRPr="001E442B">
        <w:rPr>
          <w:rFonts w:asciiTheme="minorHAnsi" w:hAnsiTheme="minorHAnsi" w:cstheme="minorHAnsi"/>
        </w:rPr>
        <w:t>,</w:t>
      </w:r>
      <w:r w:rsidRPr="001E442B">
        <w:rPr>
          <w:rFonts w:asciiTheme="minorHAnsi" w:hAnsiTheme="minorHAnsi" w:cstheme="minorHAnsi"/>
        </w:rPr>
        <w:t xml:space="preserve">  etc</w:t>
      </w:r>
      <w:r w:rsidR="00893F54" w:rsidRPr="001E442B">
        <w:rPr>
          <w:rFonts w:asciiTheme="minorHAnsi" w:hAnsiTheme="minorHAnsi" w:cstheme="minorHAnsi"/>
        </w:rPr>
        <w:t>… .</w:t>
      </w:r>
    </w:p>
    <w:p w:rsidR="00201647"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 xml:space="preserve">Ce sont en quelques sortes les « cellules mères » de toutes les autres cellules. Au tout début de la vie, elles permettent </w:t>
      </w:r>
      <w:r w:rsidR="00346E8E" w:rsidRPr="001E442B">
        <w:rPr>
          <w:rFonts w:asciiTheme="minorHAnsi" w:hAnsiTheme="minorHAnsi" w:cstheme="minorHAnsi"/>
        </w:rPr>
        <w:t>l</w:t>
      </w:r>
      <w:r w:rsidRPr="001E442B">
        <w:rPr>
          <w:rFonts w:asciiTheme="minorHAnsi" w:hAnsiTheme="minorHAnsi" w:cstheme="minorHAnsi"/>
        </w:rPr>
        <w:t>e développement complet d'un être humain puis tout au long de la vie, elles permettent telle une réserve naturelle, de reconstituer nos stocks de cellules spécialisées.</w:t>
      </w:r>
    </w:p>
    <w:p w:rsidR="00201647"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Ces cellules souches sont naturellement présentes chez l’embryon et dans certains organes ou tissus adultes.</w:t>
      </w:r>
    </w:p>
    <w:p w:rsidR="00722A8D"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 xml:space="preserve"> </w:t>
      </w:r>
      <w:r w:rsidR="00722A8D" w:rsidRPr="001E442B">
        <w:rPr>
          <w:rFonts w:asciiTheme="minorHAnsi" w:hAnsiTheme="minorHAnsi" w:cstheme="minorHAnsi"/>
        </w:rPr>
        <w:t xml:space="preserve">L'étude des </w:t>
      </w:r>
      <w:hyperlink r:id="rId7" w:tooltip="Cellule souche animale" w:history="1">
        <w:r w:rsidR="00722A8D" w:rsidRPr="001E442B">
          <w:rPr>
            <w:rStyle w:val="Lienhypertexte"/>
            <w:rFonts w:asciiTheme="minorHAnsi" w:hAnsiTheme="minorHAnsi" w:cstheme="minorHAnsi"/>
            <w:color w:val="auto"/>
            <w:u w:val="none"/>
          </w:rPr>
          <w:t>cellules souches animales</w:t>
        </w:r>
      </w:hyperlink>
      <w:r w:rsidR="00722A8D" w:rsidRPr="001E442B">
        <w:rPr>
          <w:rFonts w:asciiTheme="minorHAnsi" w:hAnsiTheme="minorHAnsi" w:cstheme="minorHAnsi"/>
        </w:rPr>
        <w:t xml:space="preserve"> est un domaine de recherche très actif notamment en raison de </w:t>
      </w:r>
      <w:hyperlink r:id="rId8" w:tooltip="Cellule souche (médecine)" w:history="1">
        <w:r w:rsidR="00722A8D" w:rsidRPr="001E442B">
          <w:rPr>
            <w:rStyle w:val="Lienhypertexte"/>
            <w:rFonts w:asciiTheme="minorHAnsi" w:hAnsiTheme="minorHAnsi" w:cstheme="minorHAnsi"/>
            <w:color w:val="auto"/>
            <w:u w:val="none"/>
          </w:rPr>
          <w:t>leurs applications en médecine</w:t>
        </w:r>
      </w:hyperlink>
      <w:r w:rsidR="00722A8D" w:rsidRPr="001E442B">
        <w:rPr>
          <w:rFonts w:asciiTheme="minorHAnsi" w:hAnsiTheme="minorHAnsi" w:cstheme="minorHAnsi"/>
        </w:rPr>
        <w:t xml:space="preserve">. </w:t>
      </w:r>
    </w:p>
    <w:p w:rsidR="00F86465" w:rsidRPr="001E442B" w:rsidRDefault="00F86465" w:rsidP="00F86465">
      <w:pPr>
        <w:spacing w:after="0"/>
        <w:jc w:val="both"/>
        <w:rPr>
          <w:rFonts w:eastAsia="Times New Roman" w:cstheme="minorHAnsi"/>
          <w:b/>
          <w:sz w:val="24"/>
          <w:szCs w:val="24"/>
          <w:lang w:eastAsia="fr-FR"/>
        </w:rPr>
      </w:pPr>
    </w:p>
    <w:p w:rsidR="0004585E" w:rsidRPr="001E442B" w:rsidRDefault="00F61B80" w:rsidP="00F86465">
      <w:pPr>
        <w:spacing w:after="0"/>
        <w:jc w:val="both"/>
        <w:rPr>
          <w:rFonts w:eastAsia="Times New Roman" w:cstheme="minorHAnsi"/>
          <w:b/>
          <w:sz w:val="24"/>
          <w:szCs w:val="24"/>
          <w:lang w:eastAsia="fr-FR"/>
        </w:rPr>
      </w:pPr>
      <w:r w:rsidRPr="001E442B">
        <w:rPr>
          <w:rFonts w:eastAsia="Times New Roman" w:cstheme="minorHAnsi"/>
          <w:b/>
          <w:sz w:val="24"/>
          <w:szCs w:val="24"/>
          <w:lang w:eastAsia="fr-FR"/>
        </w:rPr>
        <w:t xml:space="preserve">2. </w:t>
      </w:r>
      <w:r w:rsidR="0004585E" w:rsidRPr="001E442B">
        <w:rPr>
          <w:rFonts w:eastAsia="Times New Roman" w:cstheme="minorHAnsi"/>
          <w:b/>
          <w:sz w:val="24"/>
          <w:szCs w:val="24"/>
          <w:lang w:eastAsia="fr-FR"/>
        </w:rPr>
        <w:t xml:space="preserve">DIFFERENTS </w:t>
      </w:r>
      <w:r w:rsidR="00201647" w:rsidRPr="001E442B">
        <w:rPr>
          <w:rFonts w:eastAsia="Times New Roman" w:cstheme="minorHAnsi"/>
          <w:b/>
          <w:sz w:val="24"/>
          <w:szCs w:val="24"/>
          <w:lang w:eastAsia="fr-FR"/>
        </w:rPr>
        <w:t xml:space="preserve">TYPES DE </w:t>
      </w:r>
      <w:r w:rsidRPr="001E442B">
        <w:rPr>
          <w:rFonts w:eastAsia="Times New Roman" w:cstheme="minorHAnsi"/>
          <w:b/>
          <w:sz w:val="24"/>
          <w:szCs w:val="24"/>
          <w:lang w:eastAsia="fr-FR"/>
        </w:rPr>
        <w:t>CELLULES SOUCHES</w:t>
      </w:r>
    </w:p>
    <w:p w:rsidR="00F61B80" w:rsidRPr="001E442B" w:rsidRDefault="00F61B80" w:rsidP="00F86465">
      <w:pPr>
        <w:spacing w:after="0"/>
        <w:jc w:val="both"/>
        <w:rPr>
          <w:rFonts w:eastAsia="Times New Roman" w:cstheme="minorHAnsi"/>
          <w:sz w:val="24"/>
          <w:szCs w:val="24"/>
          <w:lang w:eastAsia="fr-FR"/>
        </w:rPr>
      </w:pPr>
      <w:r w:rsidRPr="001E442B">
        <w:rPr>
          <w:rFonts w:eastAsia="Times New Roman" w:cstheme="minorHAnsi"/>
          <w:sz w:val="24"/>
          <w:szCs w:val="24"/>
          <w:lang w:eastAsia="fr-FR"/>
        </w:rPr>
        <w:t>S</w:t>
      </w:r>
      <w:r w:rsidR="0004585E" w:rsidRPr="001E442B">
        <w:rPr>
          <w:rFonts w:eastAsia="Times New Roman" w:cstheme="minorHAnsi"/>
          <w:sz w:val="24"/>
          <w:szCs w:val="24"/>
          <w:lang w:eastAsia="fr-FR"/>
        </w:rPr>
        <w:t>elon leur potentiel de différenciation, on distingue :</w:t>
      </w:r>
    </w:p>
    <w:p w:rsidR="00201647" w:rsidRPr="001E442B" w:rsidRDefault="003564BF" w:rsidP="00F86465">
      <w:pPr>
        <w:pStyle w:val="Titre3"/>
        <w:spacing w:before="0"/>
        <w:jc w:val="both"/>
        <w:rPr>
          <w:rFonts w:asciiTheme="minorHAnsi" w:hAnsiTheme="minorHAnsi" w:cstheme="minorHAnsi"/>
          <w:color w:val="auto"/>
          <w:sz w:val="24"/>
          <w:szCs w:val="24"/>
        </w:rPr>
      </w:pPr>
      <w:r w:rsidRPr="001E442B">
        <w:rPr>
          <w:rFonts w:asciiTheme="minorHAnsi" w:hAnsiTheme="minorHAnsi" w:cstheme="minorHAnsi"/>
          <w:color w:val="auto"/>
          <w:sz w:val="24"/>
          <w:szCs w:val="24"/>
        </w:rPr>
        <w:t xml:space="preserve">2.1. </w:t>
      </w:r>
      <w:r w:rsidR="00201647" w:rsidRPr="001E442B">
        <w:rPr>
          <w:rFonts w:asciiTheme="minorHAnsi" w:hAnsiTheme="minorHAnsi" w:cstheme="minorHAnsi"/>
          <w:color w:val="auto"/>
          <w:sz w:val="24"/>
          <w:szCs w:val="24"/>
        </w:rPr>
        <w:t>Les cellules souches totipotentes</w:t>
      </w:r>
    </w:p>
    <w:p w:rsidR="00201647" w:rsidRPr="001E442B" w:rsidRDefault="0004585E"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I</w:t>
      </w:r>
      <w:r w:rsidR="00201647" w:rsidRPr="001E442B">
        <w:rPr>
          <w:rFonts w:asciiTheme="minorHAnsi" w:hAnsiTheme="minorHAnsi" w:cstheme="minorHAnsi"/>
        </w:rPr>
        <w:t>ssues des toutes premières divisions de l’œuf fécondé (entre la fécondation et le quatrième jour). Elles peuvent se différencier en tous types de cellules de l'organisme et en annexes (placenta, cordon ombilical). Ce sont les seules cellules souches pouvant donner naissance à un embryon capable de s'implanter dans l'utérus et se développer.</w:t>
      </w:r>
      <w:r w:rsidRPr="001E442B">
        <w:rPr>
          <w:rFonts w:asciiTheme="minorHAnsi" w:hAnsiTheme="minorHAnsi" w:cstheme="minorHAnsi"/>
        </w:rPr>
        <w:t xml:space="preserve"> Les cellules souches embryonnaires concentrent de nombreux espoirs, mais parce qu’elles soulèvent des questions éthiques, leur utilisation est strictement encadrée par la loi.</w:t>
      </w:r>
    </w:p>
    <w:p w:rsidR="00F86465" w:rsidRPr="001E442B" w:rsidRDefault="00F86465" w:rsidP="00F86465">
      <w:pPr>
        <w:pStyle w:val="Titre3"/>
        <w:spacing w:before="0"/>
        <w:jc w:val="both"/>
        <w:rPr>
          <w:rFonts w:asciiTheme="minorHAnsi" w:hAnsiTheme="minorHAnsi" w:cstheme="minorHAnsi"/>
          <w:color w:val="auto"/>
          <w:sz w:val="24"/>
          <w:szCs w:val="24"/>
        </w:rPr>
      </w:pPr>
    </w:p>
    <w:p w:rsidR="00201647" w:rsidRPr="001E442B" w:rsidRDefault="003564BF" w:rsidP="00F86465">
      <w:pPr>
        <w:pStyle w:val="Titre3"/>
        <w:spacing w:before="0"/>
        <w:jc w:val="both"/>
        <w:rPr>
          <w:rFonts w:asciiTheme="minorHAnsi" w:hAnsiTheme="minorHAnsi" w:cstheme="minorHAnsi"/>
          <w:color w:val="auto"/>
          <w:sz w:val="24"/>
          <w:szCs w:val="24"/>
        </w:rPr>
      </w:pPr>
      <w:r w:rsidRPr="001E442B">
        <w:rPr>
          <w:rFonts w:asciiTheme="minorHAnsi" w:hAnsiTheme="minorHAnsi" w:cstheme="minorHAnsi"/>
          <w:color w:val="auto"/>
          <w:sz w:val="24"/>
          <w:szCs w:val="24"/>
        </w:rPr>
        <w:t xml:space="preserve">2.2. </w:t>
      </w:r>
      <w:r w:rsidR="00201647" w:rsidRPr="001E442B">
        <w:rPr>
          <w:rFonts w:asciiTheme="minorHAnsi" w:hAnsiTheme="minorHAnsi" w:cstheme="minorHAnsi"/>
          <w:color w:val="auto"/>
          <w:sz w:val="24"/>
          <w:szCs w:val="24"/>
        </w:rPr>
        <w:t>Les cellules souches pluripotentes</w:t>
      </w:r>
    </w:p>
    <w:p w:rsidR="00201647"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Egalement appelées lignées de cellules souches embryonnaires, elles sont issues d'un embryon de 5 à 7 jour suivant une fécondation in vitro (</w:t>
      </w:r>
      <w:r w:rsidR="0004585E" w:rsidRPr="001E442B">
        <w:rPr>
          <w:rFonts w:asciiTheme="minorHAnsi" w:hAnsiTheme="minorHAnsi" w:cstheme="minorHAnsi"/>
        </w:rPr>
        <w:t>embryons surnuméraires obtenus par FIV pour un projet parental, et dont les parents ont signé un consentement pour céder gratuitement l’embryon à la recherche</w:t>
      </w:r>
      <w:r w:rsidRPr="001E442B">
        <w:rPr>
          <w:rFonts w:asciiTheme="minorHAnsi" w:hAnsiTheme="minorHAnsi" w:cstheme="minorHAnsi"/>
        </w:rPr>
        <w:t>)</w:t>
      </w:r>
      <w:r w:rsidR="0004585E" w:rsidRPr="001E442B">
        <w:rPr>
          <w:rFonts w:asciiTheme="minorHAnsi" w:hAnsiTheme="minorHAnsi" w:cstheme="minorHAnsi"/>
        </w:rPr>
        <w:t xml:space="preserve"> (stade blastocyste : bouton embryonnaire)</w:t>
      </w:r>
      <w:r w:rsidRPr="001E442B">
        <w:rPr>
          <w:rFonts w:asciiTheme="minorHAnsi" w:hAnsiTheme="minorHAnsi" w:cstheme="minorHAnsi"/>
        </w:rPr>
        <w:t xml:space="preserve">. Elles peuvent donner naissance à plus de 200 types de cellules représentatifs de tous les tissus de l'organisme. Ces cellules sont prélevées et placées en culture où elles vont alors se multiplier </w:t>
      </w:r>
      <w:r w:rsidRPr="001E442B">
        <w:rPr>
          <w:rFonts w:asciiTheme="minorHAnsi" w:hAnsiTheme="minorHAnsi" w:cstheme="minorHAnsi"/>
        </w:rPr>
        <w:lastRenderedPageBreak/>
        <w:t>et, selon leur milieu se culture, se différencier en tel ou tel type de cellules spécialisées : cellules sanguines, cellules du cerveau, cellules du foie, etc.</w:t>
      </w:r>
    </w:p>
    <w:p w:rsidR="00F86465" w:rsidRPr="001E442B" w:rsidRDefault="00F86465" w:rsidP="00F86465">
      <w:pPr>
        <w:pStyle w:val="Titre3"/>
        <w:spacing w:before="0"/>
        <w:jc w:val="both"/>
        <w:rPr>
          <w:rFonts w:asciiTheme="minorHAnsi" w:hAnsiTheme="minorHAnsi" w:cstheme="minorHAnsi"/>
          <w:color w:val="auto"/>
          <w:sz w:val="24"/>
          <w:szCs w:val="24"/>
        </w:rPr>
      </w:pPr>
    </w:p>
    <w:p w:rsidR="00201647" w:rsidRPr="001E442B" w:rsidRDefault="003564BF" w:rsidP="00F86465">
      <w:pPr>
        <w:pStyle w:val="Titre3"/>
        <w:spacing w:before="0"/>
        <w:jc w:val="both"/>
        <w:rPr>
          <w:rFonts w:asciiTheme="minorHAnsi" w:hAnsiTheme="minorHAnsi" w:cstheme="minorHAnsi"/>
          <w:color w:val="auto"/>
          <w:sz w:val="24"/>
          <w:szCs w:val="24"/>
        </w:rPr>
      </w:pPr>
      <w:r w:rsidRPr="001E442B">
        <w:rPr>
          <w:rFonts w:asciiTheme="minorHAnsi" w:hAnsiTheme="minorHAnsi" w:cstheme="minorHAnsi"/>
          <w:color w:val="auto"/>
          <w:sz w:val="24"/>
          <w:szCs w:val="24"/>
        </w:rPr>
        <w:t xml:space="preserve">2.3. </w:t>
      </w:r>
      <w:r w:rsidR="00201647" w:rsidRPr="001E442B">
        <w:rPr>
          <w:rFonts w:asciiTheme="minorHAnsi" w:hAnsiTheme="minorHAnsi" w:cstheme="minorHAnsi"/>
          <w:color w:val="auto"/>
          <w:sz w:val="24"/>
          <w:szCs w:val="24"/>
        </w:rPr>
        <w:t>Les cellules souches multipotentes</w:t>
      </w:r>
    </w:p>
    <w:p w:rsidR="00201647"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Issues de tissus fœtaux ou adultes, elles peuvent donner naissance à un ou plusieurs types cellulaires. Elles participent chez l’adulte au renouvellement des tissus</w:t>
      </w:r>
      <w:r w:rsidR="00EF1199" w:rsidRPr="001E442B">
        <w:rPr>
          <w:rFonts w:asciiTheme="minorHAnsi" w:hAnsiTheme="minorHAnsi" w:cstheme="minorHAnsi"/>
        </w:rPr>
        <w:t xml:space="preserve"> comme l</w:t>
      </w:r>
      <w:r w:rsidRPr="001E442B">
        <w:rPr>
          <w:rFonts w:asciiTheme="minorHAnsi" w:hAnsiTheme="minorHAnsi" w:cstheme="minorHAnsi"/>
        </w:rPr>
        <w:t>es cellules souches mésenchymateuses (CSM). Il s’agit de cellules souches adultes présentes dans tout l’organisme au sein du tissu adipeux, de la moelle osseuse, des tissus de soutien des organes, des os, des cartilages, des muscles et pouvant donner naissance à des cellules cartilagineuses, osseuses, graisseuses, à des fibres musculaires, etc.</w:t>
      </w:r>
    </w:p>
    <w:p w:rsidR="00F86465" w:rsidRPr="001E442B" w:rsidRDefault="00F86465" w:rsidP="00F86465">
      <w:pPr>
        <w:pStyle w:val="Titre3"/>
        <w:spacing w:before="0"/>
        <w:jc w:val="both"/>
        <w:rPr>
          <w:rFonts w:asciiTheme="minorHAnsi" w:hAnsiTheme="minorHAnsi" w:cstheme="minorHAnsi"/>
          <w:color w:val="auto"/>
          <w:sz w:val="24"/>
          <w:szCs w:val="24"/>
        </w:rPr>
      </w:pPr>
    </w:p>
    <w:p w:rsidR="00201647" w:rsidRPr="001E442B" w:rsidRDefault="003564BF" w:rsidP="00F86465">
      <w:pPr>
        <w:pStyle w:val="Titre3"/>
        <w:spacing w:before="0"/>
        <w:jc w:val="both"/>
        <w:rPr>
          <w:rFonts w:asciiTheme="minorHAnsi" w:hAnsiTheme="minorHAnsi" w:cstheme="minorHAnsi"/>
          <w:color w:val="auto"/>
          <w:sz w:val="24"/>
          <w:szCs w:val="24"/>
        </w:rPr>
      </w:pPr>
      <w:r w:rsidRPr="001E442B">
        <w:rPr>
          <w:rFonts w:asciiTheme="minorHAnsi" w:hAnsiTheme="minorHAnsi" w:cstheme="minorHAnsi"/>
          <w:color w:val="auto"/>
          <w:sz w:val="24"/>
          <w:szCs w:val="24"/>
        </w:rPr>
        <w:t xml:space="preserve">2.4. </w:t>
      </w:r>
      <w:r w:rsidR="00201647" w:rsidRPr="001E442B">
        <w:rPr>
          <w:rFonts w:asciiTheme="minorHAnsi" w:hAnsiTheme="minorHAnsi" w:cstheme="minorHAnsi"/>
          <w:color w:val="auto"/>
          <w:sz w:val="24"/>
          <w:szCs w:val="24"/>
        </w:rPr>
        <w:t>Les cellules souches unipotentes</w:t>
      </w:r>
    </w:p>
    <w:p w:rsidR="00201647" w:rsidRPr="001E442B" w:rsidRDefault="00201647"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Issues de tissus adultes, elles ne peuvent donner naissance qu’à un type de cellule. Elles participent également au renouvellement de tous nos tissus.</w:t>
      </w:r>
    </w:p>
    <w:p w:rsidR="00F86465" w:rsidRPr="001E442B" w:rsidRDefault="00F86465" w:rsidP="00F86465">
      <w:pPr>
        <w:pStyle w:val="Titre3"/>
        <w:spacing w:before="0"/>
        <w:jc w:val="both"/>
        <w:rPr>
          <w:rFonts w:asciiTheme="minorHAnsi" w:hAnsiTheme="minorHAnsi" w:cstheme="minorHAnsi"/>
          <w:color w:val="auto"/>
          <w:sz w:val="24"/>
          <w:szCs w:val="24"/>
        </w:rPr>
      </w:pPr>
    </w:p>
    <w:p w:rsidR="00201647" w:rsidRPr="001E442B" w:rsidRDefault="003564BF" w:rsidP="00F86465">
      <w:pPr>
        <w:pStyle w:val="Titre3"/>
        <w:spacing w:before="0"/>
        <w:jc w:val="both"/>
        <w:rPr>
          <w:rFonts w:asciiTheme="minorHAnsi" w:hAnsiTheme="minorHAnsi" w:cstheme="minorHAnsi"/>
          <w:color w:val="auto"/>
          <w:sz w:val="24"/>
          <w:szCs w:val="24"/>
        </w:rPr>
      </w:pPr>
      <w:r w:rsidRPr="001E442B">
        <w:rPr>
          <w:rFonts w:asciiTheme="minorHAnsi" w:hAnsiTheme="minorHAnsi" w:cstheme="minorHAnsi"/>
          <w:color w:val="auto"/>
          <w:sz w:val="24"/>
          <w:szCs w:val="24"/>
        </w:rPr>
        <w:t xml:space="preserve">2.5. </w:t>
      </w:r>
      <w:r w:rsidR="00201647" w:rsidRPr="001E442B">
        <w:rPr>
          <w:rFonts w:asciiTheme="minorHAnsi" w:hAnsiTheme="minorHAnsi" w:cstheme="minorHAnsi"/>
          <w:color w:val="auto"/>
          <w:sz w:val="24"/>
          <w:szCs w:val="24"/>
        </w:rPr>
        <w:t>Les cellules souches pluripotentes induites</w:t>
      </w:r>
    </w:p>
    <w:p w:rsidR="00F86465" w:rsidRPr="001E442B" w:rsidRDefault="00201647" w:rsidP="00DF5BF1">
      <w:pPr>
        <w:pStyle w:val="NormalWeb"/>
        <w:spacing w:before="0" w:beforeAutospacing="0" w:after="0" w:afterAutospacing="0" w:line="276" w:lineRule="auto"/>
        <w:jc w:val="both"/>
        <w:rPr>
          <w:rFonts w:asciiTheme="minorHAnsi" w:hAnsiTheme="minorHAnsi" w:cstheme="minorHAnsi"/>
          <w:b/>
        </w:rPr>
      </w:pPr>
      <w:r w:rsidRPr="001E442B">
        <w:rPr>
          <w:rFonts w:asciiTheme="minorHAnsi" w:hAnsiTheme="minorHAnsi" w:cstheme="minorHAnsi"/>
        </w:rPr>
        <w:t>Egalement nommées cellules iPS ("induced pluripotent stem cells"), ce sont des cellules souches adultes qui ont été reprogrammées génétiquement pour avoir les caractéristiques des cellules souches embryonnaires. Comme les cellules souches embryonnaires, les cellules IPS ont cette capacité d’auto-renouvellemement et de pluripotence, avec l'avantage d'être faciles d’accès (une simple biopsie suffit) et de ne pas poser problèmes éthiques des cellules souches embryonnaires.</w:t>
      </w:r>
    </w:p>
    <w:p w:rsidR="0095679B" w:rsidRPr="001E442B" w:rsidRDefault="0095679B" w:rsidP="00F86465">
      <w:pPr>
        <w:pStyle w:val="Default"/>
        <w:spacing w:line="276" w:lineRule="auto"/>
        <w:jc w:val="both"/>
        <w:rPr>
          <w:rFonts w:asciiTheme="minorHAnsi" w:hAnsiTheme="minorHAnsi" w:cstheme="minorHAnsi"/>
          <w:color w:val="auto"/>
        </w:rPr>
      </w:pPr>
    </w:p>
    <w:p w:rsidR="0004527C" w:rsidRPr="001E442B" w:rsidRDefault="00E3682C" w:rsidP="00F86465">
      <w:pPr>
        <w:pStyle w:val="NormalWeb"/>
        <w:spacing w:before="0" w:beforeAutospacing="0" w:after="0" w:afterAutospacing="0" w:line="276" w:lineRule="auto"/>
        <w:jc w:val="both"/>
        <w:rPr>
          <w:rFonts w:asciiTheme="minorHAnsi" w:hAnsiTheme="minorHAnsi" w:cstheme="minorHAnsi"/>
        </w:rPr>
      </w:pPr>
      <w:r w:rsidRPr="001E442B">
        <w:rPr>
          <w:rFonts w:asciiTheme="minorHAnsi" w:hAnsiTheme="minorHAnsi" w:cstheme="minorHAnsi"/>
        </w:rPr>
        <w:t xml:space="preserve">       </w:t>
      </w:r>
      <w:r w:rsidR="00DD7EDB" w:rsidRPr="001E442B">
        <w:rPr>
          <w:rFonts w:asciiTheme="minorHAnsi" w:hAnsiTheme="minorHAnsi" w:cstheme="minorHAnsi"/>
        </w:rPr>
        <w:t xml:space="preserve"> </w:t>
      </w:r>
      <w:r w:rsidR="0024025E" w:rsidRPr="001E442B">
        <w:rPr>
          <w:rFonts w:asciiTheme="minorHAnsi" w:hAnsiTheme="minorHAnsi" w:cstheme="minorHAnsi"/>
          <w:noProof/>
        </w:rPr>
        <w:drawing>
          <wp:inline distT="0" distB="0" distL="0" distR="0">
            <wp:extent cx="5065410" cy="3597215"/>
            <wp:effectExtent l="19050" t="0" r="1890" b="0"/>
            <wp:docPr id="21" name="Image 21" descr="C:\Users\dell\Desktop\cellules-sou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cellules-souches.jpg"/>
                    <pic:cNvPicPr>
                      <a:picLocks noChangeAspect="1" noChangeArrowheads="1"/>
                    </pic:cNvPicPr>
                  </pic:nvPicPr>
                  <pic:blipFill>
                    <a:blip r:embed="rId9" cstate="print"/>
                    <a:srcRect/>
                    <a:stretch>
                      <a:fillRect/>
                    </a:stretch>
                  </pic:blipFill>
                  <pic:spPr bwMode="auto">
                    <a:xfrm>
                      <a:off x="0" y="0"/>
                      <a:ext cx="5063918" cy="3596156"/>
                    </a:xfrm>
                    <a:prstGeom prst="rect">
                      <a:avLst/>
                    </a:prstGeom>
                    <a:noFill/>
                    <a:ln w="9525">
                      <a:noFill/>
                      <a:miter lim="800000"/>
                      <a:headEnd/>
                      <a:tailEnd/>
                    </a:ln>
                  </pic:spPr>
                </pic:pic>
              </a:graphicData>
            </a:graphic>
          </wp:inline>
        </w:drawing>
      </w:r>
    </w:p>
    <w:p w:rsidR="00B66FB2" w:rsidRPr="001E442B" w:rsidRDefault="00B66FB2" w:rsidP="00F86465">
      <w:pPr>
        <w:spacing w:after="0"/>
        <w:jc w:val="both"/>
        <w:rPr>
          <w:rFonts w:cstheme="minorHAnsi"/>
          <w:b/>
          <w:sz w:val="24"/>
          <w:szCs w:val="24"/>
        </w:rPr>
      </w:pPr>
      <w:r w:rsidRPr="001E442B">
        <w:rPr>
          <w:rFonts w:cstheme="minorHAnsi"/>
          <w:b/>
          <w:sz w:val="24"/>
          <w:szCs w:val="24"/>
        </w:rPr>
        <w:t xml:space="preserve">            </w:t>
      </w:r>
      <w:r w:rsidR="00EF1199" w:rsidRPr="001E442B">
        <w:rPr>
          <w:rFonts w:cstheme="minorHAnsi"/>
          <w:b/>
          <w:sz w:val="24"/>
          <w:szCs w:val="24"/>
        </w:rPr>
        <w:t xml:space="preserve">                </w:t>
      </w:r>
      <w:r w:rsidRPr="001E442B">
        <w:rPr>
          <w:rFonts w:cstheme="minorHAnsi"/>
          <w:b/>
          <w:sz w:val="24"/>
          <w:szCs w:val="24"/>
        </w:rPr>
        <w:t>Figure 1. Les différents types de cellules souches</w:t>
      </w:r>
    </w:p>
    <w:p w:rsidR="00DF5BF1" w:rsidRPr="001E442B" w:rsidRDefault="00DF5BF1" w:rsidP="00DF5BF1">
      <w:pPr>
        <w:spacing w:after="0"/>
        <w:jc w:val="both"/>
        <w:rPr>
          <w:rFonts w:cstheme="minorHAnsi"/>
          <w:b/>
          <w:sz w:val="24"/>
          <w:szCs w:val="24"/>
        </w:rPr>
      </w:pPr>
      <w:r w:rsidRPr="001E442B">
        <w:rPr>
          <w:rFonts w:cstheme="minorHAnsi"/>
          <w:b/>
          <w:sz w:val="24"/>
          <w:szCs w:val="24"/>
        </w:rPr>
        <w:t xml:space="preserve">3. Perspectives thérapeutiques </w:t>
      </w:r>
    </w:p>
    <w:p w:rsidR="00DF5BF1" w:rsidRPr="001E442B" w:rsidRDefault="00DF5BF1" w:rsidP="00DF5BF1">
      <w:pPr>
        <w:spacing w:after="0"/>
        <w:jc w:val="both"/>
        <w:rPr>
          <w:rFonts w:eastAsia="Times New Roman" w:cstheme="minorHAnsi"/>
          <w:b/>
          <w:bCs/>
          <w:sz w:val="24"/>
          <w:szCs w:val="24"/>
          <w:lang w:eastAsia="fr-FR"/>
        </w:rPr>
      </w:pPr>
      <w:r w:rsidRPr="001E442B">
        <w:rPr>
          <w:rFonts w:cstheme="minorHAnsi"/>
          <w:sz w:val="24"/>
          <w:szCs w:val="24"/>
        </w:rPr>
        <w:t xml:space="preserve">Les cellules souches, un peu particulières, sont programmées pour se multiplier indéfiniment et  peuvent donner naissance à tous les organes et tissus de l'organisme, et même à un individu complet pour les cellules totipotentes. L'espoir des chercheurs et médecins est de pouvoir utiliser ce potentiel pour réparer ou remplacer des organes abimés ou traiter certaines maladies par la thérapie cellulaire et la thérapie génique. </w:t>
      </w:r>
    </w:p>
    <w:p w:rsidR="00DF5BF1" w:rsidRPr="001E442B" w:rsidRDefault="00DF5BF1" w:rsidP="00DF5BF1">
      <w:pPr>
        <w:spacing w:after="0"/>
        <w:jc w:val="both"/>
        <w:outlineLvl w:val="1"/>
        <w:rPr>
          <w:rFonts w:eastAsia="Times New Roman" w:cstheme="minorHAnsi"/>
          <w:b/>
          <w:bCs/>
          <w:sz w:val="24"/>
          <w:szCs w:val="24"/>
          <w:lang w:eastAsia="fr-FR"/>
        </w:rPr>
      </w:pPr>
    </w:p>
    <w:p w:rsidR="00DF5BF1" w:rsidRPr="001E442B" w:rsidRDefault="00DF5BF1" w:rsidP="00DF5BF1">
      <w:pPr>
        <w:spacing w:after="0"/>
        <w:jc w:val="both"/>
        <w:outlineLvl w:val="1"/>
        <w:rPr>
          <w:rFonts w:eastAsia="Times New Roman" w:cstheme="minorHAnsi"/>
          <w:b/>
          <w:bCs/>
          <w:sz w:val="24"/>
          <w:szCs w:val="24"/>
          <w:lang w:eastAsia="fr-FR"/>
        </w:rPr>
      </w:pPr>
      <w:r w:rsidRPr="001E442B">
        <w:rPr>
          <w:rFonts w:eastAsia="Times New Roman" w:cstheme="minorHAnsi"/>
          <w:b/>
          <w:bCs/>
          <w:sz w:val="24"/>
          <w:szCs w:val="24"/>
          <w:lang w:eastAsia="fr-FR"/>
        </w:rPr>
        <w:t>3.1. La thérapie cellulaire </w:t>
      </w:r>
    </w:p>
    <w:p w:rsidR="00736CAF" w:rsidRPr="001E442B" w:rsidRDefault="00DF5BF1" w:rsidP="00DF5BF1">
      <w:pPr>
        <w:spacing w:after="0"/>
        <w:jc w:val="both"/>
        <w:rPr>
          <w:rFonts w:cstheme="minorHAnsi"/>
          <w:color w:val="000000"/>
          <w:sz w:val="24"/>
          <w:szCs w:val="24"/>
        </w:rPr>
      </w:pPr>
      <w:r w:rsidRPr="001E442B">
        <w:rPr>
          <w:rFonts w:eastAsia="Times New Roman" w:cstheme="minorHAnsi"/>
          <w:sz w:val="24"/>
          <w:szCs w:val="24"/>
          <w:lang w:eastAsia="fr-FR"/>
        </w:rPr>
        <w:t>En cas de maladie, certaines cellules souches peuvent être prélevées, cultivées puis réinjectées afin de restaurer la fonction du tissu ou de l'organe défaillant. Cette greffe de cellules souches, très prometteuse, constitue la base de ce que l'on nomme la thérapie cellulaire ou médecine régénérative.</w:t>
      </w:r>
      <w:r w:rsidR="00736CAF" w:rsidRPr="001E442B">
        <w:rPr>
          <w:rFonts w:cstheme="minorHAnsi"/>
          <w:color w:val="000000"/>
          <w:sz w:val="24"/>
          <w:szCs w:val="24"/>
        </w:rPr>
        <w:t xml:space="preserve"> </w:t>
      </w:r>
    </w:p>
    <w:p w:rsidR="00736CAF" w:rsidRPr="001E442B" w:rsidRDefault="00736CAF" w:rsidP="00DF5BF1">
      <w:pPr>
        <w:spacing w:after="0"/>
        <w:jc w:val="both"/>
        <w:rPr>
          <w:rFonts w:cstheme="minorHAnsi"/>
          <w:color w:val="000000"/>
          <w:sz w:val="24"/>
          <w:szCs w:val="24"/>
        </w:rPr>
      </w:pPr>
    </w:p>
    <w:p w:rsidR="00736CAF" w:rsidRPr="001E442B" w:rsidRDefault="00736CAF" w:rsidP="00DF5BF1">
      <w:pPr>
        <w:spacing w:after="0"/>
        <w:jc w:val="both"/>
        <w:rPr>
          <w:rFonts w:cstheme="minorHAnsi"/>
          <w:color w:val="000000"/>
          <w:sz w:val="24"/>
          <w:szCs w:val="24"/>
        </w:rPr>
      </w:pPr>
      <w:r w:rsidRPr="001E442B">
        <w:rPr>
          <w:rFonts w:cstheme="minorHAnsi"/>
          <w:color w:val="000000"/>
          <w:sz w:val="24"/>
          <w:szCs w:val="24"/>
        </w:rPr>
        <w:t xml:space="preserve">La biologie cellulaire des cellules souches est un domaine encore en pleine expansion et comportant de nombreuses inconnues. On considère que par un phénomène de division cellulaire asymétrique, une cellule souche mère conduira à la formation d’une cellule souche fille permettant le maintien d’un stock de cellules souches, et donc de la capacité d’auto- renouvellement ; et en même temps de la formation d’une cellule fille qui s’engagera dans la différenciation cellulaire, appelée cellule progénitrice. Cette cellule progénitrice va progressivement acquérir des spécificités fonctionnelles au cours du phénomène de différenciation cellulaire, mais perdre les capacités d’auto-renouvellement. </w:t>
      </w:r>
    </w:p>
    <w:p w:rsidR="00736CAF" w:rsidRPr="001E442B" w:rsidRDefault="00736CAF" w:rsidP="00DF5BF1">
      <w:pPr>
        <w:spacing w:after="0"/>
        <w:jc w:val="both"/>
        <w:rPr>
          <w:rFonts w:cstheme="minorHAnsi"/>
          <w:color w:val="000000"/>
          <w:sz w:val="24"/>
          <w:szCs w:val="24"/>
        </w:rPr>
      </w:pPr>
    </w:p>
    <w:p w:rsidR="00736CAF" w:rsidRPr="001E442B" w:rsidRDefault="00736CAF" w:rsidP="00DF5BF1">
      <w:pPr>
        <w:spacing w:after="0"/>
        <w:jc w:val="both"/>
        <w:rPr>
          <w:rFonts w:cstheme="minorHAnsi"/>
          <w:color w:val="000000"/>
          <w:sz w:val="24"/>
          <w:szCs w:val="24"/>
        </w:rPr>
      </w:pPr>
      <w:r w:rsidRPr="001E442B">
        <w:rPr>
          <w:rFonts w:cstheme="minorHAnsi"/>
          <w:color w:val="000000"/>
          <w:sz w:val="24"/>
          <w:szCs w:val="24"/>
        </w:rPr>
        <w:t>De manière très schématique, le concept de thérapie cellulaire vise à remplacer des cellules défectueuses dans un tissu donné grâce à l’apport de cellules souches. Les capacités de différenciation multi-lignée des cellules souches permettraient la formation de cellules fonctionnelles dans ce tissu, et la capacité d’auto-renouvellement assurerait le maintien d’un stock de cellules et ainsi une régénération maintenue à moyen voire à long terme.</w:t>
      </w:r>
    </w:p>
    <w:p w:rsidR="00736CAF" w:rsidRPr="001E442B" w:rsidRDefault="00736CAF" w:rsidP="00DF5BF1">
      <w:pPr>
        <w:spacing w:after="0"/>
        <w:jc w:val="both"/>
        <w:rPr>
          <w:rFonts w:cstheme="minorHAnsi"/>
          <w:color w:val="000000"/>
          <w:sz w:val="24"/>
          <w:szCs w:val="24"/>
        </w:rPr>
      </w:pPr>
    </w:p>
    <w:p w:rsidR="00736CAF" w:rsidRPr="001E442B" w:rsidRDefault="00736CAF" w:rsidP="00DF5BF1">
      <w:pPr>
        <w:spacing w:after="0"/>
        <w:jc w:val="both"/>
        <w:rPr>
          <w:rFonts w:cstheme="minorHAnsi"/>
          <w:color w:val="000000"/>
          <w:sz w:val="24"/>
          <w:szCs w:val="24"/>
        </w:rPr>
      </w:pPr>
      <w:r w:rsidRPr="001E442B">
        <w:rPr>
          <w:rFonts w:cstheme="minorHAnsi"/>
          <w:color w:val="000000"/>
          <w:sz w:val="24"/>
          <w:szCs w:val="24"/>
        </w:rPr>
        <w:t xml:space="preserve"> Grâce au fort potentiel régénératif des cellules souches, cette approche est donc très prometteuse à des fins thérapeutiques, mais comporte pour la même raison un risque de dégénérescence cellulaire et de croissance cellulaire incontrôlée, voire tumorale, qui doit absolument être maîtrisé et surveillé pour toute application clinique.</w:t>
      </w:r>
    </w:p>
    <w:p w:rsidR="00736CAF" w:rsidRPr="001E442B" w:rsidRDefault="00736CAF" w:rsidP="00DF5BF1">
      <w:pPr>
        <w:spacing w:after="0"/>
        <w:jc w:val="both"/>
        <w:rPr>
          <w:rFonts w:cstheme="minorHAnsi"/>
          <w:color w:val="000000"/>
          <w:sz w:val="24"/>
          <w:szCs w:val="24"/>
        </w:rPr>
      </w:pPr>
    </w:p>
    <w:p w:rsidR="00DF5BF1" w:rsidRPr="001E442B" w:rsidRDefault="00736CAF" w:rsidP="00736CAF">
      <w:pPr>
        <w:spacing w:after="0"/>
        <w:jc w:val="both"/>
        <w:rPr>
          <w:rFonts w:eastAsia="Times New Roman" w:cstheme="minorHAnsi"/>
          <w:sz w:val="24"/>
          <w:szCs w:val="24"/>
          <w:lang w:eastAsia="fr-FR"/>
        </w:rPr>
      </w:pPr>
      <w:r w:rsidRPr="001E442B">
        <w:rPr>
          <w:rFonts w:cstheme="minorHAnsi"/>
          <w:color w:val="000000"/>
          <w:sz w:val="24"/>
          <w:szCs w:val="24"/>
        </w:rPr>
        <w:t xml:space="preserve"> Les sources cellulaires éventuelles pour la thérapie cellulaire sont les cellules souches</w:t>
      </w:r>
      <w:r w:rsidRPr="001E442B">
        <w:rPr>
          <w:rFonts w:cstheme="minorHAnsi"/>
          <w:color w:val="000000"/>
          <w:sz w:val="24"/>
          <w:szCs w:val="24"/>
        </w:rPr>
        <w:br/>
        <w:t>embryonnaires, les cellules souches adultes et depuis plus récemment les cellules souches</w:t>
      </w:r>
      <w:r w:rsidRPr="001E442B">
        <w:rPr>
          <w:rFonts w:cstheme="minorHAnsi"/>
          <w:color w:val="000000"/>
          <w:sz w:val="24"/>
          <w:szCs w:val="24"/>
        </w:rPr>
        <w:br/>
        <w:t>pluripotentes induites (Induced Pluripotent Stem Cells, ou IPS).</w:t>
      </w:r>
    </w:p>
    <w:p w:rsidR="00F86465" w:rsidRPr="001E442B" w:rsidRDefault="00F86465" w:rsidP="00F86465">
      <w:pPr>
        <w:spacing w:after="0"/>
        <w:jc w:val="both"/>
        <w:rPr>
          <w:rFonts w:cstheme="minorHAnsi"/>
          <w:b/>
          <w:sz w:val="24"/>
          <w:szCs w:val="24"/>
        </w:rPr>
      </w:pPr>
    </w:p>
    <w:p w:rsidR="00A8366C" w:rsidRPr="001E442B" w:rsidRDefault="00F52C04" w:rsidP="00F86465">
      <w:pPr>
        <w:pStyle w:val="NormalWeb"/>
        <w:spacing w:before="0" w:beforeAutospacing="0" w:after="0" w:afterAutospacing="0" w:line="276" w:lineRule="auto"/>
        <w:jc w:val="both"/>
        <w:rPr>
          <w:rFonts w:asciiTheme="minorHAnsi" w:hAnsiTheme="minorHAnsi" w:cstheme="minorHAnsi"/>
        </w:rPr>
      </w:pPr>
      <w:r>
        <w:rPr>
          <w:rFonts w:asciiTheme="minorHAnsi" w:hAnsiTheme="minorHAnsi" w:cstheme="minorHAnsi"/>
          <w:noProof/>
        </w:rPr>
        <w:pict>
          <v:shapetype id="_x0000_t202" coordsize="21600,21600" o:spt="202" path="m,l,21600r21600,l21600,xe">
            <v:stroke joinstyle="miter"/>
            <v:path gradientshapeok="t" o:connecttype="rect"/>
          </v:shapetype>
          <v:shape id="_x0000_s1027" type="#_x0000_t202" style="position:absolute;left:0;text-align:left;margin-left:42.1pt;margin-top:5.15pt;width:147.75pt;height:22.35pt;z-index:251659264" strokecolor="white [3212]">
            <v:textbox style="mso-next-textbox:#_x0000_s1027">
              <w:txbxContent>
                <w:p w:rsidR="00B6639A" w:rsidRDefault="00B6639A"/>
              </w:txbxContent>
            </v:textbox>
          </v:shape>
        </w:pict>
      </w:r>
      <w:r w:rsidR="00764805" w:rsidRPr="001E442B">
        <w:rPr>
          <w:rFonts w:asciiTheme="minorHAnsi" w:hAnsiTheme="minorHAnsi" w:cstheme="minorHAnsi"/>
        </w:rPr>
        <w:t xml:space="preserve">           </w:t>
      </w:r>
      <w:r w:rsidR="006723D4" w:rsidRPr="001E442B">
        <w:rPr>
          <w:rFonts w:asciiTheme="minorHAnsi" w:hAnsiTheme="minorHAnsi" w:cstheme="minorHAnsi"/>
          <w:noProof/>
        </w:rPr>
        <w:drawing>
          <wp:inline distT="0" distB="0" distL="0" distR="0">
            <wp:extent cx="4841708" cy="3657600"/>
            <wp:effectExtent l="19050" t="0" r="0" b="0"/>
            <wp:docPr id="11" name="Image 11" descr="C:\Users\dell\Desktop\Sans tit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Sans titre2.bmp"/>
                    <pic:cNvPicPr>
                      <a:picLocks noChangeAspect="1" noChangeArrowheads="1"/>
                    </pic:cNvPicPr>
                  </pic:nvPicPr>
                  <pic:blipFill>
                    <a:blip r:embed="rId10" cstate="print"/>
                    <a:srcRect/>
                    <a:stretch>
                      <a:fillRect/>
                    </a:stretch>
                  </pic:blipFill>
                  <pic:spPr bwMode="auto">
                    <a:xfrm>
                      <a:off x="0" y="0"/>
                      <a:ext cx="4857750" cy="3669719"/>
                    </a:xfrm>
                    <a:prstGeom prst="rect">
                      <a:avLst/>
                    </a:prstGeom>
                    <a:noFill/>
                    <a:ln w="9525">
                      <a:noFill/>
                      <a:miter lim="800000"/>
                      <a:headEnd/>
                      <a:tailEnd/>
                    </a:ln>
                  </pic:spPr>
                </pic:pic>
              </a:graphicData>
            </a:graphic>
          </wp:inline>
        </w:drawing>
      </w:r>
    </w:p>
    <w:p w:rsidR="00364F46" w:rsidRPr="001E442B" w:rsidRDefault="00364F46" w:rsidP="001E442B">
      <w:pPr>
        <w:spacing w:after="0"/>
        <w:jc w:val="both"/>
        <w:outlineLvl w:val="1"/>
        <w:rPr>
          <w:rFonts w:eastAsia="Times New Roman" w:cstheme="minorHAnsi"/>
          <w:b/>
          <w:bCs/>
          <w:sz w:val="24"/>
          <w:szCs w:val="24"/>
          <w:lang w:eastAsia="fr-FR"/>
        </w:rPr>
      </w:pPr>
      <w:r w:rsidRPr="001E442B">
        <w:rPr>
          <w:rFonts w:eastAsia="Times New Roman" w:cstheme="minorHAnsi"/>
          <w:b/>
          <w:bCs/>
          <w:sz w:val="24"/>
          <w:szCs w:val="24"/>
          <w:lang w:eastAsia="fr-FR"/>
        </w:rPr>
        <w:t xml:space="preserve">                                           </w:t>
      </w:r>
      <w:r w:rsidR="00764805" w:rsidRPr="001E442B">
        <w:rPr>
          <w:rFonts w:eastAsia="Times New Roman" w:cstheme="minorHAnsi"/>
          <w:b/>
          <w:bCs/>
          <w:sz w:val="24"/>
          <w:szCs w:val="24"/>
          <w:lang w:eastAsia="fr-FR"/>
        </w:rPr>
        <w:t xml:space="preserve">       </w:t>
      </w:r>
      <w:r w:rsidRPr="001E442B">
        <w:rPr>
          <w:rFonts w:eastAsia="Times New Roman" w:cstheme="minorHAnsi"/>
          <w:b/>
          <w:bCs/>
          <w:sz w:val="24"/>
          <w:szCs w:val="24"/>
          <w:lang w:eastAsia="fr-FR"/>
        </w:rPr>
        <w:t xml:space="preserve">Figure 2. </w:t>
      </w:r>
      <w:r w:rsidR="001E442B" w:rsidRPr="001E442B">
        <w:rPr>
          <w:rFonts w:eastAsia="Times New Roman" w:cstheme="minorHAnsi"/>
          <w:b/>
          <w:bCs/>
          <w:sz w:val="24"/>
          <w:szCs w:val="24"/>
          <w:lang w:eastAsia="fr-FR"/>
        </w:rPr>
        <w:t>Principe de l</w:t>
      </w:r>
      <w:r w:rsidRPr="001E442B">
        <w:rPr>
          <w:rFonts w:eastAsia="Times New Roman" w:cstheme="minorHAnsi"/>
          <w:b/>
          <w:bCs/>
          <w:sz w:val="24"/>
          <w:szCs w:val="24"/>
          <w:lang w:eastAsia="fr-FR"/>
        </w:rPr>
        <w:t>a thérapie cellulaire</w:t>
      </w:r>
    </w:p>
    <w:p w:rsidR="003564BF" w:rsidRPr="001E442B" w:rsidRDefault="003564BF" w:rsidP="00F86465">
      <w:pPr>
        <w:spacing w:after="0"/>
        <w:jc w:val="both"/>
        <w:outlineLvl w:val="1"/>
        <w:rPr>
          <w:rFonts w:eastAsia="Times New Roman" w:cstheme="minorHAnsi"/>
          <w:b/>
          <w:bCs/>
          <w:sz w:val="24"/>
          <w:szCs w:val="24"/>
          <w:lang w:eastAsia="fr-FR"/>
        </w:rPr>
      </w:pPr>
    </w:p>
    <w:p w:rsidR="00736CAF" w:rsidRPr="001E442B" w:rsidRDefault="00736CAF" w:rsidP="00F86465">
      <w:pPr>
        <w:pStyle w:val="NormalWeb"/>
        <w:spacing w:before="0" w:beforeAutospacing="0" w:after="0" w:afterAutospacing="0" w:line="276" w:lineRule="auto"/>
        <w:jc w:val="both"/>
        <w:rPr>
          <w:rFonts w:asciiTheme="minorHAnsi" w:hAnsiTheme="minorHAnsi" w:cstheme="minorHAnsi"/>
        </w:rPr>
      </w:pPr>
    </w:p>
    <w:p w:rsidR="009032A7" w:rsidRPr="001E442B" w:rsidRDefault="003564BF" w:rsidP="00F86465">
      <w:pPr>
        <w:spacing w:after="0"/>
        <w:jc w:val="both"/>
        <w:outlineLvl w:val="1"/>
        <w:rPr>
          <w:rFonts w:eastAsia="Times New Roman" w:cstheme="minorHAnsi"/>
          <w:sz w:val="24"/>
          <w:szCs w:val="24"/>
          <w:lang w:eastAsia="fr-FR"/>
        </w:rPr>
      </w:pPr>
      <w:r w:rsidRPr="001E442B">
        <w:rPr>
          <w:rFonts w:eastAsia="Times New Roman" w:cstheme="minorHAnsi"/>
          <w:b/>
          <w:bCs/>
          <w:sz w:val="24"/>
          <w:szCs w:val="24"/>
          <w:lang w:eastAsia="fr-FR"/>
        </w:rPr>
        <w:t>3</w:t>
      </w:r>
      <w:r w:rsidR="009032A7" w:rsidRPr="001E442B">
        <w:rPr>
          <w:rFonts w:eastAsia="Times New Roman" w:cstheme="minorHAnsi"/>
          <w:b/>
          <w:bCs/>
          <w:sz w:val="24"/>
          <w:szCs w:val="24"/>
          <w:lang w:eastAsia="fr-FR"/>
        </w:rPr>
        <w:t>.2. La thérapie génique</w:t>
      </w:r>
    </w:p>
    <w:p w:rsidR="009032A7" w:rsidRPr="001E442B" w:rsidRDefault="009032A7" w:rsidP="00736CAF">
      <w:pPr>
        <w:spacing w:after="0"/>
        <w:jc w:val="both"/>
        <w:outlineLvl w:val="1"/>
        <w:rPr>
          <w:rFonts w:eastAsia="Times New Roman" w:cstheme="minorHAnsi"/>
          <w:sz w:val="24"/>
          <w:szCs w:val="24"/>
          <w:lang w:eastAsia="fr-FR"/>
        </w:rPr>
      </w:pPr>
      <w:r w:rsidRPr="001E442B">
        <w:rPr>
          <w:rFonts w:eastAsia="Times New Roman" w:cstheme="minorHAnsi"/>
          <w:sz w:val="24"/>
          <w:szCs w:val="24"/>
          <w:lang w:eastAsia="fr-FR"/>
        </w:rPr>
        <w:t>La thérapie génique constitue l’une des voies privilégiées pour traiter les maladies génétiques. Elle consiste à insérer, dans les cellules du malade, une version normale d’un gène qui ne fonctionne pas et cause la maladie. Le gène fonctionnel permet alors au patient de produire à nouveau la protéine dont la déficience était la source de la maladie.</w:t>
      </w:r>
    </w:p>
    <w:p w:rsidR="009032A7" w:rsidRPr="001E442B" w:rsidRDefault="009032A7" w:rsidP="00F86465">
      <w:pPr>
        <w:spacing w:after="0"/>
        <w:jc w:val="both"/>
        <w:rPr>
          <w:rFonts w:eastAsia="Times New Roman" w:cstheme="minorHAnsi"/>
          <w:sz w:val="24"/>
          <w:szCs w:val="24"/>
          <w:lang w:eastAsia="fr-FR"/>
        </w:rPr>
      </w:pPr>
      <w:r w:rsidRPr="001E442B">
        <w:rPr>
          <w:rFonts w:eastAsia="Times New Roman" w:cstheme="minorHAnsi"/>
          <w:sz w:val="24"/>
          <w:szCs w:val="24"/>
          <w:lang w:eastAsia="fr-FR"/>
        </w:rPr>
        <w:t>Pour réussir l’opération, trois conditions doivent être remplies :</w:t>
      </w:r>
    </w:p>
    <w:p w:rsidR="009032A7" w:rsidRPr="001E442B" w:rsidRDefault="009032A7" w:rsidP="00F86465">
      <w:pPr>
        <w:numPr>
          <w:ilvl w:val="0"/>
          <w:numId w:val="7"/>
        </w:numPr>
        <w:spacing w:after="0"/>
        <w:ind w:left="0"/>
        <w:jc w:val="both"/>
        <w:rPr>
          <w:rFonts w:eastAsia="Times New Roman" w:cstheme="minorHAnsi"/>
          <w:sz w:val="24"/>
          <w:szCs w:val="24"/>
          <w:lang w:eastAsia="fr-FR"/>
        </w:rPr>
      </w:pPr>
      <w:r w:rsidRPr="001E442B">
        <w:rPr>
          <w:rFonts w:eastAsia="Times New Roman" w:cstheme="minorHAnsi"/>
          <w:b/>
          <w:bCs/>
          <w:sz w:val="24"/>
          <w:szCs w:val="24"/>
          <w:lang w:eastAsia="fr-FR"/>
        </w:rPr>
        <w:t>Connaître le gène responsable de la maladie</w:t>
      </w:r>
      <w:r w:rsidRPr="001E442B">
        <w:rPr>
          <w:rFonts w:eastAsia="Times New Roman" w:cstheme="minorHAnsi"/>
          <w:sz w:val="24"/>
          <w:szCs w:val="24"/>
          <w:lang w:eastAsia="fr-FR"/>
        </w:rPr>
        <w:t>, soit la fonction de ce gène, afin de pouvoir « réparer » la cellule.</w:t>
      </w:r>
    </w:p>
    <w:p w:rsidR="009032A7" w:rsidRPr="001E442B" w:rsidRDefault="009032A7" w:rsidP="00F86465">
      <w:pPr>
        <w:numPr>
          <w:ilvl w:val="0"/>
          <w:numId w:val="7"/>
        </w:numPr>
        <w:spacing w:after="0"/>
        <w:ind w:left="0"/>
        <w:jc w:val="both"/>
        <w:rPr>
          <w:rFonts w:eastAsia="Times New Roman" w:cstheme="minorHAnsi"/>
          <w:sz w:val="24"/>
          <w:szCs w:val="24"/>
          <w:lang w:eastAsia="fr-FR"/>
        </w:rPr>
      </w:pPr>
      <w:r w:rsidRPr="001E442B">
        <w:rPr>
          <w:rFonts w:eastAsia="Times New Roman" w:cstheme="minorHAnsi"/>
          <w:b/>
          <w:bCs/>
          <w:sz w:val="24"/>
          <w:szCs w:val="24"/>
          <w:lang w:eastAsia="fr-FR"/>
        </w:rPr>
        <w:t xml:space="preserve">Permettre au gène d’atteindre et entrer dans la cellule </w:t>
      </w:r>
      <w:r w:rsidRPr="001E442B">
        <w:rPr>
          <w:rFonts w:eastAsia="Times New Roman" w:cstheme="minorHAnsi"/>
          <w:sz w:val="24"/>
          <w:szCs w:val="24"/>
          <w:lang w:eastAsia="fr-FR"/>
        </w:rPr>
        <w:t>à l’aide d’un « vecteur », le plus souvent un virus que l’on a rendu inoffensif pour le malade.</w:t>
      </w:r>
    </w:p>
    <w:p w:rsidR="009032A7" w:rsidRPr="001E442B" w:rsidRDefault="009032A7" w:rsidP="00F86465">
      <w:pPr>
        <w:numPr>
          <w:ilvl w:val="0"/>
          <w:numId w:val="7"/>
        </w:numPr>
        <w:spacing w:after="0"/>
        <w:ind w:left="0"/>
        <w:jc w:val="both"/>
        <w:rPr>
          <w:rFonts w:eastAsia="Times New Roman" w:cstheme="minorHAnsi"/>
          <w:sz w:val="24"/>
          <w:szCs w:val="24"/>
          <w:lang w:eastAsia="fr-FR"/>
        </w:rPr>
      </w:pPr>
      <w:r w:rsidRPr="001E442B">
        <w:rPr>
          <w:rFonts w:eastAsia="Times New Roman" w:cstheme="minorHAnsi"/>
          <w:b/>
          <w:bCs/>
          <w:sz w:val="24"/>
          <w:szCs w:val="24"/>
          <w:lang w:eastAsia="fr-FR"/>
        </w:rPr>
        <w:t>Associer le gène à un « promoteur »,</w:t>
      </w:r>
      <w:r w:rsidRPr="001E442B">
        <w:rPr>
          <w:rFonts w:eastAsia="Times New Roman" w:cstheme="minorHAnsi"/>
          <w:sz w:val="24"/>
          <w:szCs w:val="24"/>
          <w:lang w:eastAsia="fr-FR"/>
        </w:rPr>
        <w:t xml:space="preserve"> une petite séquence d’ADN qui permet son fonctionnement une fois au sein de la cellule.</w:t>
      </w:r>
    </w:p>
    <w:p w:rsidR="001E442B" w:rsidRPr="001E442B" w:rsidRDefault="001E442B" w:rsidP="001E442B">
      <w:pPr>
        <w:spacing w:after="0"/>
        <w:jc w:val="both"/>
        <w:rPr>
          <w:rFonts w:eastAsia="Times New Roman" w:cstheme="minorHAnsi"/>
          <w:sz w:val="24"/>
          <w:szCs w:val="24"/>
          <w:lang w:eastAsia="fr-FR"/>
        </w:rPr>
      </w:pPr>
    </w:p>
    <w:p w:rsidR="00E84D6D" w:rsidRDefault="00E84D6D" w:rsidP="00E84D6D">
      <w:pPr>
        <w:spacing w:after="0"/>
        <w:jc w:val="both"/>
        <w:rPr>
          <w:rFonts w:cstheme="minorHAnsi"/>
          <w:color w:val="000000"/>
          <w:sz w:val="24"/>
          <w:szCs w:val="24"/>
        </w:rPr>
      </w:pPr>
      <w:r w:rsidRPr="001E442B">
        <w:rPr>
          <w:rFonts w:cstheme="minorHAnsi"/>
          <w:color w:val="000000"/>
          <w:sz w:val="24"/>
          <w:szCs w:val="24"/>
        </w:rPr>
        <w:t>La</w:t>
      </w:r>
      <w:r w:rsidR="001E442B" w:rsidRPr="001E442B">
        <w:rPr>
          <w:rFonts w:cstheme="minorHAnsi"/>
          <w:color w:val="000000"/>
          <w:sz w:val="24"/>
          <w:szCs w:val="24"/>
        </w:rPr>
        <w:t xml:space="preserve"> thérapie génique</w:t>
      </w:r>
      <w:r>
        <w:rPr>
          <w:rFonts w:cstheme="minorHAnsi"/>
          <w:color w:val="000000"/>
          <w:sz w:val="24"/>
          <w:szCs w:val="24"/>
        </w:rPr>
        <w:t xml:space="preserve"> peut être </w:t>
      </w:r>
      <w:r w:rsidR="001E442B" w:rsidRPr="001E442B">
        <w:rPr>
          <w:rFonts w:cstheme="minorHAnsi"/>
          <w:color w:val="000000"/>
          <w:sz w:val="24"/>
          <w:szCs w:val="24"/>
        </w:rPr>
        <w:t xml:space="preserve"> in vivo et la thérapie génique </w:t>
      </w:r>
      <w:r w:rsidR="001E442B" w:rsidRPr="001E442B">
        <w:rPr>
          <w:rFonts w:cstheme="minorHAnsi"/>
          <w:i/>
          <w:iCs/>
          <w:color w:val="000000"/>
          <w:sz w:val="24"/>
          <w:szCs w:val="24"/>
        </w:rPr>
        <w:t>ex vivo</w:t>
      </w:r>
      <w:r w:rsidR="001E442B" w:rsidRPr="001E442B">
        <w:rPr>
          <w:rFonts w:cstheme="minorHAnsi"/>
          <w:color w:val="000000"/>
          <w:sz w:val="24"/>
          <w:szCs w:val="24"/>
        </w:rPr>
        <w:t>.</w:t>
      </w:r>
      <w:r w:rsidR="001E442B" w:rsidRPr="001E442B">
        <w:rPr>
          <w:rFonts w:cstheme="minorHAnsi"/>
          <w:color w:val="000000"/>
          <w:sz w:val="24"/>
          <w:szCs w:val="24"/>
        </w:rPr>
        <w:br/>
      </w:r>
      <w:r w:rsidRPr="00E84D6D">
        <w:rPr>
          <w:rFonts w:cstheme="minorHAnsi"/>
          <w:b/>
          <w:bCs/>
          <w:sz w:val="24"/>
          <w:szCs w:val="24"/>
        </w:rPr>
        <w:t xml:space="preserve">3.2.1.  </w:t>
      </w:r>
      <w:r w:rsidRPr="00E84D6D">
        <w:rPr>
          <w:rFonts w:cstheme="minorHAnsi"/>
          <w:b/>
          <w:bCs/>
          <w:i/>
          <w:iCs/>
          <w:sz w:val="24"/>
          <w:szCs w:val="24"/>
        </w:rPr>
        <w:t>Thérapie génique in vivo</w:t>
      </w:r>
      <w:r w:rsidRPr="001E442B">
        <w:rPr>
          <w:rFonts w:cstheme="minorHAnsi"/>
          <w:color w:val="000000"/>
          <w:sz w:val="24"/>
          <w:szCs w:val="24"/>
        </w:rPr>
        <w:t xml:space="preserve"> </w:t>
      </w:r>
    </w:p>
    <w:p w:rsidR="00E84D6D" w:rsidRDefault="00E84D6D" w:rsidP="00E84D6D">
      <w:pPr>
        <w:spacing w:after="0"/>
        <w:jc w:val="both"/>
        <w:rPr>
          <w:rFonts w:cstheme="minorHAnsi"/>
          <w:color w:val="993300"/>
          <w:sz w:val="24"/>
          <w:szCs w:val="24"/>
        </w:rPr>
      </w:pPr>
      <w:r>
        <w:rPr>
          <w:rFonts w:cstheme="minorHAnsi"/>
          <w:color w:val="000000"/>
          <w:sz w:val="24"/>
          <w:szCs w:val="24"/>
        </w:rPr>
        <w:t>L</w:t>
      </w:r>
      <w:r w:rsidR="001E442B" w:rsidRPr="001E442B">
        <w:rPr>
          <w:rFonts w:cstheme="minorHAnsi"/>
          <w:color w:val="000000"/>
          <w:sz w:val="24"/>
          <w:szCs w:val="24"/>
        </w:rPr>
        <w:t xml:space="preserve">a thérapie génique </w:t>
      </w:r>
      <w:r w:rsidR="001E442B" w:rsidRPr="001E442B">
        <w:rPr>
          <w:rFonts w:cstheme="minorHAnsi"/>
          <w:i/>
          <w:iCs/>
          <w:color w:val="000000"/>
          <w:sz w:val="24"/>
          <w:szCs w:val="24"/>
        </w:rPr>
        <w:t xml:space="preserve">in vivo </w:t>
      </w:r>
      <w:r w:rsidR="001E442B" w:rsidRPr="001E442B">
        <w:rPr>
          <w:rFonts w:cstheme="minorHAnsi"/>
          <w:color w:val="000000"/>
          <w:sz w:val="24"/>
          <w:szCs w:val="24"/>
        </w:rPr>
        <w:t>consiste en un transfert de gènes direct, soit par injection systémique dans la circulation sanguine, soit par injection locale au niveau d’un tissu ou organe</w:t>
      </w:r>
      <w:r>
        <w:rPr>
          <w:rFonts w:cstheme="minorHAnsi"/>
          <w:color w:val="000000"/>
          <w:sz w:val="24"/>
          <w:szCs w:val="24"/>
        </w:rPr>
        <w:t xml:space="preserve"> </w:t>
      </w:r>
      <w:r w:rsidR="001E442B" w:rsidRPr="001E442B">
        <w:rPr>
          <w:rFonts w:cstheme="minorHAnsi"/>
          <w:color w:val="000000"/>
          <w:sz w:val="24"/>
          <w:szCs w:val="24"/>
        </w:rPr>
        <w:t xml:space="preserve"> comme </w:t>
      </w:r>
      <w:r>
        <w:rPr>
          <w:rFonts w:cstheme="minorHAnsi"/>
          <w:color w:val="000000"/>
          <w:sz w:val="24"/>
          <w:szCs w:val="24"/>
        </w:rPr>
        <w:t xml:space="preserve">par </w:t>
      </w:r>
      <w:r w:rsidR="001E442B" w:rsidRPr="001E442B">
        <w:rPr>
          <w:rFonts w:cstheme="minorHAnsi"/>
          <w:color w:val="000000"/>
          <w:sz w:val="24"/>
          <w:szCs w:val="24"/>
        </w:rPr>
        <w:t xml:space="preserve">exemple le transfert de gènes direct par injection au niveau de la rétine, </w:t>
      </w:r>
      <w:r>
        <w:rPr>
          <w:rFonts w:cstheme="minorHAnsi"/>
          <w:color w:val="000000"/>
          <w:sz w:val="24"/>
          <w:szCs w:val="24"/>
        </w:rPr>
        <w:t>(</w:t>
      </w:r>
      <w:r w:rsidR="001E442B" w:rsidRPr="001E442B">
        <w:rPr>
          <w:rFonts w:cstheme="minorHAnsi"/>
          <w:color w:val="000000"/>
          <w:sz w:val="24"/>
          <w:szCs w:val="24"/>
        </w:rPr>
        <w:t>maladies génétiques affectant la vision</w:t>
      </w:r>
      <w:r>
        <w:rPr>
          <w:rFonts w:cstheme="minorHAnsi"/>
          <w:color w:val="000000"/>
          <w:sz w:val="24"/>
          <w:szCs w:val="24"/>
        </w:rPr>
        <w:t>) ou au niveau des muscles (</w:t>
      </w:r>
      <w:r w:rsidR="001E442B" w:rsidRPr="001E442B">
        <w:rPr>
          <w:rFonts w:cstheme="minorHAnsi"/>
          <w:color w:val="000000"/>
          <w:sz w:val="24"/>
          <w:szCs w:val="24"/>
        </w:rPr>
        <w:t>dystrophies musculaires d’origine génétique</w:t>
      </w:r>
      <w:r>
        <w:rPr>
          <w:rFonts w:cstheme="minorHAnsi"/>
          <w:color w:val="000000"/>
          <w:sz w:val="24"/>
          <w:szCs w:val="24"/>
        </w:rPr>
        <w:t>).</w:t>
      </w:r>
      <w:r w:rsidR="001E442B" w:rsidRPr="001E442B">
        <w:rPr>
          <w:rFonts w:cstheme="minorHAnsi"/>
          <w:color w:val="000000"/>
          <w:sz w:val="24"/>
          <w:szCs w:val="24"/>
        </w:rPr>
        <w:t xml:space="preserve"> -</w:t>
      </w:r>
      <w:r w:rsidR="001E442B" w:rsidRPr="001E442B">
        <w:rPr>
          <w:rFonts w:cstheme="minorHAnsi"/>
          <w:color w:val="000000"/>
          <w:sz w:val="24"/>
          <w:szCs w:val="24"/>
        </w:rPr>
        <w:br/>
      </w:r>
    </w:p>
    <w:p w:rsidR="00E84D6D" w:rsidRDefault="00E84D6D" w:rsidP="00E84D6D">
      <w:pPr>
        <w:spacing w:after="0"/>
        <w:jc w:val="both"/>
        <w:rPr>
          <w:rFonts w:cstheme="minorHAnsi"/>
          <w:color w:val="000000"/>
          <w:sz w:val="24"/>
          <w:szCs w:val="24"/>
        </w:rPr>
      </w:pPr>
      <w:r w:rsidRPr="00E84D6D">
        <w:rPr>
          <w:rFonts w:cstheme="minorHAnsi"/>
          <w:b/>
          <w:bCs/>
          <w:sz w:val="24"/>
          <w:szCs w:val="24"/>
        </w:rPr>
        <w:t xml:space="preserve">3.2.2. </w:t>
      </w:r>
      <w:r w:rsidR="001E442B" w:rsidRPr="00E84D6D">
        <w:rPr>
          <w:rFonts w:cstheme="minorHAnsi"/>
          <w:b/>
          <w:bCs/>
          <w:i/>
          <w:iCs/>
          <w:sz w:val="24"/>
          <w:szCs w:val="24"/>
        </w:rPr>
        <w:t>T</w:t>
      </w:r>
      <w:r w:rsidRPr="00E84D6D">
        <w:rPr>
          <w:rFonts w:cstheme="minorHAnsi"/>
          <w:b/>
          <w:bCs/>
          <w:i/>
          <w:iCs/>
          <w:sz w:val="24"/>
          <w:szCs w:val="24"/>
        </w:rPr>
        <w:t>hérapie génique ex vivo</w:t>
      </w:r>
    </w:p>
    <w:p w:rsidR="00E84D6D" w:rsidRDefault="001E442B" w:rsidP="00E84D6D">
      <w:pPr>
        <w:spacing w:after="0"/>
        <w:jc w:val="both"/>
        <w:rPr>
          <w:rFonts w:cstheme="minorHAnsi"/>
          <w:color w:val="000000"/>
          <w:sz w:val="24"/>
          <w:szCs w:val="24"/>
        </w:rPr>
      </w:pPr>
      <w:r w:rsidRPr="001E442B">
        <w:rPr>
          <w:rFonts w:cstheme="minorHAnsi"/>
          <w:color w:val="000000"/>
          <w:sz w:val="24"/>
          <w:szCs w:val="24"/>
        </w:rPr>
        <w:t xml:space="preserve">Cette approche comporte d’abord une étape de prélèvement de cellules chez l’individu à traiter. Ces cellules seront mises en culture, et on pourra alors effectuer le transfert de gènes sur les cellules en culture. Les cellules modifiées par le transfert de gènes pourront alors être réimplantées chez l’individu. </w:t>
      </w:r>
      <w:r w:rsidRPr="001E442B">
        <w:rPr>
          <w:rFonts w:cstheme="minorHAnsi"/>
          <w:color w:val="000000"/>
          <w:sz w:val="24"/>
          <w:szCs w:val="24"/>
        </w:rPr>
        <w:br/>
      </w:r>
    </w:p>
    <w:p w:rsidR="008C60FC" w:rsidRPr="008C60FC" w:rsidRDefault="008C60FC" w:rsidP="00E84D6D">
      <w:pPr>
        <w:spacing w:after="0"/>
        <w:jc w:val="both"/>
        <w:rPr>
          <w:rFonts w:cstheme="minorHAnsi"/>
          <w:b/>
          <w:bCs/>
          <w:color w:val="000000"/>
          <w:sz w:val="24"/>
          <w:szCs w:val="24"/>
        </w:rPr>
      </w:pPr>
      <w:r w:rsidRPr="008C60FC">
        <w:rPr>
          <w:rFonts w:cstheme="minorHAnsi"/>
          <w:b/>
          <w:bCs/>
          <w:color w:val="000000"/>
          <w:sz w:val="24"/>
          <w:szCs w:val="24"/>
        </w:rPr>
        <w:t>3.2.3. Les vecteurs</w:t>
      </w:r>
    </w:p>
    <w:p w:rsidR="008C60FC" w:rsidRDefault="001E442B" w:rsidP="00E84D6D">
      <w:pPr>
        <w:spacing w:after="0"/>
        <w:jc w:val="both"/>
        <w:rPr>
          <w:rFonts w:cstheme="minorHAnsi"/>
          <w:color w:val="000000"/>
          <w:sz w:val="24"/>
          <w:szCs w:val="24"/>
        </w:rPr>
      </w:pPr>
      <w:r w:rsidRPr="001E442B">
        <w:rPr>
          <w:rFonts w:cstheme="minorHAnsi"/>
          <w:color w:val="000000"/>
          <w:sz w:val="24"/>
          <w:szCs w:val="24"/>
        </w:rPr>
        <w:t>Le transfert de gènes s’effectue grâce à un outil appelé vecteur, qui permettra de</w:t>
      </w:r>
      <w:r w:rsidRPr="001E442B">
        <w:rPr>
          <w:rFonts w:cstheme="minorHAnsi"/>
          <w:color w:val="000000"/>
          <w:sz w:val="24"/>
          <w:szCs w:val="24"/>
        </w:rPr>
        <w:br/>
        <w:t>transférer dans la cellule une séquence codante (transfert de « transgène »), ou des</w:t>
      </w:r>
      <w:r w:rsidRPr="001E442B">
        <w:rPr>
          <w:rFonts w:cstheme="minorHAnsi"/>
          <w:color w:val="000000"/>
          <w:sz w:val="24"/>
          <w:szCs w:val="24"/>
        </w:rPr>
        <w:br/>
        <w:t>séquences modifiant l’expression de certains gènes présents au niveau de la cellule.</w:t>
      </w:r>
    </w:p>
    <w:p w:rsidR="008C60FC" w:rsidRDefault="001E442B" w:rsidP="008C60FC">
      <w:pPr>
        <w:spacing w:after="0"/>
        <w:rPr>
          <w:rFonts w:cstheme="minorHAnsi"/>
          <w:color w:val="993300"/>
          <w:sz w:val="24"/>
          <w:szCs w:val="24"/>
        </w:rPr>
      </w:pPr>
      <w:r w:rsidRPr="001E442B">
        <w:rPr>
          <w:rFonts w:cstheme="minorHAnsi"/>
          <w:color w:val="000000"/>
          <w:sz w:val="24"/>
          <w:szCs w:val="24"/>
        </w:rPr>
        <w:br/>
        <w:t xml:space="preserve">On distingue les vecteurs de type viral </w:t>
      </w:r>
      <w:r w:rsidR="008C60FC">
        <w:rPr>
          <w:rFonts w:cstheme="minorHAnsi"/>
          <w:color w:val="000000"/>
          <w:sz w:val="24"/>
          <w:szCs w:val="24"/>
        </w:rPr>
        <w:t xml:space="preserve"> et les </w:t>
      </w:r>
      <w:r w:rsidRPr="001E442B">
        <w:rPr>
          <w:rFonts w:cstheme="minorHAnsi"/>
          <w:color w:val="000000"/>
          <w:sz w:val="24"/>
          <w:szCs w:val="24"/>
        </w:rPr>
        <w:t>vecteurs non-viraux</w:t>
      </w:r>
      <w:r w:rsidR="008C60FC">
        <w:rPr>
          <w:rFonts w:cstheme="minorHAnsi"/>
          <w:color w:val="000000"/>
          <w:sz w:val="24"/>
          <w:szCs w:val="24"/>
        </w:rPr>
        <w:t> :</w:t>
      </w:r>
      <w:r w:rsidRPr="001E442B">
        <w:rPr>
          <w:rFonts w:cstheme="minorHAnsi"/>
          <w:color w:val="000000"/>
          <w:sz w:val="24"/>
          <w:szCs w:val="24"/>
        </w:rPr>
        <w:br/>
      </w:r>
    </w:p>
    <w:p w:rsidR="008C60FC" w:rsidRPr="00674982" w:rsidRDefault="001E442B" w:rsidP="008C60FC">
      <w:pPr>
        <w:pStyle w:val="Paragraphedeliste"/>
        <w:numPr>
          <w:ilvl w:val="0"/>
          <w:numId w:val="17"/>
        </w:numPr>
        <w:spacing w:after="0"/>
        <w:rPr>
          <w:rFonts w:eastAsia="Times New Roman" w:cstheme="minorHAnsi"/>
          <w:b/>
          <w:bCs/>
          <w:sz w:val="24"/>
          <w:szCs w:val="24"/>
          <w:lang w:eastAsia="fr-FR"/>
        </w:rPr>
      </w:pPr>
      <w:r w:rsidRPr="00674982">
        <w:rPr>
          <w:rFonts w:cstheme="minorHAnsi"/>
          <w:b/>
          <w:bCs/>
          <w:i/>
          <w:iCs/>
          <w:sz w:val="24"/>
          <w:szCs w:val="24"/>
        </w:rPr>
        <w:t>Vecteurs viraux</w:t>
      </w:r>
    </w:p>
    <w:p w:rsidR="008C60FC" w:rsidRPr="008C60FC" w:rsidRDefault="001E442B" w:rsidP="008C60FC">
      <w:pPr>
        <w:pStyle w:val="Paragraphedeliste"/>
        <w:numPr>
          <w:ilvl w:val="0"/>
          <w:numId w:val="18"/>
        </w:numPr>
        <w:spacing w:after="0"/>
        <w:rPr>
          <w:rFonts w:eastAsia="Times New Roman" w:cstheme="minorHAnsi"/>
          <w:sz w:val="24"/>
          <w:szCs w:val="24"/>
          <w:lang w:eastAsia="fr-FR"/>
        </w:rPr>
      </w:pPr>
      <w:r w:rsidRPr="008C60FC">
        <w:rPr>
          <w:rFonts w:cstheme="minorHAnsi"/>
          <w:color w:val="000000"/>
          <w:sz w:val="24"/>
          <w:szCs w:val="24"/>
        </w:rPr>
        <w:t>Les différents types de vecteurs viraux ont été développés à partir de virus sauvages rendus non réplicatifs par modification de leur génome. Les virus sauvages naturels ont développé des systèmes très efficaces de transfert de gènes, puisque le cycle viral implique le transfert du génome viral dans le génome de la cellule hôte.</w:t>
      </w:r>
    </w:p>
    <w:p w:rsidR="008C60FC" w:rsidRPr="008C60FC" w:rsidRDefault="001E442B" w:rsidP="008C60FC">
      <w:pPr>
        <w:pStyle w:val="Paragraphedeliste"/>
        <w:numPr>
          <w:ilvl w:val="0"/>
          <w:numId w:val="18"/>
        </w:numPr>
        <w:spacing w:after="0"/>
        <w:rPr>
          <w:rFonts w:eastAsia="Times New Roman" w:cstheme="minorHAnsi"/>
          <w:sz w:val="24"/>
          <w:szCs w:val="24"/>
          <w:lang w:eastAsia="fr-FR"/>
        </w:rPr>
      </w:pPr>
      <w:r w:rsidRPr="008C60FC">
        <w:rPr>
          <w:rFonts w:cstheme="minorHAnsi"/>
          <w:color w:val="000000"/>
          <w:sz w:val="24"/>
          <w:szCs w:val="24"/>
        </w:rPr>
        <w:t xml:space="preserve"> Tous les vecteurs viraux posent néanmoins des problèmes de toxicité et/ou d’immunogénicité. </w:t>
      </w:r>
    </w:p>
    <w:p w:rsidR="008C60FC" w:rsidRPr="008C60FC" w:rsidRDefault="001E442B" w:rsidP="00CA3821">
      <w:pPr>
        <w:pStyle w:val="Paragraphedeliste"/>
        <w:numPr>
          <w:ilvl w:val="0"/>
          <w:numId w:val="18"/>
        </w:numPr>
        <w:spacing w:after="0"/>
        <w:rPr>
          <w:rFonts w:eastAsia="Times New Roman" w:cstheme="minorHAnsi"/>
          <w:sz w:val="24"/>
          <w:szCs w:val="24"/>
          <w:lang w:eastAsia="fr-FR"/>
        </w:rPr>
      </w:pPr>
      <w:r w:rsidRPr="008C60FC">
        <w:rPr>
          <w:rFonts w:cstheme="minorHAnsi"/>
          <w:color w:val="000000"/>
          <w:sz w:val="24"/>
          <w:szCs w:val="24"/>
        </w:rPr>
        <w:t>De nombreux types différents de vecteurs viraux ont été développés, chaque type ayant des avantages et inconvénients particuliers</w:t>
      </w:r>
      <w:r w:rsidR="00CA3821">
        <w:rPr>
          <w:rFonts w:cstheme="minorHAnsi"/>
          <w:color w:val="000000"/>
          <w:sz w:val="24"/>
          <w:szCs w:val="24"/>
        </w:rPr>
        <w:t> </w:t>
      </w:r>
      <w:r w:rsidR="00CA3821">
        <w:rPr>
          <w:rFonts w:eastAsia="Times New Roman" w:cstheme="minorHAnsi"/>
          <w:sz w:val="24"/>
          <w:szCs w:val="24"/>
          <w:lang w:eastAsia="fr-FR"/>
        </w:rPr>
        <w:t>:</w:t>
      </w:r>
    </w:p>
    <w:p w:rsidR="008C60FC" w:rsidRPr="008C60FC" w:rsidRDefault="001E442B" w:rsidP="008C60FC">
      <w:pPr>
        <w:spacing w:after="0"/>
        <w:ind w:left="401"/>
        <w:rPr>
          <w:rFonts w:eastAsia="Times New Roman" w:cstheme="minorHAnsi"/>
          <w:sz w:val="24"/>
          <w:szCs w:val="24"/>
          <w:lang w:eastAsia="fr-FR"/>
        </w:rPr>
      </w:pPr>
      <w:r w:rsidRPr="008C60FC">
        <w:rPr>
          <w:rFonts w:cstheme="minorHAnsi"/>
          <w:color w:val="000000"/>
          <w:sz w:val="24"/>
          <w:szCs w:val="24"/>
        </w:rPr>
        <w:t xml:space="preserve"> </w:t>
      </w:r>
    </w:p>
    <w:p w:rsidR="008C60FC" w:rsidRPr="008C60FC" w:rsidRDefault="001E442B" w:rsidP="008C60FC">
      <w:pPr>
        <w:pStyle w:val="Paragraphedeliste"/>
        <w:numPr>
          <w:ilvl w:val="0"/>
          <w:numId w:val="19"/>
        </w:numPr>
        <w:spacing w:after="0"/>
        <w:rPr>
          <w:rFonts w:eastAsia="Times New Roman" w:cstheme="minorHAnsi"/>
          <w:sz w:val="24"/>
          <w:szCs w:val="24"/>
          <w:lang w:eastAsia="fr-FR"/>
        </w:rPr>
      </w:pPr>
      <w:r w:rsidRPr="008C60FC">
        <w:rPr>
          <w:rFonts w:cstheme="minorHAnsi"/>
          <w:color w:val="000000"/>
          <w:sz w:val="24"/>
          <w:szCs w:val="24"/>
        </w:rPr>
        <w:t>la spécificité</w:t>
      </w:r>
      <w:r w:rsidR="008C60FC" w:rsidRPr="008C60FC">
        <w:rPr>
          <w:rFonts w:eastAsia="Times New Roman" w:cstheme="minorHAnsi"/>
          <w:sz w:val="24"/>
          <w:szCs w:val="24"/>
          <w:lang w:eastAsia="fr-FR"/>
        </w:rPr>
        <w:t xml:space="preserve"> </w:t>
      </w:r>
      <w:r w:rsidRPr="008C60FC">
        <w:rPr>
          <w:rFonts w:cstheme="minorHAnsi"/>
          <w:color w:val="000000"/>
          <w:sz w:val="24"/>
          <w:szCs w:val="24"/>
        </w:rPr>
        <w:t xml:space="preserve"> du vecteur pour le transfert de gène dans un type cellulaire donné ; </w:t>
      </w:r>
    </w:p>
    <w:p w:rsidR="008C60FC" w:rsidRPr="008C60FC" w:rsidRDefault="001E442B" w:rsidP="008C60FC">
      <w:pPr>
        <w:pStyle w:val="Paragraphedeliste"/>
        <w:numPr>
          <w:ilvl w:val="0"/>
          <w:numId w:val="19"/>
        </w:numPr>
        <w:spacing w:after="0"/>
        <w:rPr>
          <w:rFonts w:eastAsia="Times New Roman" w:cstheme="minorHAnsi"/>
          <w:sz w:val="24"/>
          <w:szCs w:val="24"/>
          <w:lang w:eastAsia="fr-FR"/>
        </w:rPr>
      </w:pPr>
      <w:r w:rsidRPr="008C60FC">
        <w:rPr>
          <w:rFonts w:cstheme="minorHAnsi"/>
          <w:color w:val="000000"/>
          <w:sz w:val="24"/>
          <w:szCs w:val="24"/>
        </w:rPr>
        <w:t xml:space="preserve">la taille plus ou moins grande de la séquence pouvant être transférée ; </w:t>
      </w:r>
    </w:p>
    <w:p w:rsidR="008C60FC" w:rsidRPr="008C60FC" w:rsidRDefault="001E442B" w:rsidP="008C60FC">
      <w:pPr>
        <w:pStyle w:val="Paragraphedeliste"/>
        <w:numPr>
          <w:ilvl w:val="0"/>
          <w:numId w:val="19"/>
        </w:numPr>
        <w:spacing w:after="0"/>
        <w:rPr>
          <w:rFonts w:eastAsia="Times New Roman" w:cstheme="minorHAnsi"/>
          <w:sz w:val="24"/>
          <w:szCs w:val="24"/>
          <w:lang w:eastAsia="fr-FR"/>
        </w:rPr>
      </w:pPr>
      <w:r w:rsidRPr="008C60FC">
        <w:rPr>
          <w:rFonts w:cstheme="minorHAnsi"/>
          <w:color w:val="000000"/>
          <w:sz w:val="24"/>
          <w:szCs w:val="24"/>
        </w:rPr>
        <w:t>la stabilité ou non du transfert de gène en fonction de l’intégration du vecteur dans le génome de la cellule hôte</w:t>
      </w:r>
      <w:r w:rsidR="008C60FC">
        <w:rPr>
          <w:rFonts w:cstheme="minorHAnsi"/>
          <w:color w:val="000000"/>
          <w:sz w:val="24"/>
          <w:szCs w:val="24"/>
        </w:rPr>
        <w:t> </w:t>
      </w:r>
      <w:r w:rsidR="008C60FC">
        <w:rPr>
          <w:rFonts w:eastAsia="Times New Roman" w:cstheme="minorHAnsi"/>
          <w:sz w:val="24"/>
          <w:szCs w:val="24"/>
          <w:lang w:eastAsia="fr-FR"/>
        </w:rPr>
        <w:t>;</w:t>
      </w:r>
    </w:p>
    <w:p w:rsidR="008C60FC" w:rsidRPr="008C60FC" w:rsidRDefault="001E442B" w:rsidP="008C60FC">
      <w:pPr>
        <w:pStyle w:val="Paragraphedeliste"/>
        <w:numPr>
          <w:ilvl w:val="0"/>
          <w:numId w:val="19"/>
        </w:numPr>
        <w:spacing w:after="0"/>
        <w:rPr>
          <w:rFonts w:eastAsia="Times New Roman" w:cstheme="minorHAnsi"/>
          <w:sz w:val="24"/>
          <w:szCs w:val="24"/>
          <w:lang w:eastAsia="fr-FR"/>
        </w:rPr>
      </w:pPr>
      <w:r w:rsidRPr="008C60FC">
        <w:rPr>
          <w:rFonts w:cstheme="minorHAnsi"/>
          <w:color w:val="000000"/>
          <w:sz w:val="24"/>
          <w:szCs w:val="24"/>
        </w:rPr>
        <w:t>la perte du vecteur au cours de la réplication cellulaire ;</w:t>
      </w:r>
    </w:p>
    <w:p w:rsidR="008C60FC" w:rsidRPr="008C60FC" w:rsidRDefault="001E442B" w:rsidP="008C60FC">
      <w:pPr>
        <w:pStyle w:val="Paragraphedeliste"/>
        <w:numPr>
          <w:ilvl w:val="0"/>
          <w:numId w:val="19"/>
        </w:numPr>
        <w:spacing w:after="0"/>
        <w:rPr>
          <w:rFonts w:eastAsia="Times New Roman" w:cstheme="minorHAnsi"/>
          <w:sz w:val="24"/>
          <w:szCs w:val="24"/>
          <w:lang w:eastAsia="fr-FR"/>
        </w:rPr>
      </w:pPr>
      <w:r w:rsidRPr="008C60FC">
        <w:rPr>
          <w:rFonts w:cstheme="minorHAnsi"/>
          <w:color w:val="000000"/>
          <w:sz w:val="24"/>
          <w:szCs w:val="24"/>
        </w:rPr>
        <w:t>la toxicité spécifique du type de vecteur.</w:t>
      </w:r>
    </w:p>
    <w:p w:rsidR="00674982" w:rsidRDefault="001E442B" w:rsidP="00674982">
      <w:pPr>
        <w:spacing w:after="0"/>
        <w:ind w:left="401"/>
        <w:rPr>
          <w:rFonts w:cstheme="minorHAnsi"/>
          <w:color w:val="000000"/>
          <w:sz w:val="24"/>
          <w:szCs w:val="24"/>
        </w:rPr>
      </w:pPr>
      <w:r w:rsidRPr="008C60FC">
        <w:rPr>
          <w:rFonts w:cstheme="minorHAnsi"/>
          <w:color w:val="000000"/>
          <w:sz w:val="24"/>
          <w:szCs w:val="24"/>
        </w:rPr>
        <w:t xml:space="preserve"> A ce jour, les plus fréquemment utilisés sont les vecteurs rétroviraux, les vecteurs lentiviraux, les vecteurs adénoviraux et les vecteurs adénoassociés.</w:t>
      </w:r>
    </w:p>
    <w:p w:rsidR="00674982" w:rsidRPr="00CA3821" w:rsidRDefault="001E442B" w:rsidP="00253050">
      <w:pPr>
        <w:spacing w:after="0"/>
        <w:ind w:left="401"/>
        <w:rPr>
          <w:rFonts w:eastAsia="Times New Roman" w:cstheme="minorHAnsi"/>
          <w:b/>
          <w:bCs/>
          <w:sz w:val="24"/>
          <w:szCs w:val="24"/>
          <w:lang w:eastAsia="fr-FR"/>
        </w:rPr>
      </w:pPr>
      <w:r w:rsidRPr="008C60FC">
        <w:rPr>
          <w:rFonts w:cstheme="minorHAnsi"/>
          <w:color w:val="000000"/>
          <w:sz w:val="24"/>
          <w:szCs w:val="24"/>
        </w:rPr>
        <w:br/>
      </w:r>
      <w:r w:rsidR="00674982" w:rsidRPr="00CA3821">
        <w:rPr>
          <w:rFonts w:cstheme="minorHAnsi"/>
          <w:b/>
          <w:bCs/>
          <w:i/>
          <w:iCs/>
          <w:sz w:val="24"/>
          <w:szCs w:val="24"/>
        </w:rPr>
        <w:t>V</w:t>
      </w:r>
      <w:r w:rsidRPr="00CA3821">
        <w:rPr>
          <w:rFonts w:cstheme="minorHAnsi"/>
          <w:b/>
          <w:bCs/>
          <w:i/>
          <w:iCs/>
          <w:sz w:val="24"/>
          <w:szCs w:val="24"/>
        </w:rPr>
        <w:t>ecteurs non-viraux</w:t>
      </w:r>
    </w:p>
    <w:p w:rsidR="00674982" w:rsidRDefault="00674982" w:rsidP="00674982">
      <w:pPr>
        <w:spacing w:after="0"/>
        <w:jc w:val="both"/>
        <w:rPr>
          <w:rFonts w:cstheme="minorHAnsi"/>
          <w:color w:val="000000"/>
          <w:sz w:val="24"/>
          <w:szCs w:val="24"/>
        </w:rPr>
      </w:pPr>
      <w:r>
        <w:rPr>
          <w:rFonts w:cstheme="minorHAnsi"/>
          <w:color w:val="000000"/>
          <w:sz w:val="24"/>
          <w:szCs w:val="24"/>
        </w:rPr>
        <w:t xml:space="preserve">Il s’agit du </w:t>
      </w:r>
      <w:r w:rsidR="001E442B" w:rsidRPr="00674982">
        <w:rPr>
          <w:rFonts w:cstheme="minorHAnsi"/>
          <w:color w:val="000000"/>
          <w:sz w:val="24"/>
          <w:szCs w:val="24"/>
        </w:rPr>
        <w:t>transfert d’acides nucléiques</w:t>
      </w:r>
      <w:r>
        <w:rPr>
          <w:rFonts w:cstheme="minorHAnsi"/>
          <w:color w:val="000000"/>
          <w:sz w:val="24"/>
          <w:szCs w:val="24"/>
        </w:rPr>
        <w:t xml:space="preserve"> </w:t>
      </w:r>
      <w:r w:rsidR="001E442B" w:rsidRPr="00674982">
        <w:rPr>
          <w:rFonts w:cstheme="minorHAnsi"/>
          <w:color w:val="000000"/>
          <w:sz w:val="24"/>
          <w:szCs w:val="24"/>
        </w:rPr>
        <w:t xml:space="preserve"> associés à des composés chimiques lipidiques ou peptidiques</w:t>
      </w:r>
      <w:r w:rsidR="00253050">
        <w:rPr>
          <w:rFonts w:cstheme="minorHAnsi"/>
          <w:color w:val="000000"/>
          <w:sz w:val="24"/>
          <w:szCs w:val="24"/>
        </w:rPr>
        <w:t xml:space="preserve"> </w:t>
      </w:r>
      <w:r w:rsidR="001E442B" w:rsidRPr="00674982">
        <w:rPr>
          <w:rFonts w:cstheme="minorHAnsi"/>
          <w:color w:val="000000"/>
          <w:sz w:val="24"/>
          <w:szCs w:val="24"/>
        </w:rPr>
        <w:t xml:space="preserve">dans le but de stabiliser les acides nucléiques et de faciliter le passage membranaire et le cheminement vers le noyau des cellules cibles. </w:t>
      </w:r>
    </w:p>
    <w:p w:rsidR="00674982" w:rsidRDefault="001E442B" w:rsidP="00674982">
      <w:pPr>
        <w:spacing w:after="0"/>
        <w:jc w:val="both"/>
        <w:rPr>
          <w:rFonts w:cstheme="minorHAnsi"/>
          <w:color w:val="000000"/>
          <w:sz w:val="24"/>
          <w:szCs w:val="24"/>
        </w:rPr>
      </w:pPr>
      <w:r w:rsidRPr="00674982">
        <w:rPr>
          <w:rFonts w:cstheme="minorHAnsi"/>
          <w:color w:val="000000"/>
          <w:sz w:val="24"/>
          <w:szCs w:val="24"/>
        </w:rPr>
        <w:t xml:space="preserve">Ces acides nucléiques, associés à des composés chimiques, pourront être délivrés dans l’organisme soit </w:t>
      </w:r>
      <w:r w:rsidR="00674982">
        <w:rPr>
          <w:rFonts w:cstheme="minorHAnsi"/>
          <w:color w:val="000000"/>
          <w:sz w:val="24"/>
          <w:szCs w:val="24"/>
        </w:rPr>
        <w:t xml:space="preserve"> d</w:t>
      </w:r>
      <w:r w:rsidRPr="00674982">
        <w:rPr>
          <w:rFonts w:cstheme="minorHAnsi"/>
          <w:color w:val="000000"/>
          <w:sz w:val="24"/>
          <w:szCs w:val="24"/>
        </w:rPr>
        <w:t xml:space="preserve">irectement par injection (locale ou systémiques), soit couplé à l’utilisation de procédés physiques comme l’électroporation ou l’utilisation de champs magnétiques. </w:t>
      </w:r>
    </w:p>
    <w:p w:rsidR="007A2B47" w:rsidRDefault="001E442B" w:rsidP="00674982">
      <w:pPr>
        <w:spacing w:after="0"/>
        <w:jc w:val="both"/>
        <w:rPr>
          <w:rFonts w:cstheme="minorHAnsi"/>
          <w:color w:val="000000"/>
          <w:sz w:val="24"/>
          <w:szCs w:val="24"/>
        </w:rPr>
      </w:pPr>
      <w:r w:rsidRPr="00674982">
        <w:rPr>
          <w:rFonts w:cstheme="minorHAnsi"/>
          <w:color w:val="000000"/>
          <w:sz w:val="24"/>
          <w:szCs w:val="24"/>
        </w:rPr>
        <w:t>Les méthodes de transfert génique non viral présentent un risque de toxicité réduit, mais aussi une efficacité inférieure par comparaison à un transfert viral.</w:t>
      </w:r>
    </w:p>
    <w:p w:rsidR="001E442B" w:rsidRPr="00674982" w:rsidRDefault="001E442B" w:rsidP="00674982">
      <w:pPr>
        <w:spacing w:after="0"/>
        <w:jc w:val="both"/>
        <w:rPr>
          <w:rFonts w:eastAsia="Times New Roman" w:cstheme="minorHAnsi"/>
          <w:sz w:val="24"/>
          <w:szCs w:val="24"/>
          <w:lang w:eastAsia="fr-FR"/>
        </w:rPr>
      </w:pPr>
      <w:r w:rsidRPr="00674982">
        <w:rPr>
          <w:rFonts w:cstheme="minorHAnsi"/>
          <w:color w:val="000000"/>
          <w:sz w:val="24"/>
          <w:szCs w:val="24"/>
        </w:rPr>
        <w:br/>
      </w:r>
    </w:p>
    <w:p w:rsidR="00101B5C" w:rsidRPr="001E442B" w:rsidRDefault="00F52C04" w:rsidP="00F86465">
      <w:pPr>
        <w:spacing w:after="0"/>
        <w:jc w:val="both"/>
        <w:rPr>
          <w:rFonts w:eastAsia="Times New Roman" w:cstheme="minorHAnsi"/>
          <w:sz w:val="24"/>
          <w:szCs w:val="24"/>
          <w:lang w:eastAsia="fr-FR"/>
        </w:rPr>
      </w:pPr>
      <w:r w:rsidRPr="00F52C04">
        <w:rPr>
          <w:rFonts w:cstheme="minorHAnsi"/>
          <w:noProof/>
          <w:sz w:val="24"/>
          <w:szCs w:val="24"/>
          <w:lang w:eastAsia="fr-FR"/>
        </w:rPr>
        <w:pict>
          <v:shape id="_x0000_s1026" type="#_x0000_t202" style="position:absolute;left:0;text-align:left;margin-left:12.3pt;margin-top:18.55pt;width:450.65pt;height:42.2pt;z-index:251658240" strokecolor="white [3212]">
            <v:textbox style="mso-next-textbox:#_x0000_s1026">
              <w:txbxContent>
                <w:p w:rsidR="00D54699" w:rsidRDefault="00D54699"/>
              </w:txbxContent>
            </v:textbox>
          </v:shape>
        </w:pict>
      </w:r>
      <w:r w:rsidR="00101B5C" w:rsidRPr="001E442B">
        <w:rPr>
          <w:rFonts w:cstheme="minorHAnsi"/>
          <w:noProof/>
          <w:sz w:val="24"/>
          <w:szCs w:val="24"/>
          <w:lang w:eastAsia="fr-FR"/>
        </w:rPr>
        <w:drawing>
          <wp:inline distT="0" distB="0" distL="0" distR="0">
            <wp:extent cx="5756108" cy="4066673"/>
            <wp:effectExtent l="19050" t="0" r="0" b="0"/>
            <wp:docPr id="2" name="Image 17" descr="C:\Users\dell\Desktop\Thérapie+génique+somatique+exvivo+utilisant+des+virus+modifiés+comme+vec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esktop\Thérapie+génique+somatique+exvivo+utilisant+des+virus+modifiés+comme+vecteur.jpg"/>
                    <pic:cNvPicPr>
                      <a:picLocks noChangeAspect="1" noChangeArrowheads="1"/>
                    </pic:cNvPicPr>
                  </pic:nvPicPr>
                  <pic:blipFill>
                    <a:blip r:embed="rId11" cstate="print"/>
                    <a:srcRect/>
                    <a:stretch>
                      <a:fillRect/>
                    </a:stretch>
                  </pic:blipFill>
                  <pic:spPr bwMode="auto">
                    <a:xfrm>
                      <a:off x="0" y="0"/>
                      <a:ext cx="5760720" cy="4069931"/>
                    </a:xfrm>
                    <a:prstGeom prst="rect">
                      <a:avLst/>
                    </a:prstGeom>
                    <a:noFill/>
                    <a:ln w="9525">
                      <a:noFill/>
                      <a:miter lim="800000"/>
                      <a:headEnd/>
                      <a:tailEnd/>
                    </a:ln>
                  </pic:spPr>
                </pic:pic>
              </a:graphicData>
            </a:graphic>
          </wp:inline>
        </w:drawing>
      </w:r>
    </w:p>
    <w:p w:rsidR="00364F46" w:rsidRPr="001E442B" w:rsidRDefault="00364F46" w:rsidP="001E442B">
      <w:pPr>
        <w:spacing w:after="0"/>
        <w:jc w:val="both"/>
        <w:outlineLvl w:val="1"/>
        <w:rPr>
          <w:rFonts w:eastAsia="Times New Roman" w:cstheme="minorHAnsi"/>
          <w:b/>
          <w:bCs/>
          <w:sz w:val="24"/>
          <w:szCs w:val="24"/>
          <w:lang w:eastAsia="fr-FR"/>
        </w:rPr>
      </w:pPr>
      <w:r w:rsidRPr="001E442B">
        <w:rPr>
          <w:rFonts w:eastAsia="Times New Roman" w:cstheme="minorHAnsi"/>
          <w:b/>
          <w:bCs/>
          <w:sz w:val="24"/>
          <w:szCs w:val="24"/>
          <w:lang w:eastAsia="fr-FR"/>
        </w:rPr>
        <w:t xml:space="preserve">                                               Figure 3. </w:t>
      </w:r>
      <w:r w:rsidR="001E442B" w:rsidRPr="001E442B">
        <w:rPr>
          <w:rFonts w:eastAsia="Times New Roman" w:cstheme="minorHAnsi"/>
          <w:b/>
          <w:bCs/>
          <w:sz w:val="24"/>
          <w:szCs w:val="24"/>
          <w:lang w:eastAsia="fr-FR"/>
        </w:rPr>
        <w:t>Principe de l</w:t>
      </w:r>
      <w:r w:rsidRPr="001E442B">
        <w:rPr>
          <w:rFonts w:eastAsia="Times New Roman" w:cstheme="minorHAnsi"/>
          <w:b/>
          <w:bCs/>
          <w:sz w:val="24"/>
          <w:szCs w:val="24"/>
          <w:lang w:eastAsia="fr-FR"/>
        </w:rPr>
        <w:t xml:space="preserve">a thérapie </w:t>
      </w:r>
      <w:r w:rsidR="006A75A1" w:rsidRPr="001E442B">
        <w:rPr>
          <w:rFonts w:eastAsia="Times New Roman" w:cstheme="minorHAnsi"/>
          <w:b/>
          <w:bCs/>
          <w:sz w:val="24"/>
          <w:szCs w:val="24"/>
          <w:lang w:eastAsia="fr-FR"/>
        </w:rPr>
        <w:t>génique</w:t>
      </w:r>
    </w:p>
    <w:p w:rsidR="00BC2EE2" w:rsidRDefault="00BC2EE2" w:rsidP="00BC2EE2">
      <w:pPr>
        <w:spacing w:after="0"/>
        <w:jc w:val="both"/>
        <w:outlineLvl w:val="1"/>
        <w:rPr>
          <w:rFonts w:eastAsia="Times New Roman" w:cstheme="minorHAnsi"/>
          <w:b/>
          <w:bCs/>
          <w:sz w:val="24"/>
          <w:szCs w:val="24"/>
          <w:lang w:eastAsia="fr-FR"/>
        </w:rPr>
      </w:pPr>
    </w:p>
    <w:p w:rsidR="00D205AA" w:rsidRDefault="00674982" w:rsidP="00BC2EE2">
      <w:pPr>
        <w:spacing w:after="0"/>
        <w:jc w:val="both"/>
        <w:outlineLvl w:val="1"/>
        <w:rPr>
          <w:rFonts w:eastAsia="Times New Roman" w:cstheme="minorHAnsi"/>
          <w:b/>
          <w:bCs/>
          <w:sz w:val="24"/>
          <w:szCs w:val="24"/>
          <w:lang w:eastAsia="fr-FR"/>
        </w:rPr>
      </w:pPr>
      <w:r>
        <w:rPr>
          <w:rFonts w:eastAsia="Times New Roman" w:cstheme="minorHAnsi"/>
          <w:b/>
          <w:bCs/>
          <w:sz w:val="24"/>
          <w:szCs w:val="24"/>
          <w:lang w:eastAsia="fr-FR"/>
        </w:rPr>
        <w:t>4. Application</w:t>
      </w:r>
      <w:r w:rsidR="00D205AA">
        <w:rPr>
          <w:rFonts w:eastAsia="Times New Roman" w:cstheme="minorHAnsi"/>
          <w:b/>
          <w:bCs/>
          <w:sz w:val="24"/>
          <w:szCs w:val="24"/>
          <w:lang w:eastAsia="fr-FR"/>
        </w:rPr>
        <w:t>s</w:t>
      </w:r>
    </w:p>
    <w:p w:rsidR="00D205AA" w:rsidRPr="00D205AA" w:rsidRDefault="00D205AA" w:rsidP="00D205AA">
      <w:pPr>
        <w:spacing w:after="0"/>
        <w:jc w:val="both"/>
        <w:outlineLvl w:val="1"/>
        <w:rPr>
          <w:rFonts w:eastAsia="Times New Roman" w:cstheme="minorHAnsi"/>
          <w:b/>
          <w:bCs/>
          <w:i/>
          <w:iCs/>
          <w:sz w:val="24"/>
          <w:szCs w:val="24"/>
          <w:lang w:eastAsia="fr-FR"/>
        </w:rPr>
      </w:pPr>
      <w:r w:rsidRPr="00D205AA">
        <w:rPr>
          <w:rFonts w:eastAsia="Times New Roman" w:cstheme="minorHAnsi"/>
          <w:b/>
          <w:bCs/>
          <w:i/>
          <w:iCs/>
          <w:sz w:val="24"/>
          <w:szCs w:val="24"/>
          <w:lang w:eastAsia="fr-FR"/>
        </w:rPr>
        <w:t>4.1. Application de la thérapie cellulaire</w:t>
      </w:r>
    </w:p>
    <w:p w:rsidR="00F11EE6" w:rsidRPr="00A7022B" w:rsidRDefault="00F11EE6" w:rsidP="00D205AA">
      <w:pPr>
        <w:spacing w:after="0"/>
        <w:jc w:val="both"/>
        <w:outlineLvl w:val="1"/>
        <w:rPr>
          <w:rFonts w:eastAsia="Times New Roman" w:cstheme="minorHAnsi"/>
          <w:sz w:val="24"/>
          <w:szCs w:val="24"/>
          <w:lang w:eastAsia="fr-FR"/>
        </w:rPr>
      </w:pPr>
      <w:r w:rsidRPr="00D205AA">
        <w:rPr>
          <w:rFonts w:eastAsia="Times New Roman" w:cstheme="minorHAnsi"/>
          <w:sz w:val="24"/>
          <w:szCs w:val="24"/>
          <w:lang w:eastAsia="fr-FR"/>
        </w:rPr>
        <w:t xml:space="preserve">La thérapie cellulaire  est déjà mise en pratique depuis les années 70 avec la greffe de moelle osseuse, nécessaire dans certaines maladies graves du sang comme la leucémie, certains lymphomes non hodgkiniens, l’anémie aplasique, la thalassémie, la drépanocytose notamment. Cette greffe concerne les cellules souches dites hématopoïétiques (CSH). </w:t>
      </w:r>
    </w:p>
    <w:p w:rsidR="00F11EE6" w:rsidRDefault="00F11EE6" w:rsidP="00F11EE6">
      <w:pPr>
        <w:spacing w:before="100" w:beforeAutospacing="1" w:after="100" w:afterAutospacing="1"/>
        <w:jc w:val="both"/>
        <w:rPr>
          <w:rFonts w:eastAsia="Times New Roman" w:cstheme="minorHAnsi"/>
          <w:sz w:val="24"/>
          <w:szCs w:val="24"/>
          <w:lang w:eastAsia="fr-FR"/>
        </w:rPr>
      </w:pPr>
      <w:r w:rsidRPr="00A7022B">
        <w:rPr>
          <w:rFonts w:eastAsia="Times New Roman" w:cstheme="minorHAnsi"/>
          <w:sz w:val="24"/>
          <w:szCs w:val="24"/>
          <w:lang w:eastAsia="fr-FR"/>
        </w:rPr>
        <w:t>Dans les deux cas, les cellules souches sont ensuite transfusées au patient par perfusion. Après quelques semaines, la moelle osseuse produit à nouveau suffisamment de cellules sanguines.</w:t>
      </w:r>
    </w:p>
    <w:p w:rsidR="00D205AA" w:rsidRPr="00A7022B" w:rsidRDefault="00D205AA" w:rsidP="00F11EE6">
      <w:pPr>
        <w:spacing w:before="100" w:beforeAutospacing="1" w:after="100" w:afterAutospacing="1"/>
        <w:jc w:val="both"/>
        <w:rPr>
          <w:rFonts w:eastAsia="Times New Roman" w:cstheme="minorHAnsi"/>
          <w:sz w:val="24"/>
          <w:szCs w:val="24"/>
          <w:lang w:eastAsia="fr-FR"/>
        </w:rPr>
      </w:pPr>
      <w:r w:rsidRPr="00D205AA">
        <w:rPr>
          <w:rFonts w:eastAsia="Times New Roman" w:cstheme="minorHAnsi"/>
          <w:sz w:val="24"/>
          <w:szCs w:val="24"/>
          <w:lang w:eastAsia="fr-FR"/>
        </w:rPr>
        <w:t xml:space="preserve">La thérapie cellulaire  </w:t>
      </w:r>
      <w:r>
        <w:rPr>
          <w:rFonts w:eastAsia="Times New Roman" w:cstheme="minorHAnsi"/>
          <w:sz w:val="24"/>
          <w:szCs w:val="24"/>
          <w:lang w:eastAsia="fr-FR"/>
        </w:rPr>
        <w:t>est appliquée dans d’autres domaines :</w:t>
      </w:r>
    </w:p>
    <w:p w:rsidR="00F11EE6" w:rsidRPr="00EF1199" w:rsidRDefault="00F11EE6" w:rsidP="00D205AA">
      <w:pPr>
        <w:pStyle w:val="Paragraphedeliste"/>
        <w:numPr>
          <w:ilvl w:val="0"/>
          <w:numId w:val="16"/>
        </w:num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La greffe de cellules souches cutanées</w:t>
      </w:r>
      <w:r w:rsidR="00D205AA">
        <w:rPr>
          <w:rFonts w:eastAsia="Times New Roman" w:cstheme="minorHAnsi"/>
          <w:sz w:val="24"/>
          <w:szCs w:val="24"/>
          <w:lang w:eastAsia="fr-FR"/>
        </w:rPr>
        <w:t>,</w:t>
      </w:r>
      <w:r w:rsidRPr="00EF1199">
        <w:rPr>
          <w:rFonts w:eastAsia="Times New Roman" w:cstheme="minorHAnsi"/>
          <w:sz w:val="24"/>
          <w:szCs w:val="24"/>
          <w:lang w:eastAsia="fr-FR"/>
        </w:rPr>
        <w:t xml:space="preserve"> pratiquée depuis les années 80 pour reconstituer l’épiderme chez les grands brûlés.</w:t>
      </w:r>
    </w:p>
    <w:p w:rsidR="00F11EE6" w:rsidRPr="00EF1199" w:rsidRDefault="00D205AA" w:rsidP="00D205AA">
      <w:pPr>
        <w:pStyle w:val="Paragraphedeliste"/>
        <w:numPr>
          <w:ilvl w:val="0"/>
          <w:numId w:val="16"/>
        </w:numPr>
        <w:spacing w:before="100" w:beforeAutospacing="1" w:after="100" w:afterAutospacing="1"/>
        <w:jc w:val="both"/>
        <w:rPr>
          <w:rFonts w:eastAsia="Times New Roman" w:cstheme="minorHAnsi"/>
          <w:sz w:val="24"/>
          <w:szCs w:val="24"/>
          <w:lang w:eastAsia="fr-FR"/>
        </w:rPr>
      </w:pPr>
      <w:r>
        <w:rPr>
          <w:rFonts w:eastAsia="Times New Roman" w:cstheme="minorHAnsi"/>
          <w:sz w:val="24"/>
          <w:szCs w:val="24"/>
          <w:lang w:eastAsia="fr-FR"/>
        </w:rPr>
        <w:t>L’utilisation d</w:t>
      </w:r>
      <w:r w:rsidR="00F11EE6" w:rsidRPr="00EF1199">
        <w:rPr>
          <w:rFonts w:eastAsia="Times New Roman" w:cstheme="minorHAnsi"/>
          <w:sz w:val="24"/>
          <w:szCs w:val="24"/>
          <w:lang w:eastAsia="fr-FR"/>
        </w:rPr>
        <w:t>es cellules souches de l'œil pour réparer certaines lésions de la cornée.</w:t>
      </w:r>
    </w:p>
    <w:p w:rsidR="00F11EE6" w:rsidRDefault="00D205AA" w:rsidP="00D205AA">
      <w:pPr>
        <w:pStyle w:val="Paragraphedeliste"/>
        <w:numPr>
          <w:ilvl w:val="0"/>
          <w:numId w:val="16"/>
        </w:numPr>
        <w:spacing w:before="100" w:beforeAutospacing="1" w:after="100" w:afterAutospacing="1"/>
        <w:jc w:val="both"/>
        <w:rPr>
          <w:rFonts w:eastAsia="Times New Roman" w:cstheme="minorHAnsi"/>
          <w:sz w:val="24"/>
          <w:szCs w:val="24"/>
          <w:lang w:eastAsia="fr-FR"/>
        </w:rPr>
      </w:pPr>
      <w:r>
        <w:rPr>
          <w:rFonts w:eastAsia="Times New Roman" w:cstheme="minorHAnsi"/>
          <w:sz w:val="24"/>
          <w:szCs w:val="24"/>
          <w:lang w:eastAsia="fr-FR"/>
        </w:rPr>
        <w:t>L’utilisation d</w:t>
      </w:r>
      <w:r w:rsidRPr="00EF1199">
        <w:rPr>
          <w:rFonts w:eastAsia="Times New Roman" w:cstheme="minorHAnsi"/>
          <w:sz w:val="24"/>
          <w:szCs w:val="24"/>
          <w:lang w:eastAsia="fr-FR"/>
        </w:rPr>
        <w:t xml:space="preserve">es cellules souches </w:t>
      </w:r>
      <w:r>
        <w:rPr>
          <w:rFonts w:eastAsia="Times New Roman" w:cstheme="minorHAnsi"/>
          <w:sz w:val="24"/>
          <w:szCs w:val="24"/>
          <w:lang w:eastAsia="fr-FR"/>
        </w:rPr>
        <w:t xml:space="preserve">pour </w:t>
      </w:r>
      <w:r w:rsidR="00F11EE6" w:rsidRPr="00226CAC">
        <w:rPr>
          <w:rFonts w:eastAsia="Times New Roman" w:cstheme="minorHAnsi"/>
          <w:sz w:val="24"/>
          <w:szCs w:val="24"/>
          <w:lang w:eastAsia="fr-FR"/>
        </w:rPr>
        <w:t>régénérer ou réparer certains tissus, comme le cartilage par exemple</w:t>
      </w:r>
      <w:r>
        <w:rPr>
          <w:rFonts w:eastAsia="Times New Roman" w:cstheme="minorHAnsi"/>
          <w:sz w:val="24"/>
          <w:szCs w:val="24"/>
          <w:lang w:eastAsia="fr-FR"/>
        </w:rPr>
        <w:t>.</w:t>
      </w:r>
    </w:p>
    <w:p w:rsidR="00F11EE6" w:rsidRPr="00226CAC" w:rsidRDefault="00F11EE6" w:rsidP="00D205AA">
      <w:pPr>
        <w:pStyle w:val="Paragraphedeliste"/>
        <w:numPr>
          <w:ilvl w:val="0"/>
          <w:numId w:val="16"/>
        </w:numPr>
        <w:spacing w:before="100" w:beforeAutospacing="1" w:after="100" w:afterAutospacing="1"/>
        <w:jc w:val="both"/>
        <w:rPr>
          <w:rFonts w:eastAsia="Times New Roman" w:cstheme="minorHAnsi"/>
          <w:sz w:val="24"/>
          <w:szCs w:val="24"/>
          <w:lang w:eastAsia="fr-FR"/>
        </w:rPr>
      </w:pPr>
      <w:r w:rsidRPr="00226CAC">
        <w:rPr>
          <w:rFonts w:eastAsia="Times New Roman" w:cstheme="minorHAnsi"/>
          <w:sz w:val="24"/>
          <w:szCs w:val="24"/>
          <w:lang w:eastAsia="fr-FR"/>
        </w:rPr>
        <w:t xml:space="preserve">De nombreux autres travaux basés sur </w:t>
      </w:r>
      <w:r w:rsidR="00D205AA">
        <w:rPr>
          <w:rFonts w:eastAsia="Times New Roman" w:cstheme="minorHAnsi"/>
          <w:sz w:val="24"/>
          <w:szCs w:val="24"/>
          <w:lang w:eastAsia="fr-FR"/>
        </w:rPr>
        <w:t xml:space="preserve">les </w:t>
      </w:r>
      <w:r w:rsidRPr="00226CAC">
        <w:rPr>
          <w:rFonts w:eastAsia="Times New Roman" w:cstheme="minorHAnsi"/>
          <w:sz w:val="24"/>
          <w:szCs w:val="24"/>
          <w:lang w:eastAsia="fr-FR"/>
        </w:rPr>
        <w:t>cellules souches sont actuellement réalisés en rhumatologie, cardiologie, pour certaines myopathies, le diabète, etc.</w:t>
      </w:r>
    </w:p>
    <w:p w:rsidR="00F11EE6" w:rsidRPr="00EF1199" w:rsidRDefault="00D205AA" w:rsidP="00D205AA">
      <w:pPr>
        <w:pStyle w:val="NormalWeb"/>
        <w:spacing w:line="276" w:lineRule="auto"/>
        <w:jc w:val="both"/>
        <w:rPr>
          <w:rFonts w:asciiTheme="minorHAnsi" w:hAnsiTheme="minorHAnsi" w:cstheme="minorHAnsi"/>
        </w:rPr>
      </w:pPr>
      <w:r>
        <w:rPr>
          <w:rFonts w:asciiTheme="minorHAnsi" w:hAnsiTheme="minorHAnsi" w:cstheme="minorHAnsi"/>
        </w:rPr>
        <w:t>A</w:t>
      </w:r>
      <w:r w:rsidR="00F11EE6" w:rsidRPr="00EF1199">
        <w:rPr>
          <w:rFonts w:asciiTheme="minorHAnsi" w:hAnsiTheme="minorHAnsi" w:cstheme="minorHAnsi"/>
        </w:rPr>
        <w:t>ctuellement,  la recherche explore de nombreuses autres approches de thérapie cellulaire</w:t>
      </w:r>
      <w:r>
        <w:rPr>
          <w:rFonts w:asciiTheme="minorHAnsi" w:hAnsiTheme="minorHAnsi" w:cstheme="minorHAnsi"/>
        </w:rPr>
        <w:t> :</w:t>
      </w:r>
      <w:r w:rsidR="00F11EE6" w:rsidRPr="00EF1199">
        <w:rPr>
          <w:rFonts w:asciiTheme="minorHAnsi" w:hAnsiTheme="minorHAnsi" w:cstheme="minorHAnsi"/>
        </w:rPr>
        <w:t xml:space="preserve"> des pathologies variées :               </w:t>
      </w:r>
    </w:p>
    <w:p w:rsidR="00F11EE6" w:rsidRDefault="00F11EE6" w:rsidP="00F11EE6">
      <w:pPr>
        <w:pStyle w:val="NormalWeb"/>
        <w:numPr>
          <w:ilvl w:val="0"/>
          <w:numId w:val="8"/>
        </w:numPr>
        <w:spacing w:line="276" w:lineRule="auto"/>
        <w:ind w:left="360"/>
        <w:jc w:val="both"/>
        <w:rPr>
          <w:rFonts w:asciiTheme="minorHAnsi" w:hAnsiTheme="minorHAnsi" w:cstheme="minorHAnsi"/>
        </w:rPr>
      </w:pPr>
      <w:r w:rsidRPr="00EF1199">
        <w:rPr>
          <w:rFonts w:asciiTheme="minorHAnsi" w:hAnsiTheme="minorHAnsi" w:cstheme="minorHAnsi"/>
        </w:rPr>
        <w:t xml:space="preserve">la transplantation dans le pancréas de diabétiques de cellules productrices d’insuline. </w:t>
      </w:r>
    </w:p>
    <w:p w:rsidR="00F11EE6" w:rsidRPr="00EF1199" w:rsidRDefault="00F11EE6" w:rsidP="00F11EE6">
      <w:pPr>
        <w:pStyle w:val="NormalWeb"/>
        <w:numPr>
          <w:ilvl w:val="0"/>
          <w:numId w:val="8"/>
        </w:numPr>
        <w:spacing w:line="276" w:lineRule="auto"/>
        <w:ind w:left="360"/>
        <w:jc w:val="both"/>
        <w:rPr>
          <w:rFonts w:asciiTheme="minorHAnsi" w:hAnsiTheme="minorHAnsi" w:cstheme="minorHAnsi"/>
        </w:rPr>
      </w:pPr>
      <w:r w:rsidRPr="00EF1199">
        <w:rPr>
          <w:rFonts w:asciiTheme="minorHAnsi" w:hAnsiTheme="minorHAnsi" w:cstheme="minorHAnsi"/>
        </w:rPr>
        <w:t>la greffe de cellules souches dans les articulations de personnes atteintes d’arthrose.</w:t>
      </w:r>
    </w:p>
    <w:p w:rsidR="00F11EE6" w:rsidRPr="00EF1199" w:rsidRDefault="00F11EE6" w:rsidP="00F11EE6">
      <w:pPr>
        <w:pStyle w:val="NormalWeb"/>
        <w:numPr>
          <w:ilvl w:val="0"/>
          <w:numId w:val="8"/>
        </w:numPr>
        <w:spacing w:line="276" w:lineRule="auto"/>
        <w:ind w:left="360"/>
        <w:jc w:val="both"/>
        <w:rPr>
          <w:rFonts w:asciiTheme="minorHAnsi" w:hAnsiTheme="minorHAnsi" w:cstheme="minorHAnsi"/>
        </w:rPr>
      </w:pPr>
      <w:r w:rsidRPr="00EF1199">
        <w:rPr>
          <w:rFonts w:asciiTheme="minorHAnsi" w:hAnsiTheme="minorHAnsi" w:cstheme="minorHAnsi"/>
        </w:rPr>
        <w:t>la greffe de cellules souches de muscle pour renforcer les sphincter d’individus souffrant d’incontinence urinaire ou anale.</w:t>
      </w:r>
    </w:p>
    <w:p w:rsidR="00F11EE6" w:rsidRPr="00EF1199" w:rsidRDefault="00F11EE6" w:rsidP="00F11EE6">
      <w:pPr>
        <w:pStyle w:val="NormalWeb"/>
        <w:spacing w:line="276" w:lineRule="auto"/>
        <w:jc w:val="both"/>
        <w:rPr>
          <w:rFonts w:asciiTheme="minorHAnsi" w:hAnsiTheme="minorHAnsi" w:cstheme="minorHAnsi"/>
        </w:rPr>
      </w:pPr>
      <w:r w:rsidRPr="00EF1199">
        <w:rPr>
          <w:rFonts w:asciiTheme="minorHAnsi" w:hAnsiTheme="minorHAnsi" w:cstheme="minorHAnsi"/>
        </w:rPr>
        <w:t>Des essais cliniques sont aussi en cours :</w:t>
      </w:r>
    </w:p>
    <w:p w:rsidR="00F11EE6" w:rsidRPr="00EF1199" w:rsidRDefault="00F11EE6" w:rsidP="00F11EE6">
      <w:pPr>
        <w:pStyle w:val="NormalWeb"/>
        <w:numPr>
          <w:ilvl w:val="0"/>
          <w:numId w:val="14"/>
        </w:numPr>
        <w:spacing w:line="276" w:lineRule="auto"/>
        <w:ind w:left="284" w:hanging="284"/>
        <w:jc w:val="both"/>
        <w:rPr>
          <w:rFonts w:asciiTheme="minorHAnsi" w:hAnsiTheme="minorHAnsi" w:cstheme="minorHAnsi"/>
          <w:snapToGrid w:val="0"/>
          <w:w w:val="0"/>
          <w:u w:color="000000"/>
          <w:bdr w:val="none" w:sz="0" w:space="0" w:color="000000"/>
          <w:shd w:val="clear" w:color="000000" w:fill="000000"/>
        </w:rPr>
      </w:pPr>
      <w:r w:rsidRPr="00EF1199">
        <w:rPr>
          <w:rFonts w:asciiTheme="minorHAnsi" w:hAnsiTheme="minorHAnsi" w:cstheme="minorHAnsi"/>
        </w:rPr>
        <w:t>le remplacement des neurones manquants dans le cerveau de malades de Parkinson.</w:t>
      </w:r>
    </w:p>
    <w:p w:rsidR="00F11EE6" w:rsidRPr="00EF1199" w:rsidRDefault="00F11EE6" w:rsidP="00F11EE6">
      <w:pPr>
        <w:pStyle w:val="NormalWeb"/>
        <w:numPr>
          <w:ilvl w:val="0"/>
          <w:numId w:val="14"/>
        </w:numPr>
        <w:spacing w:line="276" w:lineRule="auto"/>
        <w:ind w:left="284" w:hanging="284"/>
        <w:jc w:val="both"/>
        <w:rPr>
          <w:rFonts w:asciiTheme="minorHAnsi" w:hAnsiTheme="minorHAnsi" w:cstheme="minorHAnsi"/>
          <w:snapToGrid w:val="0"/>
          <w:w w:val="0"/>
          <w:u w:color="000000"/>
          <w:bdr w:val="none" w:sz="0" w:space="0" w:color="000000"/>
          <w:shd w:val="clear" w:color="000000" w:fill="000000"/>
        </w:rPr>
      </w:pPr>
      <w:r w:rsidRPr="00EF1199">
        <w:rPr>
          <w:rFonts w:asciiTheme="minorHAnsi" w:hAnsiTheme="minorHAnsi" w:cstheme="minorHAnsi"/>
        </w:rPr>
        <w:t xml:space="preserve">la réparation de la moelle épinière de personnes paraplégiques après un accident. </w:t>
      </w:r>
    </w:p>
    <w:p w:rsidR="00F11EE6" w:rsidRPr="00EF1199" w:rsidRDefault="00F11EE6" w:rsidP="00F11EE6">
      <w:pPr>
        <w:pStyle w:val="NormalWeb"/>
        <w:spacing w:line="276" w:lineRule="auto"/>
        <w:ind w:left="360"/>
        <w:jc w:val="both"/>
        <w:rPr>
          <w:rFonts w:asciiTheme="minorHAnsi" w:hAnsiTheme="minorHAnsi" w:cstheme="minorHAnsi"/>
          <w:snapToGrid w:val="0"/>
          <w:w w:val="0"/>
          <w:u w:color="000000"/>
          <w:bdr w:val="none" w:sz="0" w:space="0" w:color="000000"/>
          <w:shd w:val="clear" w:color="000000" w:fill="000000"/>
        </w:rPr>
      </w:pPr>
      <w:r w:rsidRPr="00EF1199">
        <w:rPr>
          <w:rFonts w:asciiTheme="minorHAnsi" w:hAnsiTheme="minorHAnsi" w:cstheme="minorHAnsi"/>
        </w:rPr>
        <w:t>Certains essais ont déjà été couronnés de succès comme la thérapie cellulaire pour réparer le muscle cardiaque lésé après un infarctus.</w:t>
      </w:r>
      <w:r w:rsidRPr="00EF1199">
        <w:rPr>
          <w:rFonts w:asciiTheme="minorHAnsi" w:hAnsiTheme="minorHAnsi" w:cstheme="minorHAnsi"/>
          <w:snapToGrid w:val="0"/>
          <w:w w:val="0"/>
          <w:u w:color="000000"/>
          <w:bdr w:val="none" w:sz="0" w:space="0" w:color="000000"/>
          <w:shd w:val="clear" w:color="000000" w:fill="000000"/>
        </w:rPr>
        <w:t xml:space="preserve"> </w:t>
      </w:r>
    </w:p>
    <w:p w:rsidR="00BC2EE2" w:rsidRDefault="00D205AA" w:rsidP="00F86465">
      <w:pPr>
        <w:spacing w:after="0"/>
        <w:jc w:val="both"/>
        <w:outlineLvl w:val="1"/>
        <w:rPr>
          <w:rFonts w:eastAsia="Times New Roman" w:cstheme="minorHAnsi"/>
          <w:b/>
          <w:bCs/>
          <w:i/>
          <w:iCs/>
          <w:sz w:val="24"/>
          <w:szCs w:val="24"/>
          <w:lang w:eastAsia="fr-FR"/>
        </w:rPr>
      </w:pPr>
      <w:r w:rsidRPr="007A2B47">
        <w:rPr>
          <w:rFonts w:eastAsia="Times New Roman" w:cstheme="minorHAnsi"/>
          <w:b/>
          <w:bCs/>
          <w:i/>
          <w:iCs/>
          <w:sz w:val="24"/>
          <w:szCs w:val="24"/>
          <w:lang w:eastAsia="fr-FR"/>
        </w:rPr>
        <w:t>4.2. Application de la thérapie génique</w:t>
      </w:r>
    </w:p>
    <w:p w:rsidR="007A2B47" w:rsidRPr="00EF1199" w:rsidRDefault="007A2B47" w:rsidP="007A2B47">
      <w:p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 xml:space="preserve">Les chercheurs ont effectué des essais cliniques ciblant différentes pathologies notamment : </w:t>
      </w:r>
    </w:p>
    <w:p w:rsidR="007A2B47" w:rsidRPr="00EF1199" w:rsidRDefault="007A2B47" w:rsidP="007A2B47">
      <w:pPr>
        <w:pStyle w:val="Paragraphedeliste"/>
        <w:numPr>
          <w:ilvl w:val="0"/>
          <w:numId w:val="12"/>
        </w:num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Les maladies génétiques rares du sang (immunodéficiences, β-thalassémie…) et du cerveau (adrénoleucodystrophie). </w:t>
      </w:r>
    </w:p>
    <w:p w:rsidR="007A2B47" w:rsidRPr="00EF1199" w:rsidRDefault="007A2B47" w:rsidP="007A2B47">
      <w:pPr>
        <w:pStyle w:val="Paragraphedeliste"/>
        <w:numPr>
          <w:ilvl w:val="0"/>
          <w:numId w:val="12"/>
        </w:num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La maladie génétique de la rétine : l’amaurose congénitale de Leber.</w:t>
      </w:r>
    </w:p>
    <w:p w:rsidR="007A2B47" w:rsidRPr="00EF1199" w:rsidRDefault="007A2B47" w:rsidP="007A2B47">
      <w:pPr>
        <w:pStyle w:val="Paragraphedeliste"/>
        <w:numPr>
          <w:ilvl w:val="0"/>
          <w:numId w:val="12"/>
        </w:num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Les Myopathies sévères : myopathie  myotibulaire.</w:t>
      </w:r>
    </w:p>
    <w:p w:rsidR="007A2B47" w:rsidRPr="00EF1199" w:rsidRDefault="007A2B47" w:rsidP="007A2B47">
      <w:pPr>
        <w:pStyle w:val="Paragraphedeliste"/>
        <w:numPr>
          <w:ilvl w:val="0"/>
          <w:numId w:val="12"/>
        </w:numPr>
        <w:spacing w:before="100" w:beforeAutospacing="1" w:after="100" w:afterAutospacing="1"/>
        <w:jc w:val="both"/>
        <w:rPr>
          <w:rFonts w:eastAsia="Times New Roman" w:cstheme="minorHAnsi"/>
          <w:sz w:val="24"/>
          <w:szCs w:val="24"/>
          <w:lang w:eastAsia="fr-FR"/>
        </w:rPr>
      </w:pPr>
      <w:r w:rsidRPr="00EF1199">
        <w:rPr>
          <w:rFonts w:eastAsia="Times New Roman" w:cstheme="minorHAnsi"/>
          <w:sz w:val="24"/>
          <w:szCs w:val="24"/>
          <w:lang w:eastAsia="fr-FR"/>
        </w:rPr>
        <w:t xml:space="preserve">D’autres essais  </w:t>
      </w:r>
      <w:r w:rsidRPr="00EF1199">
        <w:rPr>
          <w:rFonts w:cstheme="minorHAnsi"/>
          <w:sz w:val="24"/>
          <w:szCs w:val="24"/>
        </w:rPr>
        <w:t>pour des déficits immunitaires, des maladies du sang, de la vision, du foie...sans oublier les maladies neuromusculaires.</w:t>
      </w:r>
    </w:p>
    <w:p w:rsidR="007A2B47" w:rsidRPr="007A2B47" w:rsidRDefault="007A2B47" w:rsidP="00F86465">
      <w:pPr>
        <w:spacing w:after="0"/>
        <w:jc w:val="both"/>
        <w:outlineLvl w:val="1"/>
        <w:rPr>
          <w:rFonts w:eastAsia="Times New Roman" w:cstheme="minorHAnsi"/>
          <w:sz w:val="24"/>
          <w:szCs w:val="24"/>
          <w:lang w:eastAsia="fr-FR"/>
        </w:rPr>
      </w:pPr>
    </w:p>
    <w:sectPr w:rsidR="007A2B47" w:rsidRPr="007A2B47" w:rsidSect="00C75F11">
      <w:footerReference w:type="default" r:id="rId12"/>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29A5" w:rsidRDefault="00C829A5" w:rsidP="000259CD">
      <w:pPr>
        <w:spacing w:after="0" w:line="240" w:lineRule="auto"/>
      </w:pPr>
      <w:r>
        <w:separator/>
      </w:r>
    </w:p>
  </w:endnote>
  <w:endnote w:type="continuationSeparator" w:id="0">
    <w:p w:rsidR="00C829A5" w:rsidRDefault="00C829A5" w:rsidP="000259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1117810"/>
      <w:docPartObj>
        <w:docPartGallery w:val="Page Numbers (Bottom of Page)"/>
        <w:docPartUnique/>
      </w:docPartObj>
    </w:sdtPr>
    <w:sdtContent>
      <w:p w:rsidR="000259CD" w:rsidRDefault="00F52C04">
        <w:pPr>
          <w:pStyle w:val="Pieddepage"/>
          <w:jc w:val="center"/>
        </w:pPr>
        <w:fldSimple w:instr=" PAGE   \* MERGEFORMAT ">
          <w:r w:rsidR="00C829A5">
            <w:rPr>
              <w:noProof/>
            </w:rPr>
            <w:t>1</w:t>
          </w:r>
        </w:fldSimple>
      </w:p>
    </w:sdtContent>
  </w:sdt>
  <w:p w:rsidR="000259CD" w:rsidRDefault="000259C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29A5" w:rsidRDefault="00C829A5" w:rsidP="000259CD">
      <w:pPr>
        <w:spacing w:after="0" w:line="240" w:lineRule="auto"/>
      </w:pPr>
      <w:r>
        <w:separator/>
      </w:r>
    </w:p>
  </w:footnote>
  <w:footnote w:type="continuationSeparator" w:id="0">
    <w:p w:rsidR="00C829A5" w:rsidRDefault="00C829A5" w:rsidP="000259C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5E6B"/>
    <w:multiLevelType w:val="hybridMultilevel"/>
    <w:tmpl w:val="CE16A8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ED1064"/>
    <w:multiLevelType w:val="hybridMultilevel"/>
    <w:tmpl w:val="18C22D4A"/>
    <w:lvl w:ilvl="0" w:tplc="040C0001">
      <w:start w:val="1"/>
      <w:numFmt w:val="bullet"/>
      <w:lvlText w:val=""/>
      <w:lvlJc w:val="left"/>
      <w:pPr>
        <w:ind w:left="761" w:hanging="360"/>
      </w:pPr>
      <w:rPr>
        <w:rFonts w:ascii="Symbol" w:hAnsi="Symbol" w:hint="default"/>
      </w:rPr>
    </w:lvl>
    <w:lvl w:ilvl="1" w:tplc="040C0003" w:tentative="1">
      <w:start w:val="1"/>
      <w:numFmt w:val="bullet"/>
      <w:lvlText w:val="o"/>
      <w:lvlJc w:val="left"/>
      <w:pPr>
        <w:ind w:left="1481" w:hanging="360"/>
      </w:pPr>
      <w:rPr>
        <w:rFonts w:ascii="Courier New" w:hAnsi="Courier New" w:cs="Courier New" w:hint="default"/>
      </w:rPr>
    </w:lvl>
    <w:lvl w:ilvl="2" w:tplc="040C0005" w:tentative="1">
      <w:start w:val="1"/>
      <w:numFmt w:val="bullet"/>
      <w:lvlText w:val=""/>
      <w:lvlJc w:val="left"/>
      <w:pPr>
        <w:ind w:left="2201" w:hanging="360"/>
      </w:pPr>
      <w:rPr>
        <w:rFonts w:ascii="Wingdings" w:hAnsi="Wingdings" w:hint="default"/>
      </w:rPr>
    </w:lvl>
    <w:lvl w:ilvl="3" w:tplc="040C0001" w:tentative="1">
      <w:start w:val="1"/>
      <w:numFmt w:val="bullet"/>
      <w:lvlText w:val=""/>
      <w:lvlJc w:val="left"/>
      <w:pPr>
        <w:ind w:left="2921" w:hanging="360"/>
      </w:pPr>
      <w:rPr>
        <w:rFonts w:ascii="Symbol" w:hAnsi="Symbol" w:hint="default"/>
      </w:rPr>
    </w:lvl>
    <w:lvl w:ilvl="4" w:tplc="040C0003" w:tentative="1">
      <w:start w:val="1"/>
      <w:numFmt w:val="bullet"/>
      <w:lvlText w:val="o"/>
      <w:lvlJc w:val="left"/>
      <w:pPr>
        <w:ind w:left="3641" w:hanging="360"/>
      </w:pPr>
      <w:rPr>
        <w:rFonts w:ascii="Courier New" w:hAnsi="Courier New" w:cs="Courier New" w:hint="default"/>
      </w:rPr>
    </w:lvl>
    <w:lvl w:ilvl="5" w:tplc="040C0005" w:tentative="1">
      <w:start w:val="1"/>
      <w:numFmt w:val="bullet"/>
      <w:lvlText w:val=""/>
      <w:lvlJc w:val="left"/>
      <w:pPr>
        <w:ind w:left="4361" w:hanging="360"/>
      </w:pPr>
      <w:rPr>
        <w:rFonts w:ascii="Wingdings" w:hAnsi="Wingdings" w:hint="default"/>
      </w:rPr>
    </w:lvl>
    <w:lvl w:ilvl="6" w:tplc="040C0001" w:tentative="1">
      <w:start w:val="1"/>
      <w:numFmt w:val="bullet"/>
      <w:lvlText w:val=""/>
      <w:lvlJc w:val="left"/>
      <w:pPr>
        <w:ind w:left="5081" w:hanging="360"/>
      </w:pPr>
      <w:rPr>
        <w:rFonts w:ascii="Symbol" w:hAnsi="Symbol" w:hint="default"/>
      </w:rPr>
    </w:lvl>
    <w:lvl w:ilvl="7" w:tplc="040C0003" w:tentative="1">
      <w:start w:val="1"/>
      <w:numFmt w:val="bullet"/>
      <w:lvlText w:val="o"/>
      <w:lvlJc w:val="left"/>
      <w:pPr>
        <w:ind w:left="5801" w:hanging="360"/>
      </w:pPr>
      <w:rPr>
        <w:rFonts w:ascii="Courier New" w:hAnsi="Courier New" w:cs="Courier New" w:hint="default"/>
      </w:rPr>
    </w:lvl>
    <w:lvl w:ilvl="8" w:tplc="040C0005" w:tentative="1">
      <w:start w:val="1"/>
      <w:numFmt w:val="bullet"/>
      <w:lvlText w:val=""/>
      <w:lvlJc w:val="left"/>
      <w:pPr>
        <w:ind w:left="6521" w:hanging="360"/>
      </w:pPr>
      <w:rPr>
        <w:rFonts w:ascii="Wingdings" w:hAnsi="Wingdings" w:hint="default"/>
      </w:rPr>
    </w:lvl>
  </w:abstractNum>
  <w:abstractNum w:abstractNumId="2">
    <w:nsid w:val="14C04896"/>
    <w:multiLevelType w:val="hybridMultilevel"/>
    <w:tmpl w:val="BB4252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5B202EE"/>
    <w:multiLevelType w:val="multilevel"/>
    <w:tmpl w:val="10B0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2766C5"/>
    <w:multiLevelType w:val="hybridMultilevel"/>
    <w:tmpl w:val="A3B87DA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1D945BCA"/>
    <w:multiLevelType w:val="hybridMultilevel"/>
    <w:tmpl w:val="C47A1E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046190D"/>
    <w:multiLevelType w:val="hybridMultilevel"/>
    <w:tmpl w:val="8E863142"/>
    <w:lvl w:ilvl="0" w:tplc="040C000D">
      <w:start w:val="1"/>
      <w:numFmt w:val="bullet"/>
      <w:lvlText w:val=""/>
      <w:lvlJc w:val="left"/>
      <w:pPr>
        <w:ind w:left="1121" w:hanging="360"/>
      </w:pPr>
      <w:rPr>
        <w:rFonts w:ascii="Wingdings" w:hAnsi="Wingdings" w:hint="default"/>
      </w:rPr>
    </w:lvl>
    <w:lvl w:ilvl="1" w:tplc="040C0003" w:tentative="1">
      <w:start w:val="1"/>
      <w:numFmt w:val="bullet"/>
      <w:lvlText w:val="o"/>
      <w:lvlJc w:val="left"/>
      <w:pPr>
        <w:ind w:left="1841" w:hanging="360"/>
      </w:pPr>
      <w:rPr>
        <w:rFonts w:ascii="Courier New" w:hAnsi="Courier New" w:cs="Courier New" w:hint="default"/>
      </w:rPr>
    </w:lvl>
    <w:lvl w:ilvl="2" w:tplc="040C0005" w:tentative="1">
      <w:start w:val="1"/>
      <w:numFmt w:val="bullet"/>
      <w:lvlText w:val=""/>
      <w:lvlJc w:val="left"/>
      <w:pPr>
        <w:ind w:left="2561" w:hanging="360"/>
      </w:pPr>
      <w:rPr>
        <w:rFonts w:ascii="Wingdings" w:hAnsi="Wingdings" w:hint="default"/>
      </w:rPr>
    </w:lvl>
    <w:lvl w:ilvl="3" w:tplc="040C0001" w:tentative="1">
      <w:start w:val="1"/>
      <w:numFmt w:val="bullet"/>
      <w:lvlText w:val=""/>
      <w:lvlJc w:val="left"/>
      <w:pPr>
        <w:ind w:left="3281" w:hanging="360"/>
      </w:pPr>
      <w:rPr>
        <w:rFonts w:ascii="Symbol" w:hAnsi="Symbol" w:hint="default"/>
      </w:rPr>
    </w:lvl>
    <w:lvl w:ilvl="4" w:tplc="040C0003" w:tentative="1">
      <w:start w:val="1"/>
      <w:numFmt w:val="bullet"/>
      <w:lvlText w:val="o"/>
      <w:lvlJc w:val="left"/>
      <w:pPr>
        <w:ind w:left="4001" w:hanging="360"/>
      </w:pPr>
      <w:rPr>
        <w:rFonts w:ascii="Courier New" w:hAnsi="Courier New" w:cs="Courier New" w:hint="default"/>
      </w:rPr>
    </w:lvl>
    <w:lvl w:ilvl="5" w:tplc="040C0005" w:tentative="1">
      <w:start w:val="1"/>
      <w:numFmt w:val="bullet"/>
      <w:lvlText w:val=""/>
      <w:lvlJc w:val="left"/>
      <w:pPr>
        <w:ind w:left="4721" w:hanging="360"/>
      </w:pPr>
      <w:rPr>
        <w:rFonts w:ascii="Wingdings" w:hAnsi="Wingdings" w:hint="default"/>
      </w:rPr>
    </w:lvl>
    <w:lvl w:ilvl="6" w:tplc="040C0001" w:tentative="1">
      <w:start w:val="1"/>
      <w:numFmt w:val="bullet"/>
      <w:lvlText w:val=""/>
      <w:lvlJc w:val="left"/>
      <w:pPr>
        <w:ind w:left="5441" w:hanging="360"/>
      </w:pPr>
      <w:rPr>
        <w:rFonts w:ascii="Symbol" w:hAnsi="Symbol" w:hint="default"/>
      </w:rPr>
    </w:lvl>
    <w:lvl w:ilvl="7" w:tplc="040C0003" w:tentative="1">
      <w:start w:val="1"/>
      <w:numFmt w:val="bullet"/>
      <w:lvlText w:val="o"/>
      <w:lvlJc w:val="left"/>
      <w:pPr>
        <w:ind w:left="6161" w:hanging="360"/>
      </w:pPr>
      <w:rPr>
        <w:rFonts w:ascii="Courier New" w:hAnsi="Courier New" w:cs="Courier New" w:hint="default"/>
      </w:rPr>
    </w:lvl>
    <w:lvl w:ilvl="8" w:tplc="040C0005" w:tentative="1">
      <w:start w:val="1"/>
      <w:numFmt w:val="bullet"/>
      <w:lvlText w:val=""/>
      <w:lvlJc w:val="left"/>
      <w:pPr>
        <w:ind w:left="6881" w:hanging="360"/>
      </w:pPr>
      <w:rPr>
        <w:rFonts w:ascii="Wingdings" w:hAnsi="Wingdings" w:hint="default"/>
      </w:rPr>
    </w:lvl>
  </w:abstractNum>
  <w:abstractNum w:abstractNumId="7">
    <w:nsid w:val="372C4222"/>
    <w:multiLevelType w:val="multilevel"/>
    <w:tmpl w:val="FA0C6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1E2474"/>
    <w:multiLevelType w:val="multilevel"/>
    <w:tmpl w:val="AE08E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321A4"/>
    <w:multiLevelType w:val="multilevel"/>
    <w:tmpl w:val="AC4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0758A4"/>
    <w:multiLevelType w:val="hybridMultilevel"/>
    <w:tmpl w:val="4F3C30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6C9266A"/>
    <w:multiLevelType w:val="hybridMultilevel"/>
    <w:tmpl w:val="4AFC21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C671DCD"/>
    <w:multiLevelType w:val="multilevel"/>
    <w:tmpl w:val="7CD20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D941AF"/>
    <w:multiLevelType w:val="multilevel"/>
    <w:tmpl w:val="2380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EF5FD4"/>
    <w:multiLevelType w:val="hybridMultilevel"/>
    <w:tmpl w:val="3DD6C60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67D81EE3"/>
    <w:multiLevelType w:val="hybridMultilevel"/>
    <w:tmpl w:val="2E782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0FC402C"/>
    <w:multiLevelType w:val="hybridMultilevel"/>
    <w:tmpl w:val="86D62B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73C22687"/>
    <w:multiLevelType w:val="hybridMultilevel"/>
    <w:tmpl w:val="746A6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7B7B62B6"/>
    <w:multiLevelType w:val="hybridMultilevel"/>
    <w:tmpl w:val="36DCE818"/>
    <w:lvl w:ilvl="0" w:tplc="040C0001">
      <w:start w:val="1"/>
      <w:numFmt w:val="bullet"/>
      <w:lvlText w:val=""/>
      <w:lvlJc w:val="left"/>
      <w:pPr>
        <w:ind w:left="775" w:hanging="360"/>
      </w:pPr>
      <w:rPr>
        <w:rFonts w:ascii="Symbol" w:hAnsi="Symbol" w:hint="default"/>
      </w:rPr>
    </w:lvl>
    <w:lvl w:ilvl="1" w:tplc="040C0003" w:tentative="1">
      <w:start w:val="1"/>
      <w:numFmt w:val="bullet"/>
      <w:lvlText w:val="o"/>
      <w:lvlJc w:val="left"/>
      <w:pPr>
        <w:ind w:left="1495" w:hanging="360"/>
      </w:pPr>
      <w:rPr>
        <w:rFonts w:ascii="Courier New" w:hAnsi="Courier New" w:cs="Courier New" w:hint="default"/>
      </w:rPr>
    </w:lvl>
    <w:lvl w:ilvl="2" w:tplc="040C0005" w:tentative="1">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num w:numId="1">
    <w:abstractNumId w:val="9"/>
  </w:num>
  <w:num w:numId="2">
    <w:abstractNumId w:val="3"/>
  </w:num>
  <w:num w:numId="3">
    <w:abstractNumId w:val="16"/>
  </w:num>
  <w:num w:numId="4">
    <w:abstractNumId w:val="7"/>
  </w:num>
  <w:num w:numId="5">
    <w:abstractNumId w:val="8"/>
  </w:num>
  <w:num w:numId="6">
    <w:abstractNumId w:val="2"/>
  </w:num>
  <w:num w:numId="7">
    <w:abstractNumId w:val="12"/>
  </w:num>
  <w:num w:numId="8">
    <w:abstractNumId w:val="17"/>
  </w:num>
  <w:num w:numId="9">
    <w:abstractNumId w:val="5"/>
  </w:num>
  <w:num w:numId="10">
    <w:abstractNumId w:val="4"/>
  </w:num>
  <w:num w:numId="11">
    <w:abstractNumId w:val="14"/>
  </w:num>
  <w:num w:numId="12">
    <w:abstractNumId w:val="10"/>
  </w:num>
  <w:num w:numId="13">
    <w:abstractNumId w:val="18"/>
  </w:num>
  <w:num w:numId="14">
    <w:abstractNumId w:val="15"/>
  </w:num>
  <w:num w:numId="15">
    <w:abstractNumId w:val="13"/>
  </w:num>
  <w:num w:numId="16">
    <w:abstractNumId w:val="11"/>
  </w:num>
  <w:num w:numId="17">
    <w:abstractNumId w:val="0"/>
  </w:num>
  <w:num w:numId="18">
    <w:abstractNumId w:val="1"/>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1"/>
    <w:footnote w:id="0"/>
  </w:footnotePr>
  <w:endnotePr>
    <w:endnote w:id="-1"/>
    <w:endnote w:id="0"/>
  </w:endnotePr>
  <w:compat/>
  <w:rsids>
    <w:rsidRoot w:val="00722A8D"/>
    <w:rsid w:val="000259CD"/>
    <w:rsid w:val="000379DC"/>
    <w:rsid w:val="0004527C"/>
    <w:rsid w:val="0004585E"/>
    <w:rsid w:val="00101B5C"/>
    <w:rsid w:val="001B5EEE"/>
    <w:rsid w:val="001E442B"/>
    <w:rsid w:val="00201647"/>
    <w:rsid w:val="00226CAC"/>
    <w:rsid w:val="0024025E"/>
    <w:rsid w:val="00252CA4"/>
    <w:rsid w:val="00253050"/>
    <w:rsid w:val="00284863"/>
    <w:rsid w:val="002F4DC6"/>
    <w:rsid w:val="00301C10"/>
    <w:rsid w:val="003306AC"/>
    <w:rsid w:val="00346E8E"/>
    <w:rsid w:val="003564BF"/>
    <w:rsid w:val="00364F46"/>
    <w:rsid w:val="003749DA"/>
    <w:rsid w:val="00381601"/>
    <w:rsid w:val="00383C5A"/>
    <w:rsid w:val="003A5DD2"/>
    <w:rsid w:val="003E62E4"/>
    <w:rsid w:val="004117D2"/>
    <w:rsid w:val="0041618C"/>
    <w:rsid w:val="00494C09"/>
    <w:rsid w:val="004B3938"/>
    <w:rsid w:val="00580F49"/>
    <w:rsid w:val="005E55BF"/>
    <w:rsid w:val="00665FB4"/>
    <w:rsid w:val="006723D4"/>
    <w:rsid w:val="00674982"/>
    <w:rsid w:val="00694107"/>
    <w:rsid w:val="00694E0B"/>
    <w:rsid w:val="006A75A1"/>
    <w:rsid w:val="006A792E"/>
    <w:rsid w:val="006F3734"/>
    <w:rsid w:val="00722A8D"/>
    <w:rsid w:val="00736CAF"/>
    <w:rsid w:val="00764805"/>
    <w:rsid w:val="007A2B47"/>
    <w:rsid w:val="00851EDF"/>
    <w:rsid w:val="00852403"/>
    <w:rsid w:val="00893F54"/>
    <w:rsid w:val="008C60FC"/>
    <w:rsid w:val="008E2FB4"/>
    <w:rsid w:val="009032A7"/>
    <w:rsid w:val="00915E33"/>
    <w:rsid w:val="00916060"/>
    <w:rsid w:val="009222E3"/>
    <w:rsid w:val="0095679B"/>
    <w:rsid w:val="009A3EA0"/>
    <w:rsid w:val="009A798C"/>
    <w:rsid w:val="009D5940"/>
    <w:rsid w:val="009E0DD5"/>
    <w:rsid w:val="009F303A"/>
    <w:rsid w:val="00A1401A"/>
    <w:rsid w:val="00A51517"/>
    <w:rsid w:val="00A70298"/>
    <w:rsid w:val="00A72E64"/>
    <w:rsid w:val="00A8366C"/>
    <w:rsid w:val="00B21A25"/>
    <w:rsid w:val="00B448A3"/>
    <w:rsid w:val="00B55260"/>
    <w:rsid w:val="00B6639A"/>
    <w:rsid w:val="00B66FB2"/>
    <w:rsid w:val="00BC2EE2"/>
    <w:rsid w:val="00BC7FC3"/>
    <w:rsid w:val="00BE631B"/>
    <w:rsid w:val="00C75F11"/>
    <w:rsid w:val="00C829A5"/>
    <w:rsid w:val="00CA3821"/>
    <w:rsid w:val="00D205AA"/>
    <w:rsid w:val="00D54699"/>
    <w:rsid w:val="00D54AA5"/>
    <w:rsid w:val="00DD7EDB"/>
    <w:rsid w:val="00DF5BF1"/>
    <w:rsid w:val="00E2653E"/>
    <w:rsid w:val="00E3682C"/>
    <w:rsid w:val="00E84D6D"/>
    <w:rsid w:val="00ED6CE2"/>
    <w:rsid w:val="00EF1199"/>
    <w:rsid w:val="00F11EE6"/>
    <w:rsid w:val="00F52C04"/>
    <w:rsid w:val="00F61B80"/>
    <w:rsid w:val="00F86465"/>
    <w:rsid w:val="00F91284"/>
    <w:rsid w:val="00FB47DA"/>
    <w:rsid w:val="00FC1EE3"/>
    <w:rsid w:val="00FC3527"/>
    <w:rsid w:val="00FD2994"/>
    <w:rsid w:val="00FD5ABD"/>
    <w:rsid w:val="00FE401E"/>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F11"/>
  </w:style>
  <w:style w:type="paragraph" w:styleId="Titre2">
    <w:name w:val="heading 2"/>
    <w:basedOn w:val="Normal"/>
    <w:link w:val="Titre2Car"/>
    <w:uiPriority w:val="9"/>
    <w:qFormat/>
    <w:rsid w:val="00252CA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B21A2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22A8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722A8D"/>
    <w:rPr>
      <w:color w:val="0000FF"/>
      <w:u w:val="single"/>
    </w:rPr>
  </w:style>
  <w:style w:type="paragraph" w:styleId="Textedebulles">
    <w:name w:val="Balloon Text"/>
    <w:basedOn w:val="Normal"/>
    <w:link w:val="TextedebullesCar"/>
    <w:uiPriority w:val="99"/>
    <w:semiHidden/>
    <w:unhideWhenUsed/>
    <w:rsid w:val="00A72E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72E64"/>
    <w:rPr>
      <w:rFonts w:ascii="Tahoma" w:hAnsi="Tahoma" w:cs="Tahoma"/>
      <w:sz w:val="16"/>
      <w:szCs w:val="16"/>
    </w:rPr>
  </w:style>
  <w:style w:type="character" w:customStyle="1" w:styleId="Titre2Car">
    <w:name w:val="Titre 2 Car"/>
    <w:basedOn w:val="Policepardfaut"/>
    <w:link w:val="Titre2"/>
    <w:uiPriority w:val="9"/>
    <w:rsid w:val="00252CA4"/>
    <w:rPr>
      <w:rFonts w:ascii="Times New Roman" w:eastAsia="Times New Roman" w:hAnsi="Times New Roman" w:cs="Times New Roman"/>
      <w:b/>
      <w:bCs/>
      <w:sz w:val="36"/>
      <w:szCs w:val="36"/>
      <w:lang w:eastAsia="fr-FR"/>
    </w:rPr>
  </w:style>
  <w:style w:type="paragraph" w:customStyle="1" w:styleId="p1">
    <w:name w:val="p1"/>
    <w:basedOn w:val="Normal"/>
    <w:rsid w:val="00252CA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B21A25"/>
    <w:rPr>
      <w:rFonts w:asciiTheme="majorHAnsi" w:eastAsiaTheme="majorEastAsia" w:hAnsiTheme="majorHAnsi" w:cstheme="majorBidi"/>
      <w:b/>
      <w:bCs/>
      <w:color w:val="4F81BD" w:themeColor="accent1"/>
    </w:rPr>
  </w:style>
  <w:style w:type="character" w:customStyle="1" w:styleId="mw-headline">
    <w:name w:val="mw-headline"/>
    <w:basedOn w:val="Policepardfaut"/>
    <w:rsid w:val="00B21A25"/>
  </w:style>
  <w:style w:type="character" w:customStyle="1" w:styleId="lang-en">
    <w:name w:val="lang-en"/>
    <w:basedOn w:val="Policepardfaut"/>
    <w:rsid w:val="00B21A25"/>
  </w:style>
  <w:style w:type="character" w:customStyle="1" w:styleId="petitescapitales">
    <w:name w:val="petites_capitales"/>
    <w:basedOn w:val="Policepardfaut"/>
    <w:rsid w:val="00B21A25"/>
  </w:style>
  <w:style w:type="paragraph" w:customStyle="1" w:styleId="p3">
    <w:name w:val="p3"/>
    <w:basedOn w:val="Normal"/>
    <w:rsid w:val="009032A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32A7"/>
    <w:rPr>
      <w:b/>
      <w:bCs/>
    </w:rPr>
  </w:style>
  <w:style w:type="paragraph" w:styleId="Paragraphedeliste">
    <w:name w:val="List Paragraph"/>
    <w:basedOn w:val="Normal"/>
    <w:uiPriority w:val="34"/>
    <w:qFormat/>
    <w:rsid w:val="00B66FB2"/>
    <w:pPr>
      <w:ind w:left="720"/>
      <w:contextualSpacing/>
    </w:pPr>
  </w:style>
  <w:style w:type="character" w:customStyle="1" w:styleId="glossaireword">
    <w:name w:val="glossaire__word"/>
    <w:basedOn w:val="Policepardfaut"/>
    <w:rsid w:val="00BC7FC3"/>
  </w:style>
  <w:style w:type="character" w:customStyle="1" w:styleId="glossairetitre">
    <w:name w:val="glossaire__titre"/>
    <w:basedOn w:val="Policepardfaut"/>
    <w:rsid w:val="00BC7FC3"/>
  </w:style>
  <w:style w:type="character" w:customStyle="1" w:styleId="glossairebody">
    <w:name w:val="glossaire__body"/>
    <w:basedOn w:val="Policepardfaut"/>
    <w:rsid w:val="00BC7FC3"/>
  </w:style>
  <w:style w:type="paragraph" w:customStyle="1" w:styleId="Default">
    <w:name w:val="Default"/>
    <w:rsid w:val="009222E3"/>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0259C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259CD"/>
  </w:style>
  <w:style w:type="paragraph" w:styleId="Pieddepage">
    <w:name w:val="footer"/>
    <w:basedOn w:val="Normal"/>
    <w:link w:val="PieddepageCar"/>
    <w:uiPriority w:val="99"/>
    <w:unhideWhenUsed/>
    <w:rsid w:val="000259C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59CD"/>
  </w:style>
</w:styles>
</file>

<file path=word/webSettings.xml><?xml version="1.0" encoding="utf-8"?>
<w:webSettings xmlns:r="http://schemas.openxmlformats.org/officeDocument/2006/relationships" xmlns:w="http://schemas.openxmlformats.org/wordprocessingml/2006/main">
  <w:divs>
    <w:div w:id="28458386">
      <w:bodyDiv w:val="1"/>
      <w:marLeft w:val="0"/>
      <w:marRight w:val="0"/>
      <w:marTop w:val="0"/>
      <w:marBottom w:val="0"/>
      <w:divBdr>
        <w:top w:val="none" w:sz="0" w:space="0" w:color="auto"/>
        <w:left w:val="none" w:sz="0" w:space="0" w:color="auto"/>
        <w:bottom w:val="none" w:sz="0" w:space="0" w:color="auto"/>
        <w:right w:val="none" w:sz="0" w:space="0" w:color="auto"/>
      </w:divBdr>
      <w:divsChild>
        <w:div w:id="55705853">
          <w:marLeft w:val="0"/>
          <w:marRight w:val="0"/>
          <w:marTop w:val="0"/>
          <w:marBottom w:val="0"/>
          <w:divBdr>
            <w:top w:val="none" w:sz="0" w:space="0" w:color="auto"/>
            <w:left w:val="none" w:sz="0" w:space="0" w:color="auto"/>
            <w:bottom w:val="none" w:sz="0" w:space="0" w:color="auto"/>
            <w:right w:val="none" w:sz="0" w:space="0" w:color="auto"/>
          </w:divBdr>
        </w:div>
      </w:divsChild>
    </w:div>
    <w:div w:id="106045857">
      <w:bodyDiv w:val="1"/>
      <w:marLeft w:val="0"/>
      <w:marRight w:val="0"/>
      <w:marTop w:val="0"/>
      <w:marBottom w:val="0"/>
      <w:divBdr>
        <w:top w:val="none" w:sz="0" w:space="0" w:color="auto"/>
        <w:left w:val="none" w:sz="0" w:space="0" w:color="auto"/>
        <w:bottom w:val="none" w:sz="0" w:space="0" w:color="auto"/>
        <w:right w:val="none" w:sz="0" w:space="0" w:color="auto"/>
      </w:divBdr>
    </w:div>
    <w:div w:id="783816318">
      <w:bodyDiv w:val="1"/>
      <w:marLeft w:val="0"/>
      <w:marRight w:val="0"/>
      <w:marTop w:val="0"/>
      <w:marBottom w:val="0"/>
      <w:divBdr>
        <w:top w:val="none" w:sz="0" w:space="0" w:color="auto"/>
        <w:left w:val="none" w:sz="0" w:space="0" w:color="auto"/>
        <w:bottom w:val="none" w:sz="0" w:space="0" w:color="auto"/>
        <w:right w:val="none" w:sz="0" w:space="0" w:color="auto"/>
      </w:divBdr>
      <w:divsChild>
        <w:div w:id="317344674">
          <w:marLeft w:val="0"/>
          <w:marRight w:val="0"/>
          <w:marTop w:val="0"/>
          <w:marBottom w:val="0"/>
          <w:divBdr>
            <w:top w:val="none" w:sz="0" w:space="0" w:color="auto"/>
            <w:left w:val="none" w:sz="0" w:space="0" w:color="auto"/>
            <w:bottom w:val="none" w:sz="0" w:space="0" w:color="auto"/>
            <w:right w:val="none" w:sz="0" w:space="0" w:color="auto"/>
          </w:divBdr>
          <w:divsChild>
            <w:div w:id="20329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70413">
      <w:bodyDiv w:val="1"/>
      <w:marLeft w:val="0"/>
      <w:marRight w:val="0"/>
      <w:marTop w:val="0"/>
      <w:marBottom w:val="0"/>
      <w:divBdr>
        <w:top w:val="none" w:sz="0" w:space="0" w:color="auto"/>
        <w:left w:val="none" w:sz="0" w:space="0" w:color="auto"/>
        <w:bottom w:val="none" w:sz="0" w:space="0" w:color="auto"/>
        <w:right w:val="none" w:sz="0" w:space="0" w:color="auto"/>
      </w:divBdr>
    </w:div>
    <w:div w:id="1273786511">
      <w:bodyDiv w:val="1"/>
      <w:marLeft w:val="0"/>
      <w:marRight w:val="0"/>
      <w:marTop w:val="0"/>
      <w:marBottom w:val="0"/>
      <w:divBdr>
        <w:top w:val="none" w:sz="0" w:space="0" w:color="auto"/>
        <w:left w:val="none" w:sz="0" w:space="0" w:color="auto"/>
        <w:bottom w:val="none" w:sz="0" w:space="0" w:color="auto"/>
        <w:right w:val="none" w:sz="0" w:space="0" w:color="auto"/>
      </w:divBdr>
    </w:div>
    <w:div w:id="1312834817">
      <w:bodyDiv w:val="1"/>
      <w:marLeft w:val="0"/>
      <w:marRight w:val="0"/>
      <w:marTop w:val="0"/>
      <w:marBottom w:val="0"/>
      <w:divBdr>
        <w:top w:val="none" w:sz="0" w:space="0" w:color="auto"/>
        <w:left w:val="none" w:sz="0" w:space="0" w:color="auto"/>
        <w:bottom w:val="none" w:sz="0" w:space="0" w:color="auto"/>
        <w:right w:val="none" w:sz="0" w:space="0" w:color="auto"/>
      </w:divBdr>
    </w:div>
    <w:div w:id="1550874659">
      <w:bodyDiv w:val="1"/>
      <w:marLeft w:val="0"/>
      <w:marRight w:val="0"/>
      <w:marTop w:val="0"/>
      <w:marBottom w:val="0"/>
      <w:divBdr>
        <w:top w:val="none" w:sz="0" w:space="0" w:color="auto"/>
        <w:left w:val="none" w:sz="0" w:space="0" w:color="auto"/>
        <w:bottom w:val="none" w:sz="0" w:space="0" w:color="auto"/>
        <w:right w:val="none" w:sz="0" w:space="0" w:color="auto"/>
      </w:divBdr>
    </w:div>
    <w:div w:id="1553687068">
      <w:bodyDiv w:val="1"/>
      <w:marLeft w:val="0"/>
      <w:marRight w:val="0"/>
      <w:marTop w:val="0"/>
      <w:marBottom w:val="0"/>
      <w:divBdr>
        <w:top w:val="none" w:sz="0" w:space="0" w:color="auto"/>
        <w:left w:val="none" w:sz="0" w:space="0" w:color="auto"/>
        <w:bottom w:val="none" w:sz="0" w:space="0" w:color="auto"/>
        <w:right w:val="none" w:sz="0" w:space="0" w:color="auto"/>
      </w:divBdr>
    </w:div>
    <w:div w:id="1722436277">
      <w:bodyDiv w:val="1"/>
      <w:marLeft w:val="0"/>
      <w:marRight w:val="0"/>
      <w:marTop w:val="0"/>
      <w:marBottom w:val="0"/>
      <w:divBdr>
        <w:top w:val="none" w:sz="0" w:space="0" w:color="auto"/>
        <w:left w:val="none" w:sz="0" w:space="0" w:color="auto"/>
        <w:bottom w:val="none" w:sz="0" w:space="0" w:color="auto"/>
        <w:right w:val="none" w:sz="0" w:space="0" w:color="auto"/>
      </w:divBdr>
    </w:div>
    <w:div w:id="205326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Cellule_souche_(m%C3%A9decin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wikipedia.org/wiki/Cellule_souche_animal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9098</TotalTime>
  <Pages>7</Pages>
  <Words>2054</Words>
  <Characters>11298</Characters>
  <Application>Microsoft Office Word</Application>
  <DocSecurity>0</DocSecurity>
  <Lines>94</Lines>
  <Paragraphs>26</Paragraphs>
  <ScaleCrop>false</ScaleCrop>
  <HeadingPairs>
    <vt:vector size="4" baseType="variant">
      <vt:variant>
        <vt:lpstr>Titre</vt:lpstr>
      </vt:variant>
      <vt:variant>
        <vt:i4>1</vt:i4>
      </vt:variant>
      <vt:variant>
        <vt:lpstr>Titres</vt:lpstr>
      </vt:variant>
      <vt:variant>
        <vt:i4>22</vt:i4>
      </vt:variant>
    </vt:vector>
  </HeadingPairs>
  <TitlesOfParts>
    <vt:vector size="23" baseType="lpstr">
      <vt:lpstr/>
      <vt:lpstr>        2.1. Les cellules souches totipotentes</vt:lpstr>
      <vt:lpstr>        </vt:lpstr>
      <vt:lpstr>        2.2. Les cellules souches pluripotentes</vt:lpstr>
      <vt:lpstr>        </vt:lpstr>
      <vt:lpstr>        2.3. Les cellules souches multipotentes</vt:lpstr>
      <vt:lpstr>        </vt:lpstr>
      <vt:lpstr>        2.4. Les cellules souches unipotentes</vt:lpstr>
      <vt:lpstr>        </vt:lpstr>
      <vt:lpstr>        2.5. Les cellules souches pluripotentes induites</vt:lpstr>
      <vt:lpstr>    </vt:lpstr>
      <vt:lpstr>    3.1. La thérapie cellulaire </vt:lpstr>
      <vt:lpstr>    Figure 2. Principe de la théra</vt:lpstr>
      <vt:lpstr>    </vt:lpstr>
      <vt:lpstr>    3.2. La thérapie génique</vt:lpstr>
      <vt:lpstr>    La thérapie génique constitue l’une des voies privilégiées pour traiter les mala</vt:lpstr>
      <vt:lpstr>    Figure 3. Principe de la thérapie</vt:lpstr>
      <vt:lpstr>    </vt:lpstr>
      <vt:lpstr>    4. Applications</vt:lpstr>
      <vt:lpstr>    4.1. Application de la thérapie cellulaire</vt:lpstr>
      <vt:lpstr>    La thérapie cellulaire  est déjà mise en pratique depuis les années 70 avec la g</vt:lpstr>
      <vt:lpstr>    4.2. Application de la thérapie génique</vt:lpstr>
      <vt:lpstr>    </vt:lpstr>
    </vt:vector>
  </TitlesOfParts>
  <Company/>
  <LinksUpToDate>false</LinksUpToDate>
  <CharactersWithSpaces>13326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25</cp:revision>
  <dcterms:created xsi:type="dcterms:W3CDTF">2018-11-17T13:51:00Z</dcterms:created>
  <dcterms:modified xsi:type="dcterms:W3CDTF">2022-02-05T17:02:00Z</dcterms:modified>
</cp:coreProperties>
</file>