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Corrigé type TD métabolisme des glucides</w:t>
      </w:r>
    </w:p>
    <w:p w:rsidR="00000000" w:rsidDel="00000000" w:rsidP="00000000" w:rsidRDefault="00000000" w:rsidRPr="00000000" w14:paraId="00000002">
      <w:pPr>
        <w:jc w:val="center"/>
        <w:rPr>
          <w:b w:val="1"/>
        </w:rPr>
      </w:pPr>
      <w:r w:rsidDel="00000000" w:rsidR="00000000" w:rsidRPr="00000000">
        <w:rPr>
          <w:b w:val="1"/>
          <w:rtl w:val="0"/>
        </w:rPr>
        <w:t xml:space="preserve">FEVRIER 2025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Exercice 1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 2-Les différentes étapes de la glycolyse ainsi que l’équation  bilan de la glycolyse</w:t>
      </w: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sz w:val="17"/>
          <w:szCs w:val="17"/>
        </w:rPr>
        <w:drawing>
          <wp:inline distB="0" distT="0" distL="0" distR="0">
            <wp:extent cx="4985581" cy="2927839"/>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85581" cy="292783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40" w:lineRule="auto"/>
        <w:rPr>
          <w:b w:val="1"/>
          <w:u w:val="single"/>
        </w:rPr>
      </w:pPr>
      <w:r w:rsidDel="00000000" w:rsidR="00000000" w:rsidRPr="00000000">
        <w:rPr>
          <w:rtl w:val="0"/>
        </w:rPr>
        <w:t xml:space="preserve">Le pyruvate formé par la glycolyse a 2 possibilités de transformation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6"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aérobiose :</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pyruvate pénètre dans la mitochondrie et est dégradé complètement en CO2 et  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(oxydation) via  le cycle de Krebs et  la chaîne respiratoire  </w:t>
      </w:r>
    </w:p>
    <w:p w:rsidR="00000000" w:rsidDel="00000000" w:rsidP="00000000" w:rsidRDefault="00000000" w:rsidRPr="00000000" w14:paraId="0000000A">
      <w:pPr>
        <w:rPr/>
      </w:pPr>
      <w:r w:rsidDel="00000000" w:rsidR="00000000" w:rsidRPr="00000000">
        <w:rPr>
          <w:rtl w:val="0"/>
        </w:rPr>
        <w:t xml:space="preserve">La première étape de cette voie est la décarboxylation oxydative du pyruvate en acétyl-Coenzyme A grâce à la pyruvate déshydrogénase</w:t>
      </w:r>
    </w:p>
    <w:p w:rsidR="00000000" w:rsidDel="00000000" w:rsidP="00000000" w:rsidRDefault="00000000" w:rsidRPr="00000000" w14:paraId="0000000B">
      <w:pPr>
        <w:keepNext w:val="0"/>
        <w:keepLines w:val="0"/>
        <w:pageBreakBefore w:val="0"/>
        <w:widowControl w:val="1"/>
        <w:numPr>
          <w:ilvl w:val="0"/>
          <w:numId w:val="2"/>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080" w:right="0" w:hanging="360"/>
        <w:jc w:val="both"/>
        <w:rPr>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Pyr+CoA+NAD</w:t>
      </w:r>
      <w:r w:rsidDel="00000000" w:rsidR="00000000" w:rsidRPr="00000000">
        <w:rPr>
          <w:rFonts w:ascii="Calibri" w:cs="Calibri" w:eastAsia="Calibri" w:hAnsi="Calibri"/>
          <w:b w:val="0"/>
          <w:i w:val="0"/>
          <w:smallCaps w:val="0"/>
          <w:strike w:val="0"/>
          <w:color w:val="000000"/>
          <w:sz w:val="32"/>
          <w:szCs w:val="3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Acétyl-CoA + NADH,H</w:t>
      </w:r>
      <w:r w:rsidDel="00000000" w:rsidR="00000000" w:rsidRPr="00000000">
        <w:rPr>
          <w:rFonts w:ascii="Calibri" w:cs="Calibri" w:eastAsia="Calibri" w:hAnsi="Calibri"/>
          <w:b w:val="0"/>
          <w:i w:val="0"/>
          <w:smallCaps w:val="0"/>
          <w:strike w:val="0"/>
          <w:color w:val="000000"/>
          <w:sz w:val="32"/>
          <w:szCs w:val="3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CO</w:t>
      </w:r>
      <w:r w:rsidDel="00000000" w:rsidR="00000000" w:rsidRPr="00000000">
        <w:rPr>
          <w:rFonts w:ascii="Calibri" w:cs="Calibri" w:eastAsia="Calibri" w:hAnsi="Calibri"/>
          <w:b w:val="0"/>
          <w:i w:val="0"/>
          <w:smallCaps w:val="0"/>
          <w:strike w:val="0"/>
          <w:color w:val="000000"/>
          <w:sz w:val="32"/>
          <w:szCs w:val="32"/>
          <w:u w:val="none"/>
          <w:shd w:fill="auto" w:val="clear"/>
          <w:vertAlign w:val="subscript"/>
          <w:rtl w:val="0"/>
        </w:rPr>
        <w:t xml:space="preserve">2</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2158365</wp:posOffset>
                </wp:positionH>
                <wp:positionV relativeFrom="paragraph">
                  <wp:posOffset>146050</wp:posOffset>
                </wp:positionV>
                <wp:extent cx="673100" cy="6350"/>
                <wp:effectExtent b="47625" l="5715" r="16510" t="60325"/>
                <wp:wrapNone/>
                <wp:docPr id="5" name=""/>
                <a:graphic>
                  <a:graphicData uri="http://schemas.microsoft.com/office/word/2010/wordprocessingShape">
                    <wps:wsp>
                      <wps:cNvSpPr/>
                      <wps:spPr>
                        <a:xfrm flipV="1">
                          <a:off x="0" y="0"/>
                          <a:ext cx="673100" cy="6350"/>
                        </a:xfrm>
                        <a:prstGeom prst="straightConnector1"/>
                        <a:ln cap="flat" cmpd="sng" w="9525">
                          <a:solidFill>
                            <a:srgbClr val="000000"/>
                          </a:solidFill>
                          <a:prstDash val="solid"/>
                          <a:round/>
                          <a:headEnd len="med" w="med" type="none"/>
                          <a:tailEnd len="med" w="med" type="triangle"/>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column">
                  <wp:posOffset>2158365</wp:posOffset>
                </wp:positionH>
                <wp:positionV relativeFrom="paragraph">
                  <wp:posOffset>146050</wp:posOffset>
                </wp:positionV>
                <wp:extent cx="695325" cy="114300"/>
                <wp:effectExtent b="0" l="0" r="0" t="0"/>
                <wp:wrapNone/>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95325" cy="11430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 anaérobiose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La Fermentation lactique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Lorsque l’approvisionnement de la cellule en oxygène est insuffisant, une accumulation de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dans le cytoplasme est observée. En absence de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glycolyse d’arrêterait. La solution est la réduction du pyruvate en lactate couplée à une oxydation du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glycolyse peut alors continuer.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4-Cette réaction, qui produit de l’acide lactique (ou lactate), permet de régénérer les transporteurs réduits (NADH, H+) formés lors de la glycolyse. Elle se produit dans les cellules en condition    d’anaérobiose, surtout dans les muscles, et  tout le temps dans les hématies, car elles n’ont pas de mitochondries, et ne peuvent donc pas faire l’autre voie aérobie, la respiration cellulaire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b w:val="1"/>
          <w:u w:val="single"/>
        </w:rPr>
      </w:pPr>
      <w:r w:rsidDel="00000000" w:rsidR="00000000" w:rsidRPr="00000000">
        <w:rPr>
          <w:rtl w:val="0"/>
        </w:rPr>
        <w:t xml:space="preserve">5-L’équation de la fermentation lactique : est la suivante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drawing>
          <wp:inline distB="0" distT="0" distL="0" distR="0">
            <wp:extent cx="5044830" cy="1338681"/>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44830" cy="133868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Exercice n</w:t>
      </w:r>
      <w:r w:rsidDel="00000000" w:rsidR="00000000" w:rsidRPr="00000000">
        <w:rPr>
          <w:b w:val="1"/>
          <w:vertAlign w:val="superscript"/>
          <w:rtl w:val="0"/>
        </w:rPr>
        <w:t xml:space="preserve">0 </w:t>
      </w:r>
      <w:r w:rsidDel="00000000" w:rsidR="00000000" w:rsidRPr="00000000">
        <w:rPr>
          <w:b w:val="1"/>
          <w:rtl w:val="0"/>
        </w:rPr>
        <w:t xml:space="preserve">: 2</w:t>
      </w:r>
      <w:r w:rsidDel="00000000" w:rsidR="00000000" w:rsidRPr="00000000">
        <w:rPr>
          <w:rtl w:val="0"/>
        </w:rPr>
        <w:tab/>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1mole de glucose :                   pyruvate : 2 ATP et 2 NADH, H+</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1525905</wp:posOffset>
                </wp:positionH>
                <wp:positionV relativeFrom="paragraph">
                  <wp:posOffset>163195</wp:posOffset>
                </wp:positionV>
                <wp:extent cx="431165" cy="635"/>
                <wp:effectExtent b="56515" l="11430" r="14605" t="57150"/>
                <wp:wrapNone/>
                <wp:docPr id="3" name=""/>
                <a:graphic>
                  <a:graphicData uri="http://schemas.microsoft.com/office/word/2010/wordprocessingShape">
                    <wps:wsp>
                      <wps:cNvSpPr/>
                      <wps:spPr>
                        <a:xfrm>
                          <a:off x="0" y="0"/>
                          <a:ext cx="431165" cy="635"/>
                        </a:xfrm>
                        <a:prstGeom prst="straightConnector1"/>
                        <a:ln cap="flat" cmpd="sng" w="9525">
                          <a:solidFill>
                            <a:srgbClr val="000000"/>
                          </a:solidFill>
                          <a:prstDash val="solid"/>
                          <a:round/>
                          <a:headEnd len="med" w="med" type="none"/>
                          <a:tailEnd len="med" w="med" type="triangle"/>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column">
                  <wp:posOffset>1525905</wp:posOffset>
                </wp:positionH>
                <wp:positionV relativeFrom="paragraph">
                  <wp:posOffset>163195</wp:posOffset>
                </wp:positionV>
                <wp:extent cx="457200" cy="11430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 cy="114300"/>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1mole de glucose :                   lactate : 2 ATP et 0 NADH, H+</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1480820</wp:posOffset>
                </wp:positionH>
                <wp:positionV relativeFrom="paragraph">
                  <wp:posOffset>172720</wp:posOffset>
                </wp:positionV>
                <wp:extent cx="431164" cy="635"/>
                <wp:effectExtent b="60960" l="13970" r="21590" t="52705"/>
                <wp:wrapNone/>
                <wp:docPr id="6" name=""/>
                <a:graphic>
                  <a:graphicData uri="http://schemas.microsoft.com/office/word/2010/wordprocessingShape">
                    <wps:wsp>
                      <wps:cNvSpPr/>
                      <wps:spPr>
                        <a:xfrm>
                          <a:off x="0" y="0"/>
                          <a:ext cx="431164" cy="635"/>
                        </a:xfrm>
                        <a:prstGeom prst="straightConnector1"/>
                        <a:ln cap="flat" cmpd="sng" w="9525">
                          <a:solidFill>
                            <a:srgbClr val="000000"/>
                          </a:solidFill>
                          <a:prstDash val="solid"/>
                          <a:round/>
                          <a:headEnd len="med" w="med" type="none"/>
                          <a:tailEnd len="med" w="med" type="triangle"/>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column">
                  <wp:posOffset>1480820</wp:posOffset>
                </wp:positionH>
                <wp:positionV relativeFrom="paragraph">
                  <wp:posOffset>172720</wp:posOffset>
                </wp:positionV>
                <wp:extent cx="466724" cy="114300"/>
                <wp:effectExtent b="0" l="0" r="0" t="0"/>
                <wp:wrapNone/>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66724" cy="1143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L’accumulation du lactate dans l’organisme entraine une acidose lactique  souvent létale, par ↑  du lactate  sanguin</w:t>
      </w:r>
    </w:p>
    <w:p w:rsidR="00000000" w:rsidDel="00000000" w:rsidP="00000000" w:rsidRDefault="00000000" w:rsidRPr="00000000" w14:paraId="00000018">
      <w:pPr>
        <w:rPr>
          <w:sz w:val="24"/>
          <w:szCs w:val="24"/>
        </w:rPr>
      </w:pPr>
      <w:r w:rsidDel="00000000" w:rsidR="00000000" w:rsidRPr="00000000">
        <w:rPr>
          <w:sz w:val="24"/>
          <w:szCs w:val="24"/>
          <w:rtl w:val="0"/>
        </w:rPr>
        <w:t xml:space="preserve">-  L’accumulation du lactate dans le muscle est responsable de  crampes , myalgies âpres l’exercice physique en anaerobiose</w:t>
      </w:r>
    </w:p>
    <w:p w:rsidR="00000000" w:rsidDel="00000000" w:rsidP="00000000" w:rsidRDefault="00000000" w:rsidRPr="00000000" w14:paraId="00000019">
      <w:pPr>
        <w:rPr>
          <w:sz w:val="24"/>
          <w:szCs w:val="24"/>
        </w:rPr>
      </w:pPr>
      <w:r w:rsidDel="00000000" w:rsidR="00000000" w:rsidRPr="00000000">
        <w:rPr>
          <w:sz w:val="24"/>
          <w:szCs w:val="24"/>
          <w:rtl w:val="0"/>
        </w:rPr>
        <w:t xml:space="preserve">Il  peut être recyclé par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cycle de Cori</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repris par les cellules cardiaques a des fins énergétiques et dans  ce cas c’est la réaction inverse qui se produit : lactate                pyruvate </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2862580</wp:posOffset>
                </wp:positionH>
                <wp:positionV relativeFrom="paragraph">
                  <wp:posOffset>337820</wp:posOffset>
                </wp:positionV>
                <wp:extent cx="520700" cy="0"/>
                <wp:effectExtent b="53339" l="5080" r="17145" t="60960"/>
                <wp:wrapNone/>
                <wp:docPr id="1" name=""/>
                <a:graphic>
                  <a:graphicData uri="http://schemas.microsoft.com/office/word/2010/wordprocessingShape">
                    <wps:wsp>
                      <wps:cNvSpPr/>
                      <wps:spPr>
                        <a:xfrm>
                          <a:off x="0" y="0"/>
                          <a:ext cx="520700" cy="0"/>
                        </a:xfrm>
                        <a:prstGeom prst="straightConnector1"/>
                        <a:ln cap="flat" cmpd="sng" w="9525">
                          <a:solidFill>
                            <a:srgbClr val="000000"/>
                          </a:solidFill>
                          <a:prstDash val="solid"/>
                          <a:round/>
                          <a:headEnd len="med" w="med" type="none"/>
                          <a:tailEnd len="med" w="med" type="triangle"/>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column">
                  <wp:posOffset>2862580</wp:posOffset>
                </wp:positionH>
                <wp:positionV relativeFrom="paragraph">
                  <wp:posOffset>337820</wp:posOffset>
                </wp:positionV>
                <wp:extent cx="542925" cy="114299"/>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2925" cy="114299"/>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 niveau des hematies glucose = seul carburant en anaérobiose.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glycolyse entrenue /regénération du NAD+    pyruvate                     lactate/ LDH, Les GR produisent ainsi du lactate  repris par la néoglucogenèse hépatique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3920490</wp:posOffset>
                </wp:positionH>
                <wp:positionV relativeFrom="paragraph">
                  <wp:posOffset>114300</wp:posOffset>
                </wp:positionV>
                <wp:extent cx="520699" cy="0"/>
                <wp:effectExtent b="58420" l="5715" r="16510" t="55880"/>
                <wp:wrapNone/>
                <wp:docPr id="2" name=""/>
                <a:graphic>
                  <a:graphicData uri="http://schemas.microsoft.com/office/word/2010/wordprocessingShape">
                    <wps:wsp>
                      <wps:cNvSpPr/>
                      <wps:spPr>
                        <a:xfrm>
                          <a:off x="0" y="0"/>
                          <a:ext cx="520699" cy="0"/>
                        </a:xfrm>
                        <a:prstGeom prst="straightConnector1"/>
                        <a:ln cap="flat" cmpd="sng" w="9525">
                          <a:solidFill>
                            <a:srgbClr val="000000"/>
                          </a:solidFill>
                          <a:prstDash val="solid"/>
                          <a:round/>
                          <a:headEnd len="med" w="med" type="none"/>
                          <a:tailEnd len="med" w="med" type="triangle"/>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column">
                  <wp:posOffset>3920490</wp:posOffset>
                </wp:positionH>
                <wp:positionV relativeFrom="paragraph">
                  <wp:posOffset>114300</wp:posOffset>
                </wp:positionV>
                <wp:extent cx="542924" cy="114300"/>
                <wp:effectExtent b="0" l="0" r="0" t="0"/>
                <wp:wrapNone/>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2924" cy="1143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1F">
      <w:pPr>
        <w:rPr>
          <w:b w:val="1"/>
        </w:rPr>
      </w:pPr>
      <w:r w:rsidDel="00000000" w:rsidR="00000000" w:rsidRPr="00000000">
        <w:rPr/>
        <w:drawing>
          <wp:inline distB="0" distT="0" distL="0" distR="0">
            <wp:extent cx="5054600" cy="1990648"/>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54600" cy="199064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INTERET DU CYCLE DE CORI</w:t>
      </w:r>
    </w:p>
    <w:p w:rsidR="00000000" w:rsidDel="00000000" w:rsidP="00000000" w:rsidRDefault="00000000" w:rsidRPr="00000000" w14:paraId="00000024">
      <w:pPr>
        <w:shd w:fill="ffffff" w:val="clear"/>
        <w:spacing w:after="0" w:line="240" w:lineRule="auto"/>
        <w:rPr>
          <w:sz w:val="24"/>
          <w:szCs w:val="24"/>
        </w:rPr>
      </w:pPr>
      <w:r w:rsidDel="00000000" w:rsidR="00000000" w:rsidRPr="00000000">
        <w:rPr>
          <w:sz w:val="24"/>
          <w:szCs w:val="24"/>
          <w:rtl w:val="0"/>
        </w:rPr>
        <w:t xml:space="preserve">Le Lactate formé quitte le muscle, rejoint le foie,  où il est transformé en glucose via la néoglucogenèse  qui est ultérieurement remis à la  disposition des muscles, pour être utilisé a des fins énergétiques</w:t>
      </w:r>
    </w:p>
    <w:p w:rsidR="00000000" w:rsidDel="00000000" w:rsidP="00000000" w:rsidRDefault="00000000" w:rsidRPr="00000000" w14:paraId="00000025">
      <w:pPr>
        <w:shd w:fill="ffffff" w:val="clear"/>
        <w:spacing w:after="0" w:line="240" w:lineRule="auto"/>
        <w:rPr>
          <w:b w:val="1"/>
          <w:sz w:val="28"/>
          <w:szCs w:val="28"/>
        </w:rPr>
      </w:pPr>
      <w:r w:rsidDel="00000000" w:rsidR="00000000" w:rsidRPr="00000000">
        <w:rPr>
          <w:rtl w:val="0"/>
        </w:rPr>
      </w:r>
    </w:p>
    <w:p w:rsidR="00000000" w:rsidDel="00000000" w:rsidP="00000000" w:rsidRDefault="00000000" w:rsidRPr="00000000" w14:paraId="00000026">
      <w:pPr>
        <w:shd w:fill="ffffff" w:val="clear"/>
        <w:spacing w:after="0" w:line="240" w:lineRule="auto"/>
        <w:rPr>
          <w:sz w:val="24"/>
          <w:szCs w:val="24"/>
        </w:rPr>
      </w:pPr>
      <w:r w:rsidDel="00000000" w:rsidR="00000000" w:rsidRPr="00000000">
        <w:rPr>
          <w:sz w:val="24"/>
          <w:szCs w:val="24"/>
          <w:rtl w:val="0"/>
        </w:rPr>
        <w:t xml:space="preserve">3-Les deux sites de régulation de La néoglucogenèse sont : </w:t>
      </w:r>
    </w:p>
    <w:p w:rsidR="00000000" w:rsidDel="00000000" w:rsidP="00000000" w:rsidRDefault="00000000" w:rsidRPr="00000000" w14:paraId="00000027">
      <w:pPr>
        <w:spacing w:line="251" w:lineRule="auto"/>
        <w:rPr/>
      </w:pPr>
      <w:r w:rsidDel="00000000" w:rsidR="00000000" w:rsidRPr="00000000">
        <w:rPr>
          <w:b w:val="1"/>
          <w:u w:val="single"/>
          <w:rtl w:val="0"/>
        </w:rPr>
        <w:t xml:space="preserve">Le premier site : </w:t>
      </w:r>
      <w:r w:rsidDel="00000000" w:rsidR="00000000" w:rsidRPr="00000000">
        <w:rPr>
          <w:rtl w:val="0"/>
        </w:rPr>
        <w:t xml:space="preserve">Les 2 réactions concurrentes ayant comme substrat commun le pyruvate</w:t>
      </w:r>
    </w:p>
    <w:p w:rsidR="00000000" w:rsidDel="00000000" w:rsidP="00000000" w:rsidRDefault="00000000" w:rsidRPr="00000000" w14:paraId="00000028">
      <w:pPr>
        <w:spacing w:line="251" w:lineRule="auto"/>
        <w:rPr/>
      </w:pPr>
      <w:r w:rsidDel="00000000" w:rsidR="00000000" w:rsidRPr="00000000">
        <w:rPr>
          <w:rtl w:val="0"/>
        </w:rPr>
        <w:t xml:space="preserve">Réaction pyruvate                 acétyl-COA catalysée par la pyruvate déshydrogénase qui mène vers le cycle de Krebs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989965</wp:posOffset>
                </wp:positionH>
                <wp:positionV relativeFrom="paragraph">
                  <wp:posOffset>96520</wp:posOffset>
                </wp:positionV>
                <wp:extent cx="520699" cy="0"/>
                <wp:effectExtent b="55880" l="8890" r="22860" t="58420"/>
                <wp:wrapNone/>
                <wp:docPr id="7" name=""/>
                <a:graphic>
                  <a:graphicData uri="http://schemas.microsoft.com/office/word/2010/wordprocessingShape">
                    <wps:wsp>
                      <wps:cNvSpPr/>
                      <wps:spPr>
                        <a:xfrm>
                          <a:off x="0" y="0"/>
                          <a:ext cx="520699" cy="0"/>
                        </a:xfrm>
                        <a:prstGeom prst="straightConnector1"/>
                        <a:ln cap="flat" cmpd="sng" w="9525">
                          <a:solidFill>
                            <a:srgbClr val="000000"/>
                          </a:solidFill>
                          <a:prstDash val="solid"/>
                          <a:round/>
                          <a:headEnd len="med" w="med" type="none"/>
                          <a:tailEnd len="med" w="med" type="triangle"/>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column">
                  <wp:posOffset>989965</wp:posOffset>
                </wp:positionH>
                <wp:positionV relativeFrom="paragraph">
                  <wp:posOffset>96520</wp:posOffset>
                </wp:positionV>
                <wp:extent cx="552449" cy="114300"/>
                <wp:effectExtent b="0" l="0" r="0" t="0"/>
                <wp:wrapNone/>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2449" cy="114300"/>
                        </a:xfrm>
                        <a:prstGeom prst="rect"/>
                        <a:ln/>
                      </pic:spPr>
                    </pic:pic>
                  </a:graphicData>
                </a:graphic>
              </wp:anchor>
            </w:drawing>
          </mc:Fallback>
        </mc:AlternateContent>
      </w:r>
    </w:p>
    <w:p w:rsidR="00000000" w:rsidDel="00000000" w:rsidP="00000000" w:rsidRDefault="00000000" w:rsidRPr="00000000" w14:paraId="00000029">
      <w:pPr>
        <w:spacing w:line="251" w:lineRule="auto"/>
        <w:rPr>
          <w:sz w:val="24"/>
          <w:szCs w:val="24"/>
        </w:rPr>
      </w:pPr>
      <w:r w:rsidDel="00000000" w:rsidR="00000000" w:rsidRPr="00000000">
        <w:rPr>
          <w:sz w:val="24"/>
          <w:szCs w:val="24"/>
          <w:rtl w:val="0"/>
        </w:rPr>
        <w:t xml:space="preserve">Réaction pyruvate          oxaloacétate catalysée par la pyruvate carboxylase  qui initie la néoglucogenèse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1119505</wp:posOffset>
                </wp:positionH>
                <wp:positionV relativeFrom="paragraph">
                  <wp:posOffset>102235</wp:posOffset>
                </wp:positionV>
                <wp:extent cx="314325" cy="0"/>
                <wp:effectExtent b="59690" l="5080" r="23495" t="54610"/>
                <wp:wrapNone/>
                <wp:docPr id="4" name=""/>
                <a:graphic>
                  <a:graphicData uri="http://schemas.microsoft.com/office/word/2010/wordprocessingShape">
                    <wps:wsp>
                      <wps:cNvSpPr/>
                      <wps:spPr>
                        <a:xfrm>
                          <a:off x="0" y="0"/>
                          <a:ext cx="314325" cy="0"/>
                        </a:xfrm>
                        <a:prstGeom prst="straightConnector1"/>
                        <a:ln cap="flat" cmpd="sng" w="9525">
                          <a:solidFill>
                            <a:srgbClr val="000000"/>
                          </a:solidFill>
                          <a:prstDash val="solid"/>
                          <a:round/>
                          <a:headEnd len="med" w="med" type="none"/>
                          <a:tailEnd len="med" w="med" type="triangle"/>
                        </a:ln>
                      </wps:spPr>
                      <wps:bodyPr>
                        <a:prstTxWarp prst="textNoShape"/>
                      </wps:bodyPr>
                    </wps:wsp>
                  </a:graphicData>
                </a:graphic>
              </wp:anchor>
            </w:drawing>
          </mc:Choice>
          <mc:Fallback>
            <w:drawing>
              <wp:anchor allowOverlap="1" behindDoc="0" distB="0" distT="0" distL="0" distR="0" hidden="0" layoutInCell="1" locked="0" relativeHeight="0" simplePos="0">
                <wp:simplePos x="0" y="0"/>
                <wp:positionH relativeFrom="column">
                  <wp:posOffset>1119505</wp:posOffset>
                </wp:positionH>
                <wp:positionV relativeFrom="paragraph">
                  <wp:posOffset>102235</wp:posOffset>
                </wp:positionV>
                <wp:extent cx="342900" cy="114300"/>
                <wp:effectExtent b="0" l="0" r="0" t="0"/>
                <wp:wrapNone/>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42900" cy="114300"/>
                        </a:xfrm>
                        <a:prstGeom prst="rect"/>
                        <a:ln/>
                      </pic:spPr>
                    </pic:pic>
                  </a:graphicData>
                </a:graphic>
              </wp:anchor>
            </w:drawing>
          </mc:Fallback>
        </mc:AlternateContent>
      </w:r>
    </w:p>
    <w:p w:rsidR="00000000" w:rsidDel="00000000" w:rsidP="00000000" w:rsidRDefault="00000000" w:rsidRPr="00000000" w14:paraId="0000002A">
      <w:pPr>
        <w:spacing w:line="251" w:lineRule="auto"/>
        <w:rPr>
          <w:b w:val="1"/>
          <w:u w:val="single"/>
        </w:rPr>
      </w:pPr>
      <w:r w:rsidDel="00000000" w:rsidR="00000000" w:rsidRPr="00000000">
        <w:rPr>
          <w:b w:val="1"/>
          <w:u w:val="single"/>
          <w:rtl w:val="0"/>
        </w:rPr>
        <w:t xml:space="preserve">Le deuxième site:</w:t>
      </w:r>
    </w:p>
    <w:p w:rsidR="00000000" w:rsidDel="00000000" w:rsidP="00000000" w:rsidRDefault="00000000" w:rsidRPr="00000000" w14:paraId="0000002B">
      <w:pPr>
        <w:spacing w:line="251" w:lineRule="auto"/>
        <w:rPr>
          <w:sz w:val="24"/>
          <w:szCs w:val="24"/>
        </w:rPr>
      </w:pPr>
      <w:r w:rsidDel="00000000" w:rsidR="00000000" w:rsidRPr="00000000">
        <w:rPr>
          <w:sz w:val="24"/>
          <w:szCs w:val="24"/>
          <w:rtl w:val="0"/>
        </w:rPr>
        <w:t xml:space="preserve">Les réactions entre le fructose-6-phosphate et le fructose1,6-bisphosphate catalysées dans le sens de la néoglucogenèse par la fructose -1,6-bisphosphatase et dans le sens de la glycolyse par la phosphofructokinase </w:t>
      </w:r>
    </w:p>
    <w:p w:rsidR="00000000" w:rsidDel="00000000" w:rsidP="00000000" w:rsidRDefault="00000000" w:rsidRPr="00000000" w14:paraId="0000002C">
      <w:pPr>
        <w:shd w:fill="ffffff" w:val="clear"/>
        <w:spacing w:after="0" w:line="240" w:lineRule="auto"/>
        <w:rPr>
          <w:b w:val="1"/>
          <w:sz w:val="24"/>
          <w:szCs w:val="24"/>
          <w:u w:val="single"/>
        </w:rPr>
      </w:pPr>
      <w:r w:rsidDel="00000000" w:rsidR="00000000" w:rsidRPr="00000000">
        <w:rPr>
          <w:b w:val="1"/>
          <w:sz w:val="24"/>
          <w:szCs w:val="24"/>
          <w:u w:val="single"/>
          <w:rtl w:val="0"/>
        </w:rPr>
        <w:t xml:space="preserve">Exercice n : 3</w:t>
      </w:r>
    </w:p>
    <w:p w:rsidR="00000000" w:rsidDel="00000000" w:rsidP="00000000" w:rsidRDefault="00000000" w:rsidRPr="00000000" w14:paraId="0000002D">
      <w:pPr>
        <w:shd w:fill="ffffff" w:val="clear"/>
        <w:spacing w:after="0" w:line="240" w:lineRule="auto"/>
        <w:rPr>
          <w:sz w:val="24"/>
          <w:szCs w:val="24"/>
        </w:rPr>
      </w:pPr>
      <w:r w:rsidDel="00000000" w:rsidR="00000000" w:rsidRPr="00000000">
        <w:rPr>
          <w:sz w:val="24"/>
          <w:szCs w:val="24"/>
          <w:rtl w:val="0"/>
        </w:rPr>
        <w:t xml:space="preserve">La légende de la figure ci-dessous est :</w:t>
      </w:r>
    </w:p>
    <w:p w:rsidR="00000000" w:rsidDel="00000000" w:rsidP="00000000" w:rsidRDefault="00000000" w:rsidRPr="00000000" w14:paraId="0000002E">
      <w:pPr>
        <w:shd w:fill="ffffff" w:val="clear"/>
        <w:spacing w:after="0" w:line="240" w:lineRule="auto"/>
        <w:rPr>
          <w:sz w:val="24"/>
          <w:szCs w:val="24"/>
        </w:rPr>
      </w:pPr>
      <w:r w:rsidDel="00000000" w:rsidR="00000000" w:rsidRPr="00000000">
        <w:rPr>
          <w:sz w:val="24"/>
          <w:szCs w:val="24"/>
          <w:rtl w:val="0"/>
        </w:rPr>
        <w:t xml:space="preserve"> 1 : membrane interne  mitochondriale    2 : malate   3 : malate deshydrogenase   </w:t>
      </w:r>
    </w:p>
    <w:p w:rsidR="00000000" w:rsidDel="00000000" w:rsidP="00000000" w:rsidRDefault="00000000" w:rsidRPr="00000000" w14:paraId="0000002F">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30">
      <w:pPr>
        <w:shd w:fill="ffffff" w:val="clear"/>
        <w:spacing w:after="0" w:line="240" w:lineRule="auto"/>
        <w:rPr>
          <w:sz w:val="24"/>
          <w:szCs w:val="24"/>
        </w:rPr>
      </w:pPr>
      <w:r w:rsidDel="00000000" w:rsidR="00000000" w:rsidRPr="00000000">
        <w:rPr>
          <w:sz w:val="24"/>
          <w:szCs w:val="24"/>
          <w:rtl w:val="0"/>
        </w:rPr>
        <w:t xml:space="preserve">L’intérêt de ces réactions est de transporter l’oxaloacetate à l’extérieur de la mitochondrie sous forme de malate car ce dernier a un système navette lui permettant de quitter la mitochondrie  </w:t>
      </w:r>
    </w:p>
    <w:p w:rsidR="00000000" w:rsidDel="00000000" w:rsidP="00000000" w:rsidRDefault="00000000" w:rsidRPr="00000000" w14:paraId="00000031">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32">
      <w:pPr>
        <w:shd w:fill="ffffff" w:val="clear"/>
        <w:spacing w:after="0" w:line="240" w:lineRule="auto"/>
        <w:rPr>
          <w:b w:val="1"/>
          <w:sz w:val="24"/>
          <w:szCs w:val="24"/>
          <w:u w:val="single"/>
        </w:rPr>
      </w:pPr>
      <w:r w:rsidDel="00000000" w:rsidR="00000000" w:rsidRPr="00000000">
        <w:rPr>
          <w:b w:val="1"/>
          <w:sz w:val="24"/>
          <w:szCs w:val="24"/>
          <w:u w:val="single"/>
          <w:rtl w:val="0"/>
        </w:rPr>
        <w:t xml:space="preserve">Exercice n : 4</w:t>
      </w:r>
    </w:p>
    <w:p w:rsidR="00000000" w:rsidDel="00000000" w:rsidP="00000000" w:rsidRDefault="00000000" w:rsidRPr="00000000" w14:paraId="00000033">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34">
      <w:pPr>
        <w:shd w:fill="ffffff" w:val="clear"/>
        <w:tabs>
          <w:tab w:val="left" w:leader="none" w:pos="3766"/>
        </w:tabs>
        <w:spacing w:after="0" w:line="240" w:lineRule="auto"/>
        <w:rPr>
          <w:b w:val="1"/>
          <w:u w:val="single"/>
        </w:rPr>
      </w:pPr>
      <w:r w:rsidDel="00000000" w:rsidR="00000000" w:rsidRPr="00000000">
        <w:rPr>
          <w:rtl w:val="0"/>
        </w:rPr>
      </w:r>
    </w:p>
    <w:p w:rsidR="00000000" w:rsidDel="00000000" w:rsidP="00000000" w:rsidRDefault="00000000" w:rsidRPr="00000000" w14:paraId="00000035">
      <w:pPr>
        <w:shd w:fill="ffffff" w:val="clear"/>
        <w:tabs>
          <w:tab w:val="left" w:leader="none" w:pos="3766"/>
        </w:tabs>
        <w:spacing w:after="0" w:line="240" w:lineRule="auto"/>
        <w:rPr>
          <w:b w:val="1"/>
          <w:u w:val="single"/>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drawing>
          <wp:inline distB="0" distT="0" distL="0" distR="0">
            <wp:extent cx="5760720" cy="1720396"/>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0720" cy="172039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shd w:fill="ffffff" w:val="clear"/>
        <w:spacing w:after="0" w:line="240" w:lineRule="auto"/>
        <w:rPr>
          <w:sz w:val="24"/>
          <w:szCs w:val="24"/>
        </w:rPr>
      </w:pPr>
      <w:r w:rsidDel="00000000" w:rsidR="00000000" w:rsidRPr="00000000">
        <w:rPr>
          <w:sz w:val="24"/>
          <w:szCs w:val="24"/>
          <w:rtl w:val="0"/>
        </w:rPr>
        <w:t xml:space="preserve">Les globules rouges ont besoin en permanence de NADPH/H</w:t>
      </w:r>
      <w:r w:rsidDel="00000000" w:rsidR="00000000" w:rsidRPr="00000000">
        <w:rPr>
          <w:sz w:val="24"/>
          <w:szCs w:val="24"/>
          <w:vertAlign w:val="superscript"/>
          <w:rtl w:val="0"/>
        </w:rPr>
        <w:t xml:space="preserve">+.</w:t>
      </w:r>
      <w:r w:rsidDel="00000000" w:rsidR="00000000" w:rsidRPr="00000000">
        <w:rPr>
          <w:sz w:val="24"/>
          <w:szCs w:val="24"/>
          <w:rtl w:val="0"/>
        </w:rPr>
        <w:t xml:space="preserve"> </w:t>
      </w:r>
    </w:p>
    <w:p w:rsidR="00000000" w:rsidDel="00000000" w:rsidP="00000000" w:rsidRDefault="00000000" w:rsidRPr="00000000" w14:paraId="00000039">
      <w:pPr>
        <w:shd w:fill="ffffff" w:val="clear"/>
        <w:spacing w:after="0" w:line="240" w:lineRule="auto"/>
        <w:rPr>
          <w:sz w:val="24"/>
          <w:szCs w:val="24"/>
        </w:rPr>
      </w:pPr>
      <w:r w:rsidDel="00000000" w:rsidR="00000000" w:rsidRPr="00000000">
        <w:rPr>
          <w:sz w:val="24"/>
          <w:szCs w:val="24"/>
          <w:rtl w:val="0"/>
        </w:rPr>
        <w:t xml:space="preserve">En cas de déficit enzymatique en G6PDH, le NADPH/H</w:t>
      </w:r>
      <w:r w:rsidDel="00000000" w:rsidR="00000000" w:rsidRPr="00000000">
        <w:rPr>
          <w:sz w:val="24"/>
          <w:szCs w:val="24"/>
          <w:vertAlign w:val="superscript"/>
          <w:rtl w:val="0"/>
        </w:rPr>
        <w:t xml:space="preserve">+ </w:t>
      </w:r>
      <w:r w:rsidDel="00000000" w:rsidR="00000000" w:rsidRPr="00000000">
        <w:rPr>
          <w:sz w:val="24"/>
          <w:szCs w:val="24"/>
          <w:rtl w:val="0"/>
        </w:rPr>
        <w:t xml:space="preserve">manque pour la régénération du glutathion. Consécutivement, les peroxydes et les radicaux oxygénés endommagent la membrane érythrocytaire, ce qui provoque une destruction des globules rouges pouvant entraîner une anémie hémolytique sévère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shd w:fill="ffffff" w:val="clear"/>
        <w:spacing w:after="0" w:line="240" w:lineRule="auto"/>
        <w:rPr>
          <w:b w:val="1"/>
          <w:sz w:val="24"/>
          <w:szCs w:val="24"/>
          <w:u w:val="single"/>
        </w:rPr>
      </w:pPr>
      <w:r w:rsidDel="00000000" w:rsidR="00000000" w:rsidRPr="00000000">
        <w:rPr>
          <w:b w:val="1"/>
          <w:sz w:val="24"/>
          <w:szCs w:val="24"/>
          <w:u w:val="single"/>
          <w:rtl w:val="0"/>
        </w:rPr>
        <w:t xml:space="preserve">Exercice n= 5</w:t>
      </w:r>
    </w:p>
    <w:p w:rsidR="00000000" w:rsidDel="00000000" w:rsidP="00000000" w:rsidRDefault="00000000" w:rsidRPr="00000000" w14:paraId="0000003C">
      <w:pPr>
        <w:shd w:fill="ffffff" w:val="clear"/>
        <w:spacing w:after="0" w:line="240" w:lineRule="auto"/>
        <w:rPr>
          <w:sz w:val="24"/>
          <w:szCs w:val="24"/>
        </w:rPr>
      </w:pPr>
      <w:r w:rsidDel="00000000" w:rsidR="00000000" w:rsidRPr="00000000">
        <w:rPr>
          <w:rtl w:val="0"/>
        </w:rPr>
        <w:t xml:space="preserve">La</w:t>
      </w:r>
      <w:r w:rsidDel="00000000" w:rsidR="00000000" w:rsidRPr="00000000">
        <w:rPr>
          <w:sz w:val="24"/>
          <w:szCs w:val="24"/>
          <w:rtl w:val="0"/>
        </w:rPr>
        <w:t xml:space="preserve"> légende de la figure est la suivante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HSCOA   ( COENZYME A)       2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 :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 : CO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 :acetyl COA            6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7 :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 : CO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9: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 : NADH,H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 HSCOA      12   : CO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13:  SUCCINYL COA    14:   GDP    15:  GTP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  HSCOA   17:  FAD    18:  FADH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19: NAD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 : NADH 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21:  OXALOACETATE             22 : CYCLE DE KREBS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83"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hd w:fill="ffffff" w:val="clear"/>
        <w:spacing w:after="0" w:line="240" w:lineRule="auto"/>
        <w:rPr>
          <w:b w:val="1"/>
          <w:sz w:val="24"/>
          <w:szCs w:val="24"/>
          <w:u w:val="single"/>
        </w:rPr>
      </w:pPr>
      <w:r w:rsidDel="00000000" w:rsidR="00000000" w:rsidRPr="00000000">
        <w:rPr>
          <w:b w:val="1"/>
          <w:sz w:val="24"/>
          <w:szCs w:val="24"/>
          <w:u w:val="single"/>
          <w:rtl w:val="0"/>
        </w:rPr>
        <w:t xml:space="preserve">Exercice n= 6</w:t>
      </w:r>
    </w:p>
    <w:p w:rsidR="00000000" w:rsidDel="00000000" w:rsidP="00000000" w:rsidRDefault="00000000" w:rsidRPr="00000000" w14:paraId="00000040">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41">
      <w:pPr>
        <w:shd w:fill="ffffff" w:val="clear"/>
        <w:spacing w:after="0" w:line="240" w:lineRule="auto"/>
        <w:rPr>
          <w:sz w:val="24"/>
          <w:szCs w:val="24"/>
        </w:rPr>
      </w:pPr>
      <w:r w:rsidDel="00000000" w:rsidR="00000000" w:rsidRPr="00000000">
        <w:rPr>
          <w:sz w:val="24"/>
          <w:szCs w:val="24"/>
          <w:rtl w:val="0"/>
        </w:rPr>
        <w:t xml:space="preserve">1-Le glycogène est la forme de</w:t>
      </w:r>
      <w:r w:rsidDel="00000000" w:rsidR="00000000" w:rsidRPr="00000000">
        <w:rPr>
          <w:sz w:val="28"/>
          <w:szCs w:val="28"/>
          <w:rtl w:val="0"/>
        </w:rPr>
        <w:t xml:space="preserve"> </w:t>
      </w:r>
      <w:r w:rsidDel="00000000" w:rsidR="00000000" w:rsidRPr="00000000">
        <w:rPr>
          <w:sz w:val="24"/>
          <w:szCs w:val="24"/>
          <w:rtl w:val="0"/>
        </w:rPr>
        <w:t xml:space="preserve">stockage du glucose chez les animaux au niveau du foie et des muscles. Le stock de glycogène hépatique et musculaire n’a pas la même signification physiologique : en effet seul le foie est capable de libérer du glucose à partir de la glycogénolyse pour maintenir la glycémie, alors que le muscle ne possède pas la glucose-6-phosphatase ne pouvant pas hydrolyser le G-6-P en glucose issu de la glycogénolyse qui est donc utilisé à son profit à des fins énergétiques. Sur ce cela permet, néanmoins d’épargner le glucose sanguin et donc indirectement de maintenir la glycémie. </w:t>
      </w:r>
    </w:p>
    <w:p w:rsidR="00000000" w:rsidDel="00000000" w:rsidP="00000000" w:rsidRDefault="00000000" w:rsidRPr="00000000" w14:paraId="00000042">
      <w:pPr>
        <w:shd w:fill="ffffff" w:val="clear"/>
        <w:spacing w:after="0" w:line="240" w:lineRule="auto"/>
        <w:rPr>
          <w:sz w:val="24"/>
          <w:szCs w:val="24"/>
        </w:rPr>
      </w:pPr>
      <w:r w:rsidDel="00000000" w:rsidR="00000000" w:rsidRPr="00000000">
        <w:rPr>
          <w:rtl w:val="0"/>
        </w:rPr>
      </w:r>
    </w:p>
    <w:p w:rsidR="00000000" w:rsidDel="00000000" w:rsidP="00000000" w:rsidRDefault="00000000" w:rsidRPr="00000000" w14:paraId="00000043">
      <w:pPr>
        <w:shd w:fill="ffffff" w:val="clear"/>
        <w:spacing w:after="0" w:line="240" w:lineRule="auto"/>
        <w:rPr>
          <w:sz w:val="24"/>
          <w:szCs w:val="24"/>
        </w:rPr>
      </w:pPr>
      <w:r w:rsidDel="00000000" w:rsidR="00000000" w:rsidRPr="00000000">
        <w:rPr>
          <w:sz w:val="24"/>
          <w:szCs w:val="24"/>
          <w:rtl w:val="0"/>
        </w:rPr>
        <w:t xml:space="preserve">2-  la glycogénolyse tissulaire (hépatique et musculaire) résulte d’une phosphorolyse alors que la glycogénolyse intestinale (glycogène alimentaire) résulte d’une hydrolyse</w:t>
      </w:r>
    </w:p>
    <w:p w:rsidR="00000000" w:rsidDel="00000000" w:rsidP="00000000" w:rsidRDefault="00000000" w:rsidRPr="00000000" w14:paraId="00000044">
      <w:pPr>
        <w:shd w:fill="ffffff" w:val="clear"/>
        <w:spacing w:after="0" w:line="240" w:lineRule="auto"/>
        <w:rPr>
          <w:sz w:val="24"/>
          <w:szCs w:val="24"/>
        </w:rPr>
      </w:pPr>
      <w:r w:rsidDel="00000000" w:rsidR="00000000" w:rsidRPr="00000000">
        <w:rPr>
          <w:sz w:val="24"/>
          <w:szCs w:val="24"/>
          <w:rtl w:val="0"/>
        </w:rPr>
        <w:t xml:space="preserve">Au niveau musculaire : si la glycogénolyse résultait d’une hydrolyse, le glucose devrait être phosphorylé, avec consommation d’une molécule d’ATP, pour entrer en glycolyse. Le bilan enérgétique de la glycolyse musculaire en anaérobiose serait diminué de moitié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bookmarkStart w:colFirst="0" w:colLast="0" w:name="_gjdgxs" w:id="0"/>
      <w:bookmarkEnd w:id="0"/>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don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6" w:hanging="360.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bullet"/>
      <w:lvlText w:val="-"/>
      <w:lvlJc w:val="left"/>
      <w:pPr>
        <w:ind w:left="1080" w:hanging="360"/>
      </w:pPr>
      <w:rPr>
        <w:rFonts w:ascii="Bodoni" w:cs="Bodoni" w:eastAsia="Bodoni" w:hAnsi="Bodon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4"/>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