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509F" w:rsidRDefault="004856B0">
      <w:pPr>
        <w:rPr>
          <w:b/>
          <w:bCs/>
          <w:sz w:val="40"/>
          <w:szCs w:val="40"/>
          <w:lang w:val="fr-FR"/>
        </w:rPr>
      </w:pPr>
      <w:r>
        <w:rPr>
          <w:b/>
          <w:bCs/>
          <w:sz w:val="40"/>
          <w:szCs w:val="40"/>
          <w:lang w:val="fr-FR"/>
        </w:rPr>
        <w:t xml:space="preserve">          </w:t>
      </w:r>
      <w:r w:rsidR="00CE57B8">
        <w:rPr>
          <w:rFonts w:ascii="Open Sans" w:hAnsi="Open Sans" w:cs="Open Sans"/>
          <w:b/>
          <w:bCs/>
          <w:noProof/>
          <w:color w:val="212529"/>
          <w:sz w:val="26"/>
          <w:szCs w:val="26"/>
          <w:shd w:val="clear" w:color="auto" w:fill="FFFFFF"/>
        </w:rPr>
        <w:drawing>
          <wp:inline distT="0" distB="0" distL="0" distR="0" wp14:anchorId="32E3D5B1" wp14:editId="6989C6C2">
            <wp:extent cx="783110" cy="759854"/>
            <wp:effectExtent l="0" t="0" r="4445" b="2540"/>
            <wp:docPr id="12210440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44026" name="Image 12210440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0242" cy="1475096"/>
                    </a:xfrm>
                    <a:prstGeom prst="rect">
                      <a:avLst/>
                    </a:prstGeom>
                  </pic:spPr>
                </pic:pic>
              </a:graphicData>
            </a:graphic>
          </wp:inline>
        </w:drawing>
      </w:r>
      <w:r>
        <w:rPr>
          <w:b/>
          <w:bCs/>
          <w:sz w:val="40"/>
          <w:szCs w:val="40"/>
          <w:lang w:val="fr-FR"/>
        </w:rPr>
        <w:t xml:space="preserve">        </w:t>
      </w:r>
      <w:r w:rsidRPr="004856B0">
        <w:rPr>
          <w:b/>
          <w:bCs/>
          <w:sz w:val="40"/>
          <w:szCs w:val="40"/>
          <w:lang w:val="fr-FR"/>
        </w:rPr>
        <w:t xml:space="preserve">CANCER DU PANCREAS </w:t>
      </w:r>
    </w:p>
    <w:p w:rsidR="004856B0" w:rsidRDefault="004856B0">
      <w:pPr>
        <w:rPr>
          <w:b/>
          <w:bCs/>
          <w:sz w:val="40"/>
          <w:szCs w:val="40"/>
          <w:lang w:val="fr-FR"/>
        </w:rPr>
      </w:pPr>
      <w:r>
        <w:rPr>
          <w:b/>
          <w:bCs/>
          <w:sz w:val="40"/>
          <w:szCs w:val="40"/>
          <w:lang w:val="fr-FR"/>
        </w:rPr>
        <w:t xml:space="preserve">                                     PR BENDRIDI   M.</w:t>
      </w:r>
    </w:p>
    <w:p w:rsidR="004856B0" w:rsidRDefault="004856B0">
      <w:pPr>
        <w:rPr>
          <w:sz w:val="36"/>
          <w:szCs w:val="36"/>
          <w:lang w:val="fr-FR"/>
        </w:rPr>
      </w:pPr>
      <w:r>
        <w:rPr>
          <w:sz w:val="36"/>
          <w:szCs w:val="36"/>
          <w:lang w:val="fr-FR"/>
        </w:rPr>
        <w:t xml:space="preserve">                         </w:t>
      </w:r>
      <w:r w:rsidRPr="004856B0">
        <w:rPr>
          <w:sz w:val="36"/>
          <w:szCs w:val="36"/>
          <w:lang w:val="fr-FR"/>
        </w:rPr>
        <w:t xml:space="preserve">MODULE DE GASTRO-ENTEROLOGIE </w:t>
      </w:r>
      <w:r w:rsidR="006306BA">
        <w:rPr>
          <w:sz w:val="36"/>
          <w:szCs w:val="36"/>
          <w:lang w:val="fr-FR"/>
        </w:rPr>
        <w:t>2025</w:t>
      </w:r>
    </w:p>
    <w:p w:rsidR="004856B0" w:rsidRDefault="004856B0">
      <w:pPr>
        <w:rPr>
          <w:sz w:val="36"/>
          <w:szCs w:val="36"/>
          <w:lang w:val="fr-FR"/>
        </w:rPr>
      </w:pPr>
      <w:r>
        <w:rPr>
          <w:sz w:val="36"/>
          <w:szCs w:val="36"/>
          <w:lang w:val="fr-FR"/>
        </w:rPr>
        <w:t xml:space="preserve">          SERVICE DE CHIRURGIE VISCERALE ET ENDOCRINIENNE</w:t>
      </w:r>
    </w:p>
    <w:p w:rsidR="004856B0" w:rsidRDefault="004856B0">
      <w:pPr>
        <w:rPr>
          <w:sz w:val="36"/>
          <w:szCs w:val="36"/>
          <w:lang w:val="fr-FR"/>
        </w:rPr>
      </w:pPr>
      <w:r>
        <w:rPr>
          <w:sz w:val="36"/>
          <w:szCs w:val="36"/>
          <w:lang w:val="fr-FR"/>
        </w:rPr>
        <w:t xml:space="preserve">                                  E.H. DIDOUCHE MOURAD – UC 3</w:t>
      </w:r>
    </w:p>
    <w:p w:rsidR="000B52F4" w:rsidRDefault="000B52F4">
      <w:pPr>
        <w:rPr>
          <w:sz w:val="36"/>
          <w:szCs w:val="36"/>
          <w:lang w:val="fr-FR"/>
        </w:rPr>
      </w:pPr>
    </w:p>
    <w:p w:rsidR="000B52F4" w:rsidRPr="000B52F4" w:rsidRDefault="000B52F4" w:rsidP="000B52F4">
      <w:pPr>
        <w:pStyle w:val="Paragraphedeliste"/>
        <w:numPr>
          <w:ilvl w:val="0"/>
          <w:numId w:val="4"/>
        </w:numPr>
        <w:jc w:val="both"/>
        <w:rPr>
          <w:lang w:val="fr-FR"/>
        </w:rPr>
      </w:pPr>
      <w:r w:rsidRPr="000B52F4">
        <w:rPr>
          <w:lang w:val="fr-FR"/>
        </w:rPr>
        <w:t xml:space="preserve">INTRODUCTION : </w:t>
      </w:r>
    </w:p>
    <w:p w:rsidR="000B52F4" w:rsidRDefault="000B52F4" w:rsidP="000B52F4">
      <w:pPr>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L’adénocarcinome du pancréas (AP) représente 90 % des tumeurs du pancréas et devrait être la deuxième cause de mortalité par cancer en Europe et aux États Unis en 2030. Une augmentation de l’incidence plus particulièrement marquée chez les femmes jeunes est observée aux Etats-Unis (+7,68 %/an chez les moins de 35 ans).</w:t>
      </w:r>
      <w:r w:rsidRPr="000B52F4">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Il reste le cancer digestif dont le pronostic est le plus défavorable, avec un taux de survie globale (SG) nette standardisée à 5 ans, tous stades confondus, de 11 % (INCa, 2023).</w:t>
      </w:r>
    </w:p>
    <w:p w:rsidR="000B52F4" w:rsidRDefault="000B52F4" w:rsidP="000B52F4">
      <w:pPr>
        <w:pStyle w:val="Paragraphedeliste"/>
        <w:numPr>
          <w:ilvl w:val="0"/>
          <w:numId w:val="4"/>
        </w:numPr>
        <w:jc w:val="both"/>
        <w:rPr>
          <w:sz w:val="40"/>
          <w:szCs w:val="40"/>
          <w:vertAlign w:val="subscript"/>
          <w:lang w:val="fr-FR"/>
        </w:rPr>
      </w:pPr>
      <w:r w:rsidRPr="000B52F4">
        <w:rPr>
          <w:sz w:val="40"/>
          <w:szCs w:val="40"/>
          <w:vertAlign w:val="subscript"/>
          <w:lang w:val="fr-FR"/>
        </w:rPr>
        <w:t>CLINIQUE</w:t>
      </w:r>
      <w:r>
        <w:rPr>
          <w:sz w:val="40"/>
          <w:szCs w:val="40"/>
          <w:vertAlign w:val="subscript"/>
          <w:lang w:val="fr-FR"/>
        </w:rPr>
        <w:t> :</w:t>
      </w:r>
    </w:p>
    <w:p w:rsidR="000B52F4" w:rsidRDefault="000B52F4" w:rsidP="000B52F4">
      <w:pPr>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Le type et la chronologie des manifestations cliniques dépendent principalement du site de la tumeur primitive et de son stade au diagnostic.</w:t>
      </w:r>
    </w:p>
    <w:p w:rsidR="000B52F4" w:rsidRPr="000B52F4" w:rsidRDefault="000B52F4" w:rsidP="000B52F4">
      <w:pPr>
        <w:numPr>
          <w:ilvl w:val="0"/>
          <w:numId w:val="5"/>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0B52F4">
        <w:rPr>
          <w:rFonts w:ascii="Open Sans" w:eastAsia="Times New Roman" w:hAnsi="Open Sans" w:cs="Open Sans"/>
          <w:b/>
          <w:bCs/>
          <w:color w:val="212529"/>
          <w:kern w:val="0"/>
          <w:sz w:val="26"/>
          <w:szCs w:val="26"/>
          <w:lang w:eastAsia="fr-FR"/>
          <w14:ligatures w14:val="none"/>
        </w:rPr>
        <w:t>Une douleur</w:t>
      </w:r>
      <w:r w:rsidRPr="000B52F4">
        <w:rPr>
          <w:rFonts w:ascii="Open Sans" w:eastAsia="Times New Roman" w:hAnsi="Open Sans" w:cs="Open Sans"/>
          <w:color w:val="212529"/>
          <w:kern w:val="0"/>
          <w:sz w:val="26"/>
          <w:szCs w:val="26"/>
          <w:lang w:eastAsia="fr-FR"/>
          <w14:ligatures w14:val="none"/>
        </w:rPr>
        <w:t> souvent intense abdominale à irradiation postérieure et/ou dorsale, est évocatrice d’une tumeur non résécable par envahissement cœliaque et associée à un mauvais pronostic.</w:t>
      </w:r>
    </w:p>
    <w:p w:rsidR="000B52F4" w:rsidRPr="000B52F4" w:rsidRDefault="000B52F4" w:rsidP="000B52F4">
      <w:pPr>
        <w:numPr>
          <w:ilvl w:val="0"/>
          <w:numId w:val="5"/>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0B52F4">
        <w:rPr>
          <w:rFonts w:ascii="Open Sans" w:eastAsia="Times New Roman" w:hAnsi="Open Sans" w:cs="Open Sans"/>
          <w:b/>
          <w:bCs/>
          <w:color w:val="212529"/>
          <w:kern w:val="0"/>
          <w:sz w:val="26"/>
          <w:szCs w:val="26"/>
          <w:lang w:eastAsia="fr-FR"/>
          <w14:ligatures w14:val="none"/>
        </w:rPr>
        <w:t>L’ictère</w:t>
      </w:r>
      <w:r w:rsidRPr="000B52F4">
        <w:rPr>
          <w:rFonts w:ascii="Open Sans" w:eastAsia="Times New Roman" w:hAnsi="Open Sans" w:cs="Open Sans"/>
          <w:color w:val="212529"/>
          <w:kern w:val="0"/>
          <w:sz w:val="26"/>
          <w:szCs w:val="26"/>
          <w:lang w:eastAsia="fr-FR"/>
          <w14:ligatures w14:val="none"/>
        </w:rPr>
        <w:t> est un signe parfois précoce quand il est causé par une tumeur céphalique obstruant la voie biliaire principale.</w:t>
      </w:r>
    </w:p>
    <w:p w:rsidR="000B52F4" w:rsidRPr="000B52F4" w:rsidRDefault="000B52F4" w:rsidP="000B52F4">
      <w:pPr>
        <w:numPr>
          <w:ilvl w:val="0"/>
          <w:numId w:val="5"/>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0B52F4">
        <w:rPr>
          <w:rFonts w:ascii="Open Sans" w:eastAsia="Times New Roman" w:hAnsi="Open Sans" w:cs="Open Sans"/>
          <w:b/>
          <w:bCs/>
          <w:color w:val="212529"/>
          <w:kern w:val="0"/>
          <w:sz w:val="26"/>
          <w:szCs w:val="26"/>
          <w:lang w:eastAsia="fr-FR"/>
          <w14:ligatures w14:val="none"/>
        </w:rPr>
        <w:t>Un diabète</w:t>
      </w:r>
      <w:r w:rsidRPr="000B52F4">
        <w:rPr>
          <w:rFonts w:ascii="Open Sans" w:eastAsia="Times New Roman" w:hAnsi="Open Sans" w:cs="Open Sans"/>
          <w:color w:val="212529"/>
          <w:kern w:val="0"/>
          <w:sz w:val="26"/>
          <w:szCs w:val="26"/>
          <w:lang w:eastAsia="fr-FR"/>
          <w14:ligatures w14:val="none"/>
        </w:rPr>
        <w:t> soit récent (&lt; 2 ans), causé par l’AP (ou diabète de type IIIc, paranéoplasique ou par obstruction canalaire avec atrophie pancréatique d’amont), soit ancien (facteur de risque, mieux documenté pour le diabète de type II), est présent dans 50% des cas. Ainsi, un diabète inaugural ou la décompensation d’un diabète ancien peuvent révéler un AP.</w:t>
      </w:r>
    </w:p>
    <w:p w:rsidR="000B52F4" w:rsidRPr="000B52F4" w:rsidRDefault="000B52F4" w:rsidP="000B52F4">
      <w:pPr>
        <w:numPr>
          <w:ilvl w:val="0"/>
          <w:numId w:val="5"/>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0B52F4">
        <w:rPr>
          <w:rFonts w:ascii="Open Sans" w:eastAsia="Times New Roman" w:hAnsi="Open Sans" w:cs="Open Sans"/>
          <w:b/>
          <w:bCs/>
          <w:color w:val="212529"/>
          <w:kern w:val="0"/>
          <w:sz w:val="26"/>
          <w:szCs w:val="26"/>
          <w:lang w:eastAsia="fr-FR"/>
          <w14:ligatures w14:val="none"/>
        </w:rPr>
        <w:t>D’autres modes de révélation</w:t>
      </w:r>
      <w:r w:rsidRPr="000B52F4">
        <w:rPr>
          <w:rFonts w:ascii="Open Sans" w:eastAsia="Times New Roman" w:hAnsi="Open Sans" w:cs="Open Sans"/>
          <w:color w:val="212529"/>
          <w:kern w:val="0"/>
          <w:sz w:val="26"/>
          <w:szCs w:val="26"/>
          <w:lang w:eastAsia="fr-FR"/>
          <w14:ligatures w14:val="none"/>
        </w:rPr>
        <w:t> sont plus rares : pancréatite aiguë, événement thrombo-embolique, occlusion, hémorragie digestive, diarrhée par maldigestion, ascite, anxiété/dépression ou panniculite (syndrome de Weber-Christian).</w:t>
      </w:r>
    </w:p>
    <w:p w:rsidR="00F157FF" w:rsidRDefault="000B52F4" w:rsidP="000B52F4">
      <w:pPr>
        <w:numPr>
          <w:ilvl w:val="0"/>
          <w:numId w:val="5"/>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0B52F4">
        <w:rPr>
          <w:rFonts w:ascii="Open Sans" w:eastAsia="Times New Roman" w:hAnsi="Open Sans" w:cs="Open Sans"/>
          <w:color w:val="212529"/>
          <w:kern w:val="0"/>
          <w:sz w:val="26"/>
          <w:szCs w:val="26"/>
          <w:lang w:eastAsia="fr-FR"/>
          <w14:ligatures w14:val="none"/>
        </w:rPr>
        <w:lastRenderedPageBreak/>
        <w:t>Il importe de préciser par l’interrogatoire les </w:t>
      </w:r>
      <w:r w:rsidRPr="000B52F4">
        <w:rPr>
          <w:rFonts w:ascii="Open Sans" w:eastAsia="Times New Roman" w:hAnsi="Open Sans" w:cs="Open Sans"/>
          <w:b/>
          <w:bCs/>
          <w:color w:val="212529"/>
          <w:kern w:val="0"/>
          <w:sz w:val="26"/>
          <w:szCs w:val="26"/>
          <w:lang w:eastAsia="fr-FR"/>
          <w14:ligatures w14:val="none"/>
        </w:rPr>
        <w:t>antécédents personnels et familiaux de cancers</w:t>
      </w:r>
      <w:r w:rsidRPr="000B52F4">
        <w:rPr>
          <w:rFonts w:ascii="Open Sans" w:eastAsia="Times New Roman" w:hAnsi="Open Sans" w:cs="Open Sans"/>
          <w:color w:val="212529"/>
          <w:kern w:val="0"/>
          <w:sz w:val="26"/>
          <w:szCs w:val="26"/>
          <w:lang w:eastAsia="fr-FR"/>
          <w14:ligatures w14:val="none"/>
        </w:rPr>
        <w:t> (recherche d’une forme familiale de cancer du pancréas) et/ou de maladie du pancréas</w:t>
      </w:r>
      <w:r w:rsidR="0050149F">
        <w:rPr>
          <w:rFonts w:ascii="Open Sans" w:eastAsia="Times New Roman" w:hAnsi="Open Sans" w:cs="Open Sans"/>
          <w:color w:val="212529"/>
          <w:kern w:val="0"/>
          <w:sz w:val="26"/>
          <w:szCs w:val="26"/>
          <w:lang w:eastAsia="fr-FR"/>
          <w14:ligatures w14:val="none"/>
        </w:rPr>
        <w:t>.</w:t>
      </w:r>
      <w:r w:rsidRPr="000B52F4">
        <w:rPr>
          <w:rFonts w:ascii="Open Sans" w:eastAsia="Times New Roman" w:hAnsi="Open Sans" w:cs="Open Sans"/>
          <w:color w:val="212529"/>
          <w:kern w:val="0"/>
          <w:sz w:val="26"/>
          <w:szCs w:val="26"/>
          <w:lang w:eastAsia="fr-FR"/>
          <w14:ligatures w14:val="none"/>
        </w:rPr>
        <w:t xml:space="preserve"> </w:t>
      </w:r>
    </w:p>
    <w:p w:rsidR="00DE32AD" w:rsidRDefault="00F157FF" w:rsidP="00F157FF">
      <w:pPr>
        <w:pStyle w:val="Paragraphedeliste"/>
        <w:numPr>
          <w:ilvl w:val="0"/>
          <w:numId w:val="4"/>
        </w:num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 xml:space="preserve">EXAMENS MORPHOLOGIQUES: </w:t>
      </w:r>
    </w:p>
    <w:p w:rsidR="00F157FF" w:rsidRPr="00DE32AD" w:rsidRDefault="00F157FF" w:rsidP="00DE32AD">
      <w:pPr>
        <w:shd w:val="clear" w:color="auto" w:fill="FFFFFF"/>
        <w:spacing w:before="100" w:beforeAutospacing="1" w:after="100" w:afterAutospacing="1"/>
        <w:ind w:left="360"/>
        <w:rPr>
          <w:rFonts w:ascii="Open Sans" w:eastAsia="Times New Roman" w:hAnsi="Open Sans" w:cs="Open Sans"/>
          <w:color w:val="212529"/>
          <w:kern w:val="0"/>
          <w:sz w:val="26"/>
          <w:szCs w:val="26"/>
          <w:lang w:eastAsia="fr-FR"/>
          <w14:ligatures w14:val="none"/>
        </w:rPr>
      </w:pPr>
      <w:r w:rsidRPr="00DE32AD">
        <w:rPr>
          <w:rFonts w:ascii="Open Sans" w:eastAsia="Times New Roman" w:hAnsi="Open Sans" w:cs="Open Sans"/>
          <w:color w:val="212529"/>
          <w:kern w:val="0"/>
          <w:sz w:val="26"/>
          <w:szCs w:val="26"/>
          <w:lang w:eastAsia="fr-FR"/>
          <w14:ligatures w14:val="none"/>
        </w:rPr>
        <w:t>A- TDM-TAP</w:t>
      </w:r>
    </w:p>
    <w:p w:rsidR="00DE32AD" w:rsidRDefault="00F157FF" w:rsidP="00F157FF">
      <w:pPr>
        <w:shd w:val="clear" w:color="auto" w:fill="FFFFFF"/>
        <w:spacing w:before="100" w:beforeAutospacing="1" w:after="100" w:afterAutospacing="1"/>
        <w:rPr>
          <w:rFonts w:ascii="Open Sans" w:hAnsi="Open Sans" w:cs="Open Sans"/>
          <w:color w:val="212529"/>
          <w:sz w:val="26"/>
          <w:szCs w:val="26"/>
          <w:shd w:val="clear" w:color="auto" w:fill="FFFFFF"/>
        </w:rPr>
      </w:pPr>
      <w:r>
        <w:rPr>
          <w:rFonts w:ascii="Open Sans" w:eastAsia="Times New Roman" w:hAnsi="Open Sans" w:cs="Open Sans"/>
          <w:color w:val="212529"/>
          <w:kern w:val="0"/>
          <w:sz w:val="26"/>
          <w:szCs w:val="26"/>
          <w:lang w:eastAsia="fr-FR"/>
          <w14:ligatures w14:val="none"/>
        </w:rPr>
        <w:t xml:space="preserve">   C’est l’examen de référence</w:t>
      </w:r>
      <w:r w:rsidR="000B52F4" w:rsidRPr="00F157FF">
        <w:rPr>
          <w:rFonts w:ascii="Open Sans" w:eastAsia="Times New Roman" w:hAnsi="Open Sans" w:cs="Open Sans"/>
          <w:color w:val="212529"/>
          <w:kern w:val="0"/>
          <w:sz w:val="26"/>
          <w:szCs w:val="26"/>
          <w:lang w:eastAsia="fr-FR"/>
          <w14:ligatures w14:val="none"/>
        </w:rPr>
        <w:t> </w:t>
      </w:r>
      <w:r>
        <w:rPr>
          <w:rFonts w:ascii="Open Sans" w:eastAsia="Times New Roman" w:hAnsi="Open Sans" w:cs="Open Sans"/>
          <w:color w:val="212529"/>
          <w:kern w:val="0"/>
          <w:sz w:val="26"/>
          <w:szCs w:val="26"/>
          <w:lang w:eastAsia="fr-FR"/>
          <w14:ligatures w14:val="none"/>
        </w:rPr>
        <w:t>après une échographie ayant suspecté une masse tumorale et ou une dilatation des voies biliaires.  S</w:t>
      </w:r>
      <w:r w:rsidRPr="00F157FF">
        <w:rPr>
          <w:rFonts w:ascii="Open Sans" w:eastAsia="Times New Roman" w:hAnsi="Open Sans" w:cs="Open Sans"/>
          <w:color w:val="212529"/>
          <w:kern w:val="0"/>
          <w:sz w:val="26"/>
          <w:szCs w:val="26"/>
          <w:lang w:eastAsia="fr-FR"/>
          <w14:ligatures w14:val="none"/>
        </w:rPr>
        <w:t>ans injection</w:t>
      </w:r>
      <w:r w:rsidR="00DE32AD">
        <w:rPr>
          <w:rFonts w:ascii="Open Sans" w:eastAsia="Times New Roman" w:hAnsi="Open Sans" w:cs="Open Sans"/>
          <w:color w:val="212529"/>
          <w:kern w:val="0"/>
          <w:sz w:val="26"/>
          <w:szCs w:val="26"/>
          <w:lang w:eastAsia="fr-FR"/>
          <w14:ligatures w14:val="none"/>
        </w:rPr>
        <w:t>,</w:t>
      </w:r>
      <w:r w:rsidRPr="00F157FF">
        <w:rPr>
          <w:rFonts w:ascii="Open Sans" w:eastAsia="Times New Roman" w:hAnsi="Open Sans" w:cs="Open Sans"/>
          <w:color w:val="212529"/>
          <w:kern w:val="0"/>
          <w:sz w:val="26"/>
          <w:szCs w:val="26"/>
          <w:lang w:eastAsia="fr-FR"/>
          <w14:ligatures w14:val="none"/>
        </w:rPr>
        <w:t xml:space="preserve"> puis après injection intraveineuse de produit de contraste iodé, une phase artérielle tardive, dite parenchymateuse pancréatique (à 40-50 secondes) ; suivie d’une phase veineuse portale (à 65-70 secondes).        </w:t>
      </w:r>
      <w:r w:rsidRPr="00F157FF">
        <w:rPr>
          <w:rFonts w:ascii="Open Sans" w:eastAsia="Times New Roman" w:hAnsi="Open Sans" w:cs="Open Sans"/>
          <w:color w:val="212529"/>
          <w:kern w:val="0"/>
          <w:sz w:val="26"/>
          <w:szCs w:val="26"/>
          <w:lang w:eastAsia="fr-FR"/>
          <w14:ligatures w14:val="none"/>
        </w:rPr>
        <w:br/>
      </w:r>
      <w:r>
        <w:rPr>
          <w:rFonts w:ascii="Open Sans" w:hAnsi="Open Sans" w:cs="Open Sans"/>
          <w:color w:val="212529"/>
          <w:sz w:val="26"/>
          <w:szCs w:val="26"/>
          <w:shd w:val="clear" w:color="auto" w:fill="FFFFFF"/>
        </w:rPr>
        <w:t>Les AP, tant au niveau de la tumeur primitive que des métastases, sont typiquement hypodenses à la phase artérielle et isodenses/faiblement rehaussées à la phase portale. Des reconstructions peuvent être réalisées en complément de l’acquisition pour l’étude vascu</w:t>
      </w:r>
      <w:r w:rsidR="00DE32AD">
        <w:rPr>
          <w:rFonts w:ascii="Open Sans" w:hAnsi="Open Sans" w:cs="Open Sans"/>
          <w:color w:val="212529"/>
          <w:sz w:val="26"/>
          <w:szCs w:val="26"/>
          <w:shd w:val="clear" w:color="auto" w:fill="FFFFFF"/>
        </w:rPr>
        <w:t>laire.</w:t>
      </w:r>
    </w:p>
    <w:p w:rsidR="00DE32AD" w:rsidRPr="00DE32AD" w:rsidRDefault="00DE32AD" w:rsidP="00DE32AD">
      <w:pPr>
        <w:numPr>
          <w:ilvl w:val="0"/>
          <w:numId w:val="7"/>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DE32AD">
        <w:rPr>
          <w:rFonts w:ascii="Open Sans" w:eastAsia="Times New Roman" w:hAnsi="Open Sans" w:cs="Open Sans"/>
          <w:b/>
          <w:bCs/>
          <w:color w:val="212529"/>
          <w:kern w:val="0"/>
          <w:sz w:val="26"/>
          <w:szCs w:val="26"/>
          <w:lang w:eastAsia="fr-FR"/>
          <w14:ligatures w14:val="none"/>
        </w:rPr>
        <w:t>L’évaluation de la résécabilité </w:t>
      </w:r>
      <w:r w:rsidRPr="00DE32AD">
        <w:rPr>
          <w:rFonts w:ascii="Open Sans" w:eastAsia="Times New Roman" w:hAnsi="Open Sans" w:cs="Open Sans"/>
          <w:color w:val="212529"/>
          <w:kern w:val="0"/>
          <w:sz w:val="26"/>
          <w:szCs w:val="26"/>
          <w:lang w:eastAsia="fr-FR"/>
          <w14:ligatures w14:val="none"/>
        </w:rPr>
        <w:t>de l’AP à la TDM implique la description précise de l’atteinte (circonférence de contact, présence d’un rétrécissement vasculaire ou d’une irrégularité des contours) des artères (artère mésentérique supérieure [AMS]</w:t>
      </w:r>
      <w:r>
        <w:rPr>
          <w:rFonts w:ascii="Open Sans" w:eastAsia="Times New Roman" w:hAnsi="Open Sans" w:cs="Open Sans"/>
          <w:color w:val="212529"/>
          <w:kern w:val="0"/>
          <w:sz w:val="26"/>
          <w:szCs w:val="26"/>
          <w:lang w:eastAsia="fr-FR"/>
          <w14:ligatures w14:val="none"/>
        </w:rPr>
        <w:t>.</w:t>
      </w:r>
    </w:p>
    <w:p w:rsidR="00DE32AD" w:rsidRPr="00DE32AD" w:rsidRDefault="00DE32AD" w:rsidP="00DE32AD">
      <w:pPr>
        <w:numPr>
          <w:ilvl w:val="0"/>
          <w:numId w:val="7"/>
        </w:num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sidRPr="00DE32AD">
        <w:rPr>
          <w:rFonts w:ascii="Open Sans" w:eastAsia="Times New Roman" w:hAnsi="Open Sans" w:cs="Open Sans"/>
          <w:b/>
          <w:bCs/>
          <w:color w:val="212529"/>
          <w:kern w:val="0"/>
          <w:sz w:val="26"/>
          <w:szCs w:val="26"/>
          <w:lang w:eastAsia="fr-FR"/>
          <w14:ligatures w14:val="none"/>
        </w:rPr>
        <w:t>La standardisation du compte-rendu</w:t>
      </w:r>
      <w:r w:rsidRPr="00DE32AD">
        <w:rPr>
          <w:rFonts w:ascii="Open Sans" w:eastAsia="Times New Roman" w:hAnsi="Open Sans" w:cs="Open Sans"/>
          <w:color w:val="212529"/>
          <w:kern w:val="0"/>
          <w:sz w:val="26"/>
          <w:szCs w:val="26"/>
          <w:lang w:eastAsia="fr-FR"/>
          <w14:ligatures w14:val="none"/>
        </w:rPr>
        <w:t>, sous forme de check-list</w:t>
      </w:r>
      <w:r>
        <w:rPr>
          <w:rFonts w:ascii="Open Sans" w:eastAsia="Times New Roman" w:hAnsi="Open Sans" w:cs="Open Sans"/>
          <w:color w:val="212529"/>
          <w:kern w:val="0"/>
          <w:sz w:val="26"/>
          <w:szCs w:val="26"/>
          <w:lang w:eastAsia="fr-FR"/>
          <w14:ligatures w14:val="none"/>
        </w:rPr>
        <w:t>.</w:t>
      </w:r>
    </w:p>
    <w:p w:rsidR="00DE32AD" w:rsidRPr="00DE32AD" w:rsidRDefault="00DE32AD" w:rsidP="00F157FF">
      <w:pPr>
        <w:numPr>
          <w:ilvl w:val="0"/>
          <w:numId w:val="7"/>
        </w:numPr>
        <w:shd w:val="clear" w:color="auto" w:fill="FFFFFF"/>
        <w:spacing w:before="100" w:beforeAutospacing="1" w:after="100" w:afterAutospacing="1"/>
        <w:jc w:val="both"/>
        <w:rPr>
          <w:rFonts w:ascii="Open Sans" w:hAnsi="Open Sans" w:cs="Open Sans"/>
          <w:color w:val="212529"/>
          <w:sz w:val="26"/>
          <w:szCs w:val="26"/>
          <w:shd w:val="clear" w:color="auto" w:fill="FFFFFF"/>
        </w:rPr>
      </w:pPr>
      <w:r w:rsidRPr="00DE32AD">
        <w:rPr>
          <w:rFonts w:ascii="Open Sans" w:eastAsia="Times New Roman" w:hAnsi="Open Sans" w:cs="Open Sans"/>
          <w:b/>
          <w:bCs/>
          <w:color w:val="212529"/>
          <w:kern w:val="0"/>
          <w:sz w:val="26"/>
          <w:szCs w:val="26"/>
          <w:lang w:eastAsia="fr-FR"/>
          <w14:ligatures w14:val="none"/>
        </w:rPr>
        <w:t>L’imagerie au moment de l’évaluation doit impérativement être récente</w:t>
      </w:r>
      <w:r w:rsidRPr="00DE32AD">
        <w:rPr>
          <w:rFonts w:ascii="Open Sans" w:eastAsia="Times New Roman" w:hAnsi="Open Sans" w:cs="Open Sans"/>
          <w:color w:val="212529"/>
          <w:kern w:val="0"/>
          <w:sz w:val="26"/>
          <w:szCs w:val="26"/>
          <w:lang w:eastAsia="fr-FR"/>
          <w14:ligatures w14:val="none"/>
        </w:rPr>
        <w:t> (&lt;4 semaines) </w:t>
      </w:r>
      <w:r w:rsidR="00196B27" w:rsidRPr="00DE32AD">
        <w:rPr>
          <w:rFonts w:ascii="Open Sans" w:eastAsia="Times New Roman" w:hAnsi="Open Sans" w:cs="Open Sans"/>
          <w:color w:val="212529"/>
          <w:kern w:val="0"/>
          <w:sz w:val="26"/>
          <w:szCs w:val="26"/>
          <w:lang w:eastAsia="fr-FR"/>
          <w14:ligatures w14:val="none"/>
        </w:rPr>
        <w:t xml:space="preserve"> </w:t>
      </w:r>
      <w:r w:rsidRPr="00DE32AD">
        <w:rPr>
          <w:rFonts w:ascii="Open Sans" w:eastAsia="Times New Roman" w:hAnsi="Open Sans" w:cs="Open Sans"/>
          <w:color w:val="212529"/>
          <w:kern w:val="0"/>
          <w:sz w:val="26"/>
          <w:szCs w:val="26"/>
          <w:lang w:eastAsia="fr-FR"/>
          <w14:ligatures w14:val="none"/>
        </w:rPr>
        <w:t xml:space="preserve">car l’évolution des AP peut être rapide et un délai plus long augmente le risque </w:t>
      </w:r>
      <w:r>
        <w:rPr>
          <w:rFonts w:ascii="Open Sans" w:eastAsia="Times New Roman" w:hAnsi="Open Sans" w:cs="Open Sans"/>
          <w:color w:val="212529"/>
          <w:kern w:val="0"/>
          <w:sz w:val="26"/>
          <w:szCs w:val="26"/>
          <w:lang w:eastAsia="fr-FR"/>
          <w14:ligatures w14:val="none"/>
        </w:rPr>
        <w:t>.</w:t>
      </w:r>
    </w:p>
    <w:p w:rsidR="00DE32AD"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  B- IRM </w:t>
      </w:r>
    </w:p>
    <w:p w:rsidR="00F157FF"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L’imagerie par résonance magnétique (IRM) avec séquences de cholangio-pancréatographie est une alternative aussi sensible et spécifique que la TDM pour le bilan diagnostique et d’extension de l’AP à l’étage abdominal, mais est moins utilisée en raison de son coût.</w:t>
      </w:r>
      <w:r w:rsidRPr="00DE32AD">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 xml:space="preserve">Il est recommandé de réaliser une IRM hépatique de diffusion au diagnostic de tout AP localisé. </w:t>
      </w:r>
    </w:p>
    <w:p w:rsidR="00DE32AD"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   C- ECHOENDOSCOPIE</w:t>
      </w:r>
    </w:p>
    <w:p w:rsidR="00A53D97" w:rsidRDefault="00DE32AD" w:rsidP="003666D7">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sidRPr="00DE32AD">
        <w:rPr>
          <w:rFonts w:ascii="Open Sans" w:eastAsia="Times New Roman" w:hAnsi="Open Sans" w:cs="Open Sans"/>
          <w:color w:val="212529"/>
          <w:kern w:val="0"/>
          <w:sz w:val="26"/>
          <w:szCs w:val="26"/>
          <w:lang w:eastAsia="fr-FR"/>
          <w14:ligatures w14:val="none"/>
        </w:rPr>
        <w:t>Si l’écho-endoscopie (EE) digestive haute a pour principal intérêt de permettre la réalisation de prélèvements à visée cytologique ou histologique</w:t>
      </w:r>
      <w:r w:rsidR="00A53D97">
        <w:rPr>
          <w:rFonts w:ascii="Open Sans" w:eastAsia="Times New Roman" w:hAnsi="Open Sans" w:cs="Open Sans"/>
          <w:color w:val="212529"/>
          <w:kern w:val="0"/>
          <w:sz w:val="26"/>
          <w:szCs w:val="26"/>
          <w:lang w:eastAsia="fr-FR"/>
          <w14:ligatures w14:val="none"/>
        </w:rPr>
        <w:t xml:space="preserve">, </w:t>
      </w:r>
      <w:r w:rsidRPr="00DE32AD">
        <w:rPr>
          <w:rFonts w:ascii="Open Sans" w:eastAsia="Times New Roman" w:hAnsi="Open Sans" w:cs="Open Sans"/>
          <w:color w:val="212529"/>
          <w:kern w:val="0"/>
          <w:sz w:val="26"/>
          <w:szCs w:val="26"/>
          <w:lang w:eastAsia="fr-FR"/>
          <w14:ligatures w14:val="none"/>
        </w:rPr>
        <w:t>elle peut aussi apporter des informations complémentaires à la TDM concernant l’extension locorégionale.</w:t>
      </w:r>
      <w:r w:rsidR="00A53D97" w:rsidRPr="00A53D97">
        <w:rPr>
          <w:rFonts w:ascii="Open Sans" w:hAnsi="Open Sans" w:cs="Open Sans"/>
          <w:color w:val="212529"/>
          <w:sz w:val="26"/>
          <w:szCs w:val="26"/>
        </w:rPr>
        <w:t xml:space="preserve"> </w:t>
      </w:r>
      <w:r w:rsidR="00A53D97" w:rsidRPr="00A53D97">
        <w:rPr>
          <w:rFonts w:ascii="Open Sans" w:eastAsia="Times New Roman" w:hAnsi="Open Sans" w:cs="Open Sans"/>
          <w:color w:val="212529"/>
          <w:kern w:val="0"/>
          <w:sz w:val="26"/>
          <w:szCs w:val="26"/>
          <w:lang w:eastAsia="fr-FR"/>
          <w14:ligatures w14:val="none"/>
        </w:rPr>
        <w:t xml:space="preserve">la nécessité d’obtenir une </w:t>
      </w:r>
      <w:r w:rsidR="00A53D97" w:rsidRPr="00A53D97">
        <w:rPr>
          <w:rFonts w:ascii="Open Sans" w:eastAsia="Times New Roman" w:hAnsi="Open Sans" w:cs="Open Sans"/>
          <w:color w:val="212529"/>
          <w:kern w:val="0"/>
          <w:sz w:val="26"/>
          <w:szCs w:val="26"/>
          <w:lang w:eastAsia="fr-FR"/>
          <w14:ligatures w14:val="none"/>
        </w:rPr>
        <w:lastRenderedPageBreak/>
        <w:t>confirmation anatomo-pathologique de l’AP en l’absence d’autre site tumoral d'accès plus facile</w:t>
      </w:r>
    </w:p>
    <w:p w:rsidR="00A53D97" w:rsidRDefault="00A53D97" w:rsidP="00A53D97">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 xml:space="preserve">     D- CPRE</w:t>
      </w:r>
    </w:p>
    <w:p w:rsidR="00A53D97" w:rsidRDefault="00A53D97" w:rsidP="00A53D97">
      <w:pPr>
        <w:shd w:val="clear" w:color="auto" w:fill="FFFFFF"/>
        <w:spacing w:after="100" w:afterAutospacing="1"/>
        <w:jc w:val="both"/>
        <w:rPr>
          <w:rFonts w:ascii="Open Sans" w:hAnsi="Open Sans" w:cs="Open Sans"/>
          <w:color w:val="212529"/>
          <w:sz w:val="26"/>
          <w:szCs w:val="26"/>
          <w:shd w:val="clear" w:color="auto" w:fill="FFFFFF"/>
        </w:rPr>
      </w:pPr>
      <w:r w:rsidRPr="00A53D97">
        <w:rPr>
          <w:rFonts w:ascii="Open Sans" w:eastAsia="Times New Roman" w:hAnsi="Open Sans" w:cs="Open Sans"/>
          <w:color w:val="212529"/>
          <w:kern w:val="0"/>
          <w:sz w:val="26"/>
          <w:szCs w:val="26"/>
          <w:lang w:eastAsia="fr-FR"/>
          <w14:ligatures w14:val="none"/>
        </w:rPr>
        <w:t>La CPRE ne présente qu’un intérêt thérapeutique afin de drainer une sténose biliaire.</w:t>
      </w:r>
      <w:r w:rsidRPr="00A53D97">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Un brossage à visée diagnostique peut être réalisé au cours de la procédure, mais sa sensibilité est inférieure à celle de la cytoponction/biopsie.</w:t>
      </w:r>
    </w:p>
    <w:p w:rsidR="00A53D97" w:rsidRDefault="00A53D97" w:rsidP="00A53D97">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      E- TEP FDG</w:t>
      </w:r>
    </w:p>
    <w:p w:rsidR="00A53D97" w:rsidRDefault="00A53D97" w:rsidP="00A53D97">
      <w:pPr>
        <w:shd w:val="clear" w:color="auto" w:fill="FFFFFF"/>
        <w:spacing w:after="100" w:afterAutospacing="1"/>
        <w:jc w:val="both"/>
        <w:rPr>
          <w:rFonts w:ascii="Open Sans" w:hAnsi="Open Sans" w:cs="Open Sans"/>
          <w:color w:val="212529"/>
          <w:sz w:val="26"/>
          <w:szCs w:val="26"/>
          <w:shd w:val="clear" w:color="auto" w:fill="FFFFFF"/>
        </w:rPr>
      </w:pPr>
      <w:r w:rsidRPr="00A53D97">
        <w:rPr>
          <w:rFonts w:ascii="Open Sans" w:eastAsia="Times New Roman" w:hAnsi="Open Sans" w:cs="Open Sans"/>
          <w:color w:val="212529"/>
          <w:kern w:val="0"/>
          <w:sz w:val="26"/>
          <w:szCs w:val="26"/>
          <w:lang w:eastAsia="fr-FR"/>
          <w14:ligatures w14:val="none"/>
        </w:rPr>
        <w:t>La tomographie par émission de positons au 18-fluorodesoxyglucose (TEP FDG) ne fait pas partie du bilan systématique de l’AP.Elle est inconstamment informative, en particulier dans les variantes d’AP produisant de la mucine ou pauci-cellulaires, ou en cas de diabète mal équilibré.</w:t>
      </w:r>
      <w:r w:rsidRPr="00A53D97">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La TEP FDG se développe comme outil pour l’étude de la réponse au traitement néoadjuvant/d’induction mais n’est pas validée à ce jour pour la routine et doit être évaluée prospectivement.</w:t>
      </w:r>
    </w:p>
    <w:p w:rsidR="00A53D97" w:rsidRDefault="00A53D97" w:rsidP="00A53D97">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      F- LAPAROSCOPIE</w:t>
      </w:r>
    </w:p>
    <w:p w:rsidR="00A53D97" w:rsidRDefault="00A53D97" w:rsidP="00A53D97">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La laparoscopie permet de détecter et de biopsier de petites métastases péritonéales et/ou hépatiques et de modifier la stratégie thérapeutique chez un nombre limité de patients avec tumeur supposée résécable à l’issue d’un bilan d’imagerie moderne. Non systématique.</w:t>
      </w:r>
    </w:p>
    <w:p w:rsidR="004576A5" w:rsidRPr="004576A5" w:rsidRDefault="004576A5" w:rsidP="004576A5">
      <w:pPr>
        <w:shd w:val="clear" w:color="auto" w:fill="FFFFFF"/>
        <w:spacing w:after="100" w:afterAutospacing="1"/>
        <w:jc w:val="both"/>
        <w:rPr>
          <w:rFonts w:ascii="Open Sans" w:hAnsi="Open Sans" w:cs="Open Sans"/>
          <w:b/>
          <w:bCs/>
          <w:color w:val="212529"/>
          <w:sz w:val="26"/>
          <w:szCs w:val="26"/>
          <w:shd w:val="clear" w:color="auto" w:fill="FFFFFF"/>
        </w:rPr>
      </w:pPr>
      <w:r>
        <w:rPr>
          <w:rFonts w:ascii="Open Sans" w:hAnsi="Open Sans" w:cs="Open Sans"/>
          <w:color w:val="212529"/>
          <w:sz w:val="26"/>
          <w:szCs w:val="26"/>
          <w:shd w:val="clear" w:color="auto" w:fill="FFFFFF"/>
        </w:rPr>
        <w:t xml:space="preserve">     G- HISTOLOGIE</w:t>
      </w:r>
    </w:p>
    <w:p w:rsidR="004576A5" w:rsidRPr="004576A5" w:rsidRDefault="004576A5" w:rsidP="004576A5">
      <w:pPr>
        <w:shd w:val="clear" w:color="auto" w:fill="FFFFFF"/>
        <w:spacing w:after="100" w:afterAutospacing="1"/>
        <w:jc w:val="both"/>
        <w:rPr>
          <w:rFonts w:ascii="Open Sans" w:hAnsi="Open Sans" w:cs="Open Sans"/>
          <w:color w:val="212529"/>
          <w:sz w:val="26"/>
          <w:szCs w:val="26"/>
          <w:shd w:val="clear" w:color="auto" w:fill="FFFFFF"/>
        </w:rPr>
      </w:pPr>
      <w:r w:rsidRPr="004576A5">
        <w:rPr>
          <w:rFonts w:ascii="Open Sans" w:hAnsi="Open Sans" w:cs="Open Sans"/>
          <w:color w:val="212529"/>
          <w:sz w:val="26"/>
          <w:szCs w:val="26"/>
          <w:shd w:val="clear" w:color="auto" w:fill="FFFFFF"/>
        </w:rPr>
        <w:t xml:space="preserve"> </w:t>
      </w:r>
      <w:r w:rsidRPr="004576A5">
        <w:rPr>
          <w:rFonts w:ascii="Open Sans" w:eastAsia="Times New Roman" w:hAnsi="Open Sans" w:cs="Open Sans"/>
          <w:color w:val="212529"/>
          <w:kern w:val="0"/>
          <w:sz w:val="26"/>
          <w:szCs w:val="26"/>
          <w:lang w:eastAsia="fr-FR"/>
          <w14:ligatures w14:val="none"/>
        </w:rPr>
        <w:t>Elle est indiquée dans les situations suivantes : </w:t>
      </w:r>
    </w:p>
    <w:p w:rsidR="004576A5" w:rsidRPr="004576A5" w:rsidRDefault="004576A5" w:rsidP="004576A5">
      <w:pPr>
        <w:numPr>
          <w:ilvl w:val="0"/>
          <w:numId w:val="12"/>
        </w:numPr>
        <w:shd w:val="clear" w:color="auto" w:fill="FFFFFF"/>
        <w:spacing w:before="100" w:beforeAutospacing="1" w:after="100" w:afterAutospacing="1"/>
        <w:ind w:hanging="600"/>
        <w:rPr>
          <w:rFonts w:ascii="Open Sans" w:eastAsia="Times New Roman" w:hAnsi="Open Sans" w:cs="Open Sans"/>
          <w:color w:val="212529"/>
          <w:kern w:val="0"/>
          <w:sz w:val="26"/>
          <w:szCs w:val="26"/>
          <w:lang w:eastAsia="fr-FR"/>
          <w14:ligatures w14:val="none"/>
        </w:rPr>
      </w:pPr>
      <w:r w:rsidRPr="004576A5">
        <w:rPr>
          <w:rFonts w:ascii="Open Sans" w:eastAsia="Times New Roman" w:hAnsi="Open Sans" w:cs="Open Sans"/>
          <w:color w:val="212529"/>
          <w:kern w:val="0"/>
          <w:sz w:val="26"/>
          <w:szCs w:val="26"/>
          <w:lang w:eastAsia="fr-FR"/>
          <w14:ligatures w14:val="none"/>
        </w:rPr>
        <w:t>doute diagnostique avec une lésion bénigne ;</w:t>
      </w:r>
    </w:p>
    <w:p w:rsidR="004576A5" w:rsidRPr="004576A5" w:rsidRDefault="004576A5" w:rsidP="004576A5">
      <w:pPr>
        <w:numPr>
          <w:ilvl w:val="0"/>
          <w:numId w:val="12"/>
        </w:numPr>
        <w:shd w:val="clear" w:color="auto" w:fill="FFFFFF"/>
        <w:spacing w:before="100" w:beforeAutospacing="1" w:after="100" w:afterAutospacing="1"/>
        <w:ind w:hanging="600"/>
        <w:rPr>
          <w:rFonts w:ascii="Open Sans" w:eastAsia="Times New Roman" w:hAnsi="Open Sans" w:cs="Open Sans"/>
          <w:color w:val="212529"/>
          <w:kern w:val="0"/>
          <w:sz w:val="26"/>
          <w:szCs w:val="26"/>
          <w:lang w:eastAsia="fr-FR"/>
          <w14:ligatures w14:val="none"/>
        </w:rPr>
      </w:pPr>
      <w:r w:rsidRPr="004576A5">
        <w:rPr>
          <w:rFonts w:ascii="Open Sans" w:eastAsia="Times New Roman" w:hAnsi="Open Sans" w:cs="Open Sans"/>
          <w:color w:val="212529"/>
          <w:kern w:val="0"/>
          <w:sz w:val="26"/>
          <w:szCs w:val="26"/>
          <w:lang w:eastAsia="fr-FR"/>
          <w14:ligatures w14:val="none"/>
        </w:rPr>
        <w:t>tumeur non résécable pour avoir une preuve histologique avant de débuter la chimiothérapie ;</w:t>
      </w:r>
    </w:p>
    <w:p w:rsidR="004576A5" w:rsidRDefault="004576A5" w:rsidP="004576A5">
      <w:pPr>
        <w:numPr>
          <w:ilvl w:val="0"/>
          <w:numId w:val="12"/>
        </w:numPr>
        <w:shd w:val="clear" w:color="auto" w:fill="FFFFFF"/>
        <w:spacing w:before="100" w:beforeAutospacing="1" w:after="100" w:afterAutospacing="1"/>
        <w:ind w:hanging="600"/>
        <w:rPr>
          <w:rFonts w:ascii="Open Sans" w:eastAsia="Times New Roman" w:hAnsi="Open Sans" w:cs="Open Sans"/>
          <w:color w:val="212529"/>
          <w:kern w:val="0"/>
          <w:sz w:val="26"/>
          <w:szCs w:val="26"/>
          <w:lang w:eastAsia="fr-FR"/>
          <w14:ligatures w14:val="none"/>
        </w:rPr>
      </w:pPr>
      <w:r w:rsidRPr="004576A5">
        <w:rPr>
          <w:rFonts w:ascii="Open Sans" w:eastAsia="Times New Roman" w:hAnsi="Open Sans" w:cs="Open Sans"/>
          <w:color w:val="212529"/>
          <w:kern w:val="0"/>
          <w:sz w:val="26"/>
          <w:szCs w:val="26"/>
          <w:lang w:eastAsia="fr-FR"/>
          <w14:ligatures w14:val="none"/>
        </w:rPr>
        <w:t>tumeur résécable/borderline si un traiteme</w:t>
      </w:r>
      <w:r>
        <w:rPr>
          <w:rFonts w:ascii="Open Sans" w:eastAsia="Times New Roman" w:hAnsi="Open Sans" w:cs="Open Sans"/>
          <w:color w:val="212529"/>
          <w:kern w:val="0"/>
          <w:sz w:val="26"/>
          <w:szCs w:val="26"/>
          <w:lang w:eastAsia="fr-FR"/>
          <w14:ligatures w14:val="none"/>
        </w:rPr>
        <w:t xml:space="preserve"> </w:t>
      </w:r>
      <w:r w:rsidRPr="004576A5">
        <w:rPr>
          <w:rFonts w:ascii="Open Sans" w:eastAsia="Times New Roman" w:hAnsi="Open Sans" w:cs="Open Sans"/>
          <w:color w:val="212529"/>
          <w:kern w:val="0"/>
          <w:sz w:val="26"/>
          <w:szCs w:val="26"/>
          <w:lang w:eastAsia="fr-FR"/>
          <w14:ligatures w14:val="none"/>
        </w:rPr>
        <w:t>néoadjuvant/d’induction est envisagé.</w:t>
      </w:r>
    </w:p>
    <w:p w:rsidR="004576A5" w:rsidRDefault="004576A5" w:rsidP="004576A5">
      <w:pPr>
        <w:numPr>
          <w:ilvl w:val="0"/>
          <w:numId w:val="12"/>
        </w:numPr>
        <w:shd w:val="clear" w:color="auto" w:fill="FFFFFF"/>
        <w:spacing w:before="100" w:beforeAutospacing="1" w:after="100" w:afterAutospacing="1"/>
        <w:ind w:hanging="600"/>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En 2025 la classification est la TNM AJCC 2017 (8</w:t>
      </w:r>
      <w:r w:rsidRPr="004576A5">
        <w:rPr>
          <w:rFonts w:ascii="Open Sans" w:eastAsia="Times New Roman" w:hAnsi="Open Sans" w:cs="Open Sans"/>
          <w:color w:val="212529"/>
          <w:kern w:val="0"/>
          <w:sz w:val="26"/>
          <w:szCs w:val="26"/>
          <w:vertAlign w:val="superscript"/>
          <w:lang w:eastAsia="fr-FR"/>
          <w14:ligatures w14:val="none"/>
        </w:rPr>
        <w:t>eme</w:t>
      </w:r>
      <w:r>
        <w:rPr>
          <w:rFonts w:ascii="Open Sans" w:eastAsia="Times New Roman" w:hAnsi="Open Sans" w:cs="Open Sans"/>
          <w:color w:val="212529"/>
          <w:kern w:val="0"/>
          <w:sz w:val="26"/>
          <w:szCs w:val="26"/>
          <w:lang w:eastAsia="fr-FR"/>
          <w14:ligatures w14:val="none"/>
        </w:rPr>
        <w:t xml:space="preserve"> Version)</w:t>
      </w:r>
    </w:p>
    <w:p w:rsidR="003666D7" w:rsidRDefault="00B71C9C" w:rsidP="0010247A">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 xml:space="preserve">  </w:t>
      </w:r>
    </w:p>
    <w:p w:rsidR="003666D7" w:rsidRDefault="00B71C9C" w:rsidP="0010247A">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 xml:space="preserve">   </w:t>
      </w:r>
    </w:p>
    <w:p w:rsidR="00B71C9C" w:rsidRPr="004576A5" w:rsidRDefault="00B71C9C" w:rsidP="0010247A">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lastRenderedPageBreak/>
        <w:t xml:space="preserve">H- BIOLOGIE </w:t>
      </w:r>
    </w:p>
    <w:p w:rsidR="0010247A" w:rsidRDefault="0010247A" w:rsidP="0010247A">
      <w:p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Pr>
          <w:rFonts w:ascii="Open Sans" w:eastAsia="Times New Roman" w:hAnsi="Open Sans" w:cs="Open Sans"/>
          <w:color w:val="212529"/>
          <w:kern w:val="0"/>
          <w:sz w:val="26"/>
          <w:szCs w:val="26"/>
          <w:lang w:eastAsia="fr-FR"/>
          <w14:ligatures w14:val="none"/>
        </w:rPr>
        <w:t xml:space="preserve">Le CA19-9 </w:t>
      </w:r>
      <w:r w:rsidRPr="0010247A">
        <w:rPr>
          <w:rFonts w:ascii="Open Sans" w:eastAsia="Times New Roman" w:hAnsi="Open Sans" w:cs="Open Sans"/>
          <w:color w:val="212529"/>
          <w:kern w:val="0"/>
          <w:sz w:val="26"/>
          <w:szCs w:val="26"/>
          <w:lang w:eastAsia="fr-FR"/>
          <w14:ligatures w14:val="none"/>
        </w:rPr>
        <w:t>Sa sensibilité et sa spécificité sont de 80% et 80%-90%, respectivement, chez les patients symptomatiques, mais sa valeur prédictive positive est insuffisante pour le diagnostic ou le dépistage de l’AP</w:t>
      </w:r>
      <w:r>
        <w:rPr>
          <w:rFonts w:ascii="Open Sans" w:eastAsia="Times New Roman" w:hAnsi="Open Sans" w:cs="Open Sans"/>
          <w:color w:val="212529"/>
          <w:kern w:val="0"/>
          <w:sz w:val="26"/>
          <w:szCs w:val="26"/>
          <w:lang w:eastAsia="fr-FR"/>
          <w14:ligatures w14:val="none"/>
        </w:rPr>
        <w:t>.</w:t>
      </w:r>
    </w:p>
    <w:p w:rsidR="003C78AB" w:rsidRPr="0010247A" w:rsidRDefault="003C78AB" w:rsidP="0010247A">
      <w:p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r>
        <w:rPr>
          <w:rFonts w:ascii="Open Sans" w:hAnsi="Open Sans" w:cs="Open Sans"/>
          <w:color w:val="212529"/>
          <w:sz w:val="26"/>
          <w:szCs w:val="26"/>
          <w:shd w:val="clear" w:color="auto" w:fill="FFFFFF"/>
        </w:rPr>
        <w:t>L’ADN tumoral circulant, cellules tumorales circulantes, et vésicules extracellulaires circulantes) mais ne sont pas validés et ne peuvent être recommandés à ce jour.</w:t>
      </w:r>
      <w:r w:rsidR="00196B27" w:rsidRPr="00196B27">
        <w:rPr>
          <w:rFonts w:ascii="Open Sans" w:hAnsi="Open Sans" w:cs="Open Sans"/>
          <w:b/>
          <w:bCs/>
          <w:noProof/>
          <w:color w:val="212529"/>
          <w:sz w:val="26"/>
          <w:szCs w:val="26"/>
          <w:shd w:val="clear" w:color="auto" w:fill="FFFFFF"/>
        </w:rPr>
        <w:t xml:space="preserve"> </w:t>
      </w:r>
    </w:p>
    <w:p w:rsidR="00653ED3" w:rsidRPr="00653ED3" w:rsidRDefault="003C78AB" w:rsidP="00653ED3">
      <w:pPr>
        <w:pStyle w:val="Titre2"/>
        <w:shd w:val="clear" w:color="auto" w:fill="FFFFFF"/>
        <w:rPr>
          <w:rFonts w:ascii="Open Sans" w:eastAsia="Times New Roman" w:hAnsi="Open Sans" w:cs="Open Sans"/>
          <w:b/>
          <w:bCs/>
          <w:color w:val="FFA600"/>
          <w:kern w:val="0"/>
          <w:sz w:val="36"/>
          <w:szCs w:val="36"/>
          <w:lang w:eastAsia="fr-FR"/>
          <w14:ligatures w14:val="none"/>
        </w:rPr>
      </w:pPr>
      <w:r>
        <w:rPr>
          <w:rFonts w:ascii="Open Sans" w:eastAsia="Times New Roman" w:hAnsi="Open Sans" w:cs="Open Sans"/>
          <w:color w:val="212529"/>
          <w:kern w:val="0"/>
          <w:sz w:val="26"/>
          <w:szCs w:val="26"/>
          <w:lang w:eastAsia="fr-FR"/>
          <w14:ligatures w14:val="none"/>
        </w:rPr>
        <w:t>IV-</w:t>
      </w:r>
      <w:r w:rsidRPr="003C78AB">
        <w:rPr>
          <w:rFonts w:asciiTheme="minorHAnsi" w:eastAsia="Times New Roman" w:hAnsiTheme="minorHAnsi" w:cstheme="minorHAnsi"/>
          <w:color w:val="000000" w:themeColor="text1"/>
          <w:kern w:val="0"/>
          <w:sz w:val="28"/>
          <w:szCs w:val="28"/>
          <w:lang w:eastAsia="fr-FR"/>
          <w14:ligatures w14:val="none"/>
        </w:rPr>
        <w:t xml:space="preserve"> DÉPISTAGE DES LÉSIONS PRÉCANCÉREUSES ET DES FORMES FAMILIALES</w:t>
      </w:r>
    </w:p>
    <w:p w:rsidR="00653ED3" w:rsidRDefault="00653ED3" w:rsidP="00653ED3">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A- </w:t>
      </w:r>
      <w:r w:rsidRPr="00653ED3">
        <w:rPr>
          <w:rFonts w:ascii="Open Sans" w:hAnsi="Open Sans" w:cs="Open Sans"/>
          <w:color w:val="212529"/>
          <w:sz w:val="26"/>
          <w:szCs w:val="26"/>
          <w:shd w:val="clear" w:color="auto" w:fill="FFFFFF"/>
        </w:rPr>
        <w:t>Lésions précancereuses: les tumeurs intra-canalaires papillaires et mucineuses du pancréas (TIPMP) et les cystadénomes mucineux</w:t>
      </w:r>
      <w:r>
        <w:rPr>
          <w:rFonts w:ascii="Open Sans" w:hAnsi="Open Sans" w:cs="Open Sans"/>
          <w:color w:val="212529"/>
          <w:sz w:val="26"/>
          <w:szCs w:val="26"/>
          <w:shd w:val="clear" w:color="auto" w:fill="FFFFFF"/>
        </w:rPr>
        <w:t>.</w:t>
      </w:r>
    </w:p>
    <w:p w:rsidR="004576A5" w:rsidRDefault="00653ED3" w:rsidP="00653ED3">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B- Formes génétiques: </w:t>
      </w:r>
      <w:r w:rsidRPr="00653ED3">
        <w:rPr>
          <w:rFonts w:ascii="Open Sans" w:hAnsi="Open Sans" w:cs="Open Sans"/>
          <w:color w:val="212529"/>
          <w:sz w:val="26"/>
          <w:szCs w:val="26"/>
          <w:shd w:val="clear" w:color="auto" w:fill="FFFFFF"/>
        </w:rPr>
        <w:t> </w:t>
      </w:r>
      <w:r>
        <w:rPr>
          <w:rFonts w:ascii="Open Sans" w:hAnsi="Open Sans" w:cs="Open Sans"/>
          <w:color w:val="212529"/>
          <w:sz w:val="26"/>
          <w:szCs w:val="26"/>
          <w:shd w:val="clear" w:color="auto" w:fill="FFFFFF"/>
        </w:rPr>
        <w:t>Une susceptibilité génétique expliquerait environ 5%-10% des AP.</w:t>
      </w:r>
      <w:r w:rsidRPr="00653ED3">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Les cancers du pancréas familiaux (CaPaFa) sont définis par la survenue d’un AP, quel que soit l’âge de diagnostic, chez au moins 2 apparentés au premier degré, ou chez au moins 3 apparentés quels que soient le degré de parenté. Le syndrome de Peutz-jeghers, le syndrome de Lynch. Le syndrome sein-ovaire et d’autres. Le dépistage s’applique aux individus ayant un risque théorique cumulé d’AP &gt; 5 % au cours de la vie ou un risque relatif estimé ≥ 5. Ces sujets doivent être adressés à des centres experts pour consultation d’oncogénétique et discussion en RCP du rapport bénéfice/risque et des modalités (types d’examens, intervalles) d’un éventuel dépistage, conformément aux recommandations internationales CAPS.</w:t>
      </w:r>
    </w:p>
    <w:p w:rsidR="00653ED3" w:rsidRDefault="006306BA" w:rsidP="006306BA">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 VI-</w:t>
      </w:r>
      <w:r w:rsidRPr="006306BA">
        <w:rPr>
          <w:rFonts w:ascii="Open Sans" w:hAnsi="Open Sans" w:cs="Open Sans"/>
          <w:color w:val="212529"/>
          <w:sz w:val="26"/>
          <w:szCs w:val="26"/>
          <w:shd w:val="clear" w:color="auto" w:fill="FFFFFF"/>
        </w:rPr>
        <w:t>TRAITEMENT</w:t>
      </w:r>
    </w:p>
    <w:p w:rsidR="00474F2B" w:rsidRPr="00474F2B" w:rsidRDefault="00474F2B" w:rsidP="00474F2B">
      <w:pPr>
        <w:pStyle w:val="Paragraphedeliste"/>
        <w:numPr>
          <w:ilvl w:val="1"/>
          <w:numId w:val="5"/>
        </w:num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 xml:space="preserve">Chirurgie </w:t>
      </w:r>
    </w:p>
    <w:p w:rsidR="006306BA" w:rsidRDefault="006306BA" w:rsidP="006306BA">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Après une évaluation pré-thérapeutique rigoureuse, seuls 15 % à 20 % des patients sont candidats à une résection chirurgicale.</w:t>
      </w:r>
    </w:p>
    <w:p w:rsidR="006306BA" w:rsidRDefault="006306BA" w:rsidP="006306BA">
      <w:pPr>
        <w:shd w:val="clear" w:color="auto" w:fill="FFFFFF"/>
        <w:spacing w:after="100" w:afterAutospacing="1"/>
        <w:jc w:val="both"/>
        <w:rPr>
          <w:rFonts w:ascii="Open Sans" w:hAnsi="Open Sans" w:cs="Open Sans"/>
          <w:color w:val="212529"/>
          <w:sz w:val="26"/>
          <w:szCs w:val="26"/>
          <w:shd w:val="clear" w:color="auto" w:fill="FFFFFF"/>
        </w:rPr>
      </w:pPr>
      <w:r w:rsidRPr="00474F2B">
        <w:rPr>
          <w:rStyle w:val="lev"/>
          <w:rFonts w:ascii="Open Sans" w:hAnsi="Open Sans" w:cs="Open Sans"/>
          <w:b w:val="0"/>
          <w:bCs w:val="0"/>
          <w:color w:val="212529"/>
          <w:sz w:val="26"/>
          <w:szCs w:val="26"/>
          <w:shd w:val="clear" w:color="auto" w:fill="FFFFFF"/>
        </w:rPr>
        <w:t>Pour les cancers de la tête du pancréas</w:t>
      </w:r>
      <w:r>
        <w:rPr>
          <w:rFonts w:ascii="Open Sans" w:hAnsi="Open Sans" w:cs="Open Sans"/>
          <w:color w:val="212529"/>
          <w:sz w:val="26"/>
          <w:szCs w:val="26"/>
          <w:shd w:val="clear" w:color="auto" w:fill="FFFFFF"/>
        </w:rPr>
        <w:t xml:space="preserve">, </w:t>
      </w:r>
      <w:r w:rsidRPr="00474F2B">
        <w:rPr>
          <w:rFonts w:ascii="Open Sans" w:hAnsi="Open Sans" w:cs="Open Sans"/>
          <w:b/>
          <w:bCs/>
          <w:color w:val="212529"/>
          <w:sz w:val="26"/>
          <w:szCs w:val="26"/>
          <w:shd w:val="clear" w:color="auto" w:fill="FFFFFF"/>
        </w:rPr>
        <w:t>la duodéno-pancréatectomie céphalique (DPC)</w:t>
      </w:r>
      <w:r w:rsidR="00ED4033">
        <w:rPr>
          <w:rFonts w:ascii="Open Sans" w:hAnsi="Open Sans" w:cs="Open Sans"/>
          <w:b/>
          <w:bCs/>
          <w:color w:val="212529"/>
          <w:sz w:val="26"/>
          <w:szCs w:val="26"/>
          <w:shd w:val="clear" w:color="auto" w:fill="FFFFFF"/>
        </w:rPr>
        <w:t xml:space="preserve"> </w:t>
      </w:r>
      <w:r w:rsidRPr="00474F2B">
        <w:rPr>
          <w:rFonts w:ascii="Open Sans" w:hAnsi="Open Sans" w:cs="Open Sans"/>
          <w:b/>
          <w:bCs/>
          <w:color w:val="212529"/>
          <w:sz w:val="26"/>
          <w:szCs w:val="26"/>
          <w:shd w:val="clear" w:color="auto" w:fill="FFFFFF"/>
        </w:rPr>
        <w:t>est</w:t>
      </w:r>
      <w:r w:rsidR="00474F2B">
        <w:rPr>
          <w:rFonts w:ascii="Open Sans" w:hAnsi="Open Sans" w:cs="Open Sans"/>
          <w:b/>
          <w:bCs/>
          <w:color w:val="212529"/>
          <w:sz w:val="26"/>
          <w:szCs w:val="26"/>
          <w:shd w:val="clear" w:color="auto" w:fill="FFFFFF"/>
        </w:rPr>
        <w:t xml:space="preserve"> </w:t>
      </w:r>
      <w:r w:rsidRPr="00474F2B">
        <w:rPr>
          <w:rFonts w:ascii="Open Sans" w:hAnsi="Open Sans" w:cs="Open Sans"/>
          <w:b/>
          <w:bCs/>
          <w:color w:val="212529"/>
          <w:sz w:val="26"/>
          <w:szCs w:val="26"/>
          <w:shd w:val="clear" w:color="auto" w:fill="FFFFFF"/>
        </w:rPr>
        <w:t>l'intervention de référence.</w:t>
      </w:r>
      <w:r w:rsidRPr="006306BA">
        <w:rPr>
          <w:rFonts w:ascii="Open Sans" w:hAnsi="Open Sans" w:cs="Open Sans"/>
          <w:color w:val="212529"/>
          <w:sz w:val="26"/>
          <w:szCs w:val="26"/>
          <w:shd w:val="clear" w:color="auto" w:fill="FFFFFF"/>
        </w:rPr>
        <w:t xml:space="preserve"> </w:t>
      </w:r>
      <w:r>
        <w:rPr>
          <w:rFonts w:ascii="Open Sans" w:hAnsi="Open Sans" w:cs="Open Sans"/>
          <w:color w:val="212529"/>
          <w:sz w:val="26"/>
          <w:szCs w:val="26"/>
          <w:shd w:val="clear" w:color="auto" w:fill="FFFFFF"/>
        </w:rPr>
        <w:t>Un curage ganglionnaire, emportant au moins 15 ganglions et une résection de la lame rétroporte mettant à nu le bord droit de l’artère mésentérique supérieure doivent être réalisés.</w:t>
      </w:r>
      <w:r w:rsidR="00474F2B">
        <w:rPr>
          <w:rFonts w:ascii="Open Sans" w:hAnsi="Open Sans" w:cs="Open Sans"/>
          <w:color w:val="212529"/>
          <w:sz w:val="26"/>
          <w:szCs w:val="26"/>
          <w:shd w:val="clear" w:color="auto" w:fill="FFFFFF"/>
        </w:rPr>
        <w:t xml:space="preserve"> </w:t>
      </w:r>
    </w:p>
    <w:p w:rsidR="00474F2B" w:rsidRDefault="00474F2B" w:rsidP="006306BA">
      <w:pPr>
        <w:shd w:val="clear" w:color="auto" w:fill="FFFFFF"/>
        <w:spacing w:after="100" w:afterAutospacing="1"/>
        <w:jc w:val="both"/>
        <w:rPr>
          <w:rFonts w:ascii="Open Sans" w:hAnsi="Open Sans" w:cs="Open Sans"/>
          <w:color w:val="212529"/>
          <w:sz w:val="26"/>
          <w:szCs w:val="26"/>
          <w:shd w:val="clear" w:color="auto" w:fill="FFFFFF"/>
        </w:rPr>
      </w:pPr>
      <w:r>
        <w:rPr>
          <w:rStyle w:val="lev"/>
          <w:rFonts w:ascii="Open Sans" w:hAnsi="Open Sans" w:cs="Open Sans"/>
          <w:color w:val="212529"/>
          <w:sz w:val="26"/>
          <w:szCs w:val="26"/>
          <w:shd w:val="clear" w:color="auto" w:fill="FFFFFF"/>
        </w:rPr>
        <w:lastRenderedPageBreak/>
        <w:t>Les AP du corps ou de la queue du pancréas </w:t>
      </w:r>
      <w:r>
        <w:rPr>
          <w:rFonts w:ascii="Open Sans" w:hAnsi="Open Sans" w:cs="Open Sans"/>
          <w:color w:val="212529"/>
          <w:sz w:val="26"/>
          <w:szCs w:val="26"/>
          <w:shd w:val="clear" w:color="auto" w:fill="FFFFFF"/>
        </w:rPr>
        <w:t>sont traités par spléno-pancréatectomie gauche (SPG), qui doit être réalisée de la droite vers la gauche avec un curage ganglionnaire associé, emportant au moins les relais 10, 11, et 18. Il doit comporter de 15 à 20 ganglions.</w:t>
      </w:r>
    </w:p>
    <w:p w:rsidR="00474F2B" w:rsidRDefault="00474F2B" w:rsidP="006306BA">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Les indications de la </w:t>
      </w:r>
      <w:r>
        <w:rPr>
          <w:rStyle w:val="lev"/>
          <w:rFonts w:ascii="Open Sans" w:hAnsi="Open Sans" w:cs="Open Sans"/>
          <w:color w:val="212529"/>
          <w:sz w:val="26"/>
          <w:szCs w:val="26"/>
          <w:shd w:val="clear" w:color="auto" w:fill="FFFFFF"/>
        </w:rPr>
        <w:t>pancréatectomie totale </w:t>
      </w:r>
      <w:r>
        <w:rPr>
          <w:rFonts w:ascii="Open Sans" w:hAnsi="Open Sans" w:cs="Open Sans"/>
          <w:color w:val="212529"/>
          <w:sz w:val="26"/>
          <w:szCs w:val="26"/>
          <w:shd w:val="clear" w:color="auto" w:fill="FFFFFF"/>
        </w:rPr>
        <w:t>sont très rares.</w:t>
      </w:r>
    </w:p>
    <w:p w:rsidR="00474F2B" w:rsidRDefault="00474F2B" w:rsidP="00474F2B">
      <w:pPr>
        <w:pStyle w:val="Paragraphedeliste"/>
        <w:numPr>
          <w:ilvl w:val="1"/>
          <w:numId w:val="5"/>
        </w:num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Traitement médical adjuvant</w:t>
      </w:r>
    </w:p>
    <w:p w:rsidR="00474F2B" w:rsidRDefault="00474F2B" w:rsidP="00474F2B">
      <w:pPr>
        <w:shd w:val="clear" w:color="auto" w:fill="FFFFFF"/>
        <w:spacing w:after="100" w:afterAutospacing="1"/>
        <w:jc w:val="both"/>
        <w:rPr>
          <w:rFonts w:ascii="Open Sans" w:hAnsi="Open Sans" w:cs="Open Sans"/>
          <w:color w:val="212529"/>
          <w:sz w:val="26"/>
          <w:szCs w:val="26"/>
          <w:shd w:val="clear" w:color="auto" w:fill="FFFFFF"/>
        </w:rPr>
      </w:pPr>
      <w:r>
        <w:rPr>
          <w:rFonts w:ascii="Open Sans" w:hAnsi="Open Sans" w:cs="Open Sans"/>
          <w:color w:val="212529"/>
          <w:sz w:val="26"/>
          <w:szCs w:val="26"/>
          <w:shd w:val="clear" w:color="auto" w:fill="FFFFFF"/>
        </w:rPr>
        <w:t>Environ 80 % des patients opérés à visée « curative » pour un AP localisé auront une récidive locale ou métastatique.</w:t>
      </w:r>
    </w:p>
    <w:p w:rsidR="00474F2B" w:rsidRPr="00474F2B" w:rsidRDefault="00474F2B" w:rsidP="00474F2B">
      <w:pPr>
        <w:shd w:val="clear" w:color="auto" w:fill="FFFFFF"/>
        <w:spacing w:after="100" w:afterAutospacing="1"/>
        <w:jc w:val="both"/>
        <w:rPr>
          <w:rFonts w:ascii="Open Sans" w:hAnsi="Open Sans" w:cs="Open Sans"/>
          <w:color w:val="093A54"/>
          <w:sz w:val="26"/>
          <w:szCs w:val="26"/>
          <w:shd w:val="clear" w:color="auto" w:fill="F7F7F7"/>
        </w:rPr>
      </w:pPr>
      <w:r>
        <w:rPr>
          <w:rFonts w:ascii="Open Sans" w:hAnsi="Open Sans" w:cs="Open Sans"/>
          <w:color w:val="093A54"/>
          <w:sz w:val="26"/>
          <w:szCs w:val="26"/>
          <w:shd w:val="clear" w:color="auto" w:fill="F7F7F7"/>
        </w:rPr>
        <w:t>Un traitement adjuvant est indiqué </w:t>
      </w:r>
      <w:r w:rsidRPr="00474F2B">
        <w:rPr>
          <w:rStyle w:val="lev"/>
          <w:rFonts w:ascii="Open Sans" w:hAnsi="Open Sans" w:cs="Open Sans"/>
          <w:b w:val="0"/>
          <w:bCs w:val="0"/>
          <w:color w:val="000000" w:themeColor="text1"/>
          <w:sz w:val="26"/>
          <w:szCs w:val="26"/>
          <w:shd w:val="clear" w:color="auto" w:fill="F7F7F7"/>
        </w:rPr>
        <w:t>chez tous les patients opérés d'un AP, quel que soit le stade pTNM</w:t>
      </w:r>
      <w:r w:rsidRPr="00474F2B">
        <w:rPr>
          <w:rFonts w:ascii="Open Sans" w:hAnsi="Open Sans" w:cs="Open Sans"/>
          <w:b/>
          <w:bCs/>
          <w:color w:val="000000" w:themeColor="text1"/>
          <w:sz w:val="26"/>
          <w:szCs w:val="26"/>
          <w:shd w:val="clear" w:color="auto" w:fill="F7F7F7"/>
        </w:rPr>
        <w:t xml:space="preserve">, </w:t>
      </w:r>
      <w:r>
        <w:rPr>
          <w:rFonts w:ascii="Open Sans" w:hAnsi="Open Sans" w:cs="Open Sans"/>
          <w:color w:val="093A54"/>
          <w:sz w:val="26"/>
          <w:szCs w:val="26"/>
          <w:shd w:val="clear" w:color="auto" w:fill="F7F7F7"/>
        </w:rPr>
        <w:t>et en mesure de pouvoir le débuter dans les  3 mois suivant la chirurgie.</w:t>
      </w:r>
    </w:p>
    <w:p w:rsidR="0084047F" w:rsidRDefault="0084047F" w:rsidP="0084047F">
      <w:pPr>
        <w:pStyle w:val="Titre2"/>
        <w:shd w:val="clear" w:color="auto" w:fill="FFFFFF"/>
        <w:rPr>
          <w:rStyle w:val="field"/>
          <w:rFonts w:ascii="Open Sans" w:hAnsi="Open Sans" w:cs="Open Sans"/>
          <w:color w:val="000000" w:themeColor="text1"/>
        </w:rPr>
      </w:pPr>
      <w:r w:rsidRPr="0084047F">
        <w:rPr>
          <w:rStyle w:val="field"/>
          <w:rFonts w:ascii="Open Sans" w:hAnsi="Open Sans" w:cs="Open Sans"/>
          <w:color w:val="000000" w:themeColor="text1"/>
        </w:rPr>
        <w:t>Références bibliographiques</w:t>
      </w:r>
      <w:r>
        <w:rPr>
          <w:rStyle w:val="field"/>
          <w:rFonts w:ascii="Open Sans" w:hAnsi="Open Sans" w:cs="Open Sans"/>
          <w:color w:val="000000" w:themeColor="text1"/>
        </w:rPr>
        <w:t xml:space="preserve"> :</w:t>
      </w:r>
    </w:p>
    <w:p w:rsidR="0084047F" w:rsidRPr="0084047F" w:rsidRDefault="0084047F" w:rsidP="0084047F"/>
    <w:p w:rsidR="0084047F" w:rsidRDefault="0084047F" w:rsidP="0084047F">
      <w:pPr>
        <w:rPr>
          <w:color w:val="0000FF"/>
          <w:u w:val="single"/>
        </w:rPr>
      </w:pPr>
      <w:r>
        <w:rPr>
          <w:rStyle w:val="CitationHTML"/>
          <w:color w:val="0000FF"/>
          <w:u w:val="single"/>
        </w:rPr>
        <w:t>https://www.snfge.org</w:t>
      </w:r>
      <w:r>
        <w:rPr>
          <w:rStyle w:val="ylgvce"/>
          <w:i/>
          <w:iCs/>
          <w:color w:val="0000FF"/>
          <w:u w:val="single"/>
        </w:rPr>
        <w:t xml:space="preserve"> › TNCD  Derniere mise à</w:t>
      </w:r>
      <w:r w:rsidR="00ED4033">
        <w:rPr>
          <w:rStyle w:val="ylgvce"/>
          <w:i/>
          <w:iCs/>
          <w:color w:val="0000FF"/>
          <w:u w:val="single"/>
        </w:rPr>
        <w:t xml:space="preserve"> </w:t>
      </w:r>
      <w:r>
        <w:rPr>
          <w:rStyle w:val="ylgvce"/>
          <w:i/>
          <w:iCs/>
          <w:color w:val="0000FF"/>
          <w:u w:val="single"/>
        </w:rPr>
        <w:t>jour 09/2024</w:t>
      </w:r>
    </w:p>
    <w:p w:rsidR="00474F2B" w:rsidRPr="00474F2B" w:rsidRDefault="00474F2B" w:rsidP="0084047F">
      <w:pPr>
        <w:shd w:val="clear" w:color="auto" w:fill="FFFFFF"/>
        <w:spacing w:after="100" w:afterAutospacing="1"/>
        <w:jc w:val="both"/>
        <w:rPr>
          <w:rFonts w:ascii="Open Sans" w:hAnsi="Open Sans" w:cs="Open Sans"/>
          <w:color w:val="212529"/>
          <w:sz w:val="26"/>
          <w:szCs w:val="26"/>
          <w:shd w:val="clear" w:color="auto" w:fill="FFFFFF"/>
        </w:rPr>
      </w:pPr>
    </w:p>
    <w:p w:rsidR="00474F2B" w:rsidRDefault="00474F2B" w:rsidP="006306BA">
      <w:pPr>
        <w:shd w:val="clear" w:color="auto" w:fill="FFFFFF"/>
        <w:spacing w:after="100" w:afterAutospacing="1"/>
        <w:jc w:val="both"/>
        <w:rPr>
          <w:rFonts w:ascii="Open Sans" w:hAnsi="Open Sans" w:cs="Open Sans"/>
          <w:color w:val="212529"/>
          <w:sz w:val="26"/>
          <w:szCs w:val="26"/>
          <w:shd w:val="clear" w:color="auto" w:fill="FFFFFF"/>
        </w:rPr>
      </w:pPr>
    </w:p>
    <w:p w:rsidR="006306BA" w:rsidRDefault="006306BA" w:rsidP="006306BA">
      <w:pPr>
        <w:shd w:val="clear" w:color="auto" w:fill="FFFFFF"/>
        <w:spacing w:after="100" w:afterAutospacing="1"/>
        <w:jc w:val="both"/>
        <w:rPr>
          <w:rFonts w:ascii="Open Sans" w:hAnsi="Open Sans" w:cs="Open Sans"/>
          <w:color w:val="212529"/>
          <w:sz w:val="26"/>
          <w:szCs w:val="26"/>
          <w:shd w:val="clear" w:color="auto" w:fill="FFFFFF"/>
        </w:rPr>
      </w:pPr>
    </w:p>
    <w:p w:rsidR="006306BA" w:rsidRPr="006306BA" w:rsidRDefault="006306BA" w:rsidP="006306BA">
      <w:pPr>
        <w:shd w:val="clear" w:color="auto" w:fill="FFFFFF"/>
        <w:spacing w:after="100" w:afterAutospacing="1"/>
        <w:jc w:val="both"/>
        <w:rPr>
          <w:rFonts w:ascii="Open Sans" w:hAnsi="Open Sans" w:cs="Open Sans"/>
          <w:color w:val="212529"/>
          <w:sz w:val="26"/>
          <w:szCs w:val="26"/>
          <w:shd w:val="clear" w:color="auto" w:fill="FFFFFF"/>
        </w:rPr>
      </w:pPr>
    </w:p>
    <w:p w:rsidR="004576A5" w:rsidRPr="00A53D97" w:rsidRDefault="004576A5" w:rsidP="00A53D97">
      <w:pPr>
        <w:shd w:val="clear" w:color="auto" w:fill="FFFFFF"/>
        <w:spacing w:after="100" w:afterAutospacing="1"/>
        <w:jc w:val="both"/>
        <w:rPr>
          <w:rFonts w:ascii="Open Sans" w:eastAsia="Times New Roman" w:hAnsi="Open Sans" w:cs="Open Sans"/>
          <w:color w:val="212529"/>
          <w:kern w:val="0"/>
          <w:sz w:val="26"/>
          <w:szCs w:val="26"/>
          <w:lang w:eastAsia="fr-FR"/>
          <w14:ligatures w14:val="none"/>
        </w:rPr>
      </w:pPr>
    </w:p>
    <w:p w:rsidR="00A53D97" w:rsidRPr="00A53D97" w:rsidRDefault="00A53D97" w:rsidP="00A53D97">
      <w:pPr>
        <w:shd w:val="clear" w:color="auto" w:fill="FFFFFF"/>
        <w:spacing w:after="100" w:afterAutospacing="1"/>
        <w:jc w:val="both"/>
        <w:rPr>
          <w:rFonts w:ascii="Open Sans" w:eastAsia="Times New Roman" w:hAnsi="Open Sans" w:cs="Open Sans"/>
          <w:color w:val="212529"/>
          <w:kern w:val="0"/>
          <w:sz w:val="26"/>
          <w:szCs w:val="26"/>
          <w:lang w:eastAsia="fr-FR"/>
          <w14:ligatures w14:val="none"/>
        </w:rPr>
      </w:pPr>
    </w:p>
    <w:p w:rsidR="00A53D97" w:rsidRPr="00A53D97" w:rsidRDefault="00A53D97" w:rsidP="00A53D97">
      <w:pPr>
        <w:shd w:val="clear" w:color="auto" w:fill="FFFFFF"/>
        <w:ind w:left="720"/>
        <w:rPr>
          <w:rFonts w:ascii="Open Sans" w:eastAsia="Times New Roman" w:hAnsi="Open Sans" w:cs="Open Sans"/>
          <w:color w:val="212529"/>
          <w:kern w:val="0"/>
          <w:sz w:val="26"/>
          <w:szCs w:val="26"/>
          <w:lang w:eastAsia="fr-FR"/>
          <w14:ligatures w14:val="none"/>
        </w:rPr>
      </w:pPr>
    </w:p>
    <w:p w:rsidR="00A53D97" w:rsidRDefault="00A53D97" w:rsidP="00A53D97">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p>
    <w:p w:rsidR="00A53D97" w:rsidRPr="00A53D97" w:rsidRDefault="00A53D97" w:rsidP="00A53D97">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p>
    <w:p w:rsidR="00DE32AD" w:rsidRPr="00DE32AD" w:rsidRDefault="00DE32AD" w:rsidP="00DE32AD">
      <w:pPr>
        <w:shd w:val="clear" w:color="auto" w:fill="FFFFFF"/>
        <w:spacing w:before="100" w:beforeAutospacing="1" w:after="100" w:afterAutospacing="1"/>
        <w:jc w:val="both"/>
        <w:rPr>
          <w:rFonts w:ascii="Open Sans" w:eastAsia="Times New Roman" w:hAnsi="Open Sans" w:cs="Open Sans"/>
          <w:color w:val="212529"/>
          <w:kern w:val="0"/>
          <w:sz w:val="26"/>
          <w:szCs w:val="26"/>
          <w:lang w:eastAsia="fr-FR"/>
          <w14:ligatures w14:val="none"/>
        </w:rPr>
      </w:pPr>
    </w:p>
    <w:p w:rsidR="00DE32AD"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p>
    <w:p w:rsidR="00DE32AD"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p>
    <w:p w:rsidR="00DE32AD" w:rsidRPr="00F157FF" w:rsidRDefault="00DE32AD" w:rsidP="00DE32AD">
      <w:pPr>
        <w:shd w:val="clear" w:color="auto" w:fill="FFFFFF"/>
        <w:spacing w:before="100" w:beforeAutospacing="1" w:after="100" w:afterAutospacing="1"/>
        <w:jc w:val="both"/>
        <w:rPr>
          <w:rFonts w:ascii="Open Sans" w:hAnsi="Open Sans" w:cs="Open Sans"/>
          <w:color w:val="212529"/>
          <w:sz w:val="26"/>
          <w:szCs w:val="26"/>
          <w:shd w:val="clear" w:color="auto" w:fill="FFFFFF"/>
        </w:rPr>
      </w:pPr>
    </w:p>
    <w:p w:rsidR="000B52F4" w:rsidRPr="00F157FF" w:rsidRDefault="000B52F4" w:rsidP="00F157FF">
      <w:pPr>
        <w:shd w:val="clear" w:color="auto" w:fill="FFFFFF"/>
        <w:spacing w:before="100" w:beforeAutospacing="1" w:after="100" w:afterAutospacing="1"/>
        <w:rPr>
          <w:rFonts w:ascii="Open Sans" w:eastAsia="Times New Roman" w:hAnsi="Open Sans" w:cs="Open Sans"/>
          <w:color w:val="212529"/>
          <w:kern w:val="0"/>
          <w:sz w:val="26"/>
          <w:szCs w:val="26"/>
          <w:lang w:eastAsia="fr-FR"/>
          <w14:ligatures w14:val="none"/>
        </w:rPr>
      </w:pPr>
    </w:p>
    <w:p w:rsidR="000B52F4" w:rsidRPr="000B52F4" w:rsidRDefault="000B52F4" w:rsidP="00F157FF">
      <w:pPr>
        <w:rPr>
          <w:sz w:val="40"/>
          <w:szCs w:val="40"/>
          <w:vertAlign w:val="subscript"/>
        </w:rPr>
      </w:pPr>
    </w:p>
    <w:sectPr w:rsidR="000B52F4" w:rsidRPr="000B52F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41BB" w:rsidRDefault="004441BB" w:rsidP="007F1CFE">
      <w:r>
        <w:separator/>
      </w:r>
    </w:p>
  </w:endnote>
  <w:endnote w:type="continuationSeparator" w:id="0">
    <w:p w:rsidR="004441BB" w:rsidRDefault="004441BB" w:rsidP="007F1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rsidP="007F1CFE">
    <w:pPr>
      <w:pStyle w:val="Pieddepage"/>
      <w:tabs>
        <w:tab w:val="clear" w:pos="9026"/>
        <w:tab w:val="left" w:pos="7910"/>
      </w:tabs>
    </w:pPr>
    <w:r>
      <w:rPr>
        <w:noProof/>
      </w:rPr>
      <mc:AlternateContent>
        <mc:Choice Requires="wps">
          <w:drawing>
            <wp:anchor distT="0" distB="0" distL="0" distR="0" simplePos="0" relativeHeight="251659264" behindDoc="0" locked="0" layoutInCell="1" allowOverlap="1" wp14:anchorId="3C470720" wp14:editId="0BE937A9">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14"/>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007F1CFE" w:rsidRDefault="007F1C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70720" id="Rectangle 14" o:spid="_x0000_s1026"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" fillcolor="black [3213]" stroked="f" strokeweight="3pt">
              <v:textbox>
                <w:txbxContent>
                  <w:p w:rsidR="007F1CFE" w:rsidRDefault="007F1CFE">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rPr>
                      <w:t>2</w:t>
                    </w:r>
                    <w:r>
                      <w:rPr>
                        <w:color w:val="FFFFFF" w:themeColor="background1"/>
                        <w:sz w:val="28"/>
                        <w:szCs w:val="28"/>
                      </w:rPr>
                      <w:fldChar w:fldCharType="end"/>
                    </w:r>
                  </w:p>
                </w:txbxContent>
              </v:textbox>
              <w10:wrap type="square" anchorx="margin" anchory="margin"/>
            </v:rect>
          </w:pict>
        </mc:Fallback>
      </mc:AlternateContent>
    </w:r>
    <w:r>
      <w:t>Module de gastro-entérologie- cancer du pancréas- Pr. BENDRIDI M. 12/2025</w: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41BB" w:rsidRDefault="004441BB" w:rsidP="007F1CFE">
      <w:r>
        <w:separator/>
      </w:r>
    </w:p>
  </w:footnote>
  <w:footnote w:type="continuationSeparator" w:id="0">
    <w:p w:rsidR="004441BB" w:rsidRDefault="004441BB" w:rsidP="007F1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1CFE" w:rsidRDefault="007F1CF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87D46"/>
    <w:multiLevelType w:val="multilevel"/>
    <w:tmpl w:val="4FD6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43412"/>
    <w:multiLevelType w:val="multilevel"/>
    <w:tmpl w:val="BB60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200AE"/>
    <w:multiLevelType w:val="hybridMultilevel"/>
    <w:tmpl w:val="CB8A1B1E"/>
    <w:lvl w:ilvl="0" w:tplc="7AAA351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D782B7E"/>
    <w:multiLevelType w:val="hybridMultilevel"/>
    <w:tmpl w:val="FC76FD80"/>
    <w:lvl w:ilvl="0" w:tplc="8F9CBC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4854C85"/>
    <w:multiLevelType w:val="multilevel"/>
    <w:tmpl w:val="873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E701E"/>
    <w:multiLevelType w:val="multilevel"/>
    <w:tmpl w:val="E268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710325"/>
    <w:multiLevelType w:val="hybridMultilevel"/>
    <w:tmpl w:val="4E5C7E10"/>
    <w:lvl w:ilvl="0" w:tplc="6CF6A8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0B37B25"/>
    <w:multiLevelType w:val="multilevel"/>
    <w:tmpl w:val="1EC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01E8B"/>
    <w:multiLevelType w:val="hybridMultilevel"/>
    <w:tmpl w:val="C2AE4A2E"/>
    <w:lvl w:ilvl="0" w:tplc="64BAC12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EAC7BF9"/>
    <w:multiLevelType w:val="multilevel"/>
    <w:tmpl w:val="8EB88D8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B21D17"/>
    <w:multiLevelType w:val="multilevel"/>
    <w:tmpl w:val="61684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EB43A9"/>
    <w:multiLevelType w:val="multilevel"/>
    <w:tmpl w:val="EBC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86C2E"/>
    <w:multiLevelType w:val="multilevel"/>
    <w:tmpl w:val="C17C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657587">
    <w:abstractNumId w:val="3"/>
  </w:num>
  <w:num w:numId="2" w16cid:durableId="363949494">
    <w:abstractNumId w:val="2"/>
  </w:num>
  <w:num w:numId="3" w16cid:durableId="1247887008">
    <w:abstractNumId w:val="8"/>
  </w:num>
  <w:num w:numId="4" w16cid:durableId="475418730">
    <w:abstractNumId w:val="6"/>
  </w:num>
  <w:num w:numId="5" w16cid:durableId="989021658">
    <w:abstractNumId w:val="9"/>
  </w:num>
  <w:num w:numId="6" w16cid:durableId="1688748188">
    <w:abstractNumId w:val="5"/>
  </w:num>
  <w:num w:numId="7" w16cid:durableId="1661275122">
    <w:abstractNumId w:val="0"/>
  </w:num>
  <w:num w:numId="8" w16cid:durableId="466049222">
    <w:abstractNumId w:val="7"/>
  </w:num>
  <w:num w:numId="9" w16cid:durableId="788015768">
    <w:abstractNumId w:val="10"/>
  </w:num>
  <w:num w:numId="10" w16cid:durableId="896092162">
    <w:abstractNumId w:val="4"/>
  </w:num>
  <w:num w:numId="11" w16cid:durableId="11301515">
    <w:abstractNumId w:val="11"/>
  </w:num>
  <w:num w:numId="12" w16cid:durableId="401296252">
    <w:abstractNumId w:val="1"/>
  </w:num>
  <w:num w:numId="13" w16cid:durableId="16141683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98"/>
  <w:proofState w:spelling="clean" w:grammar="clean"/>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B0"/>
    <w:rsid w:val="00000253"/>
    <w:rsid w:val="0002246B"/>
    <w:rsid w:val="000322BD"/>
    <w:rsid w:val="0006171C"/>
    <w:rsid w:val="00075E94"/>
    <w:rsid w:val="000852FC"/>
    <w:rsid w:val="00091C3A"/>
    <w:rsid w:val="000A24A5"/>
    <w:rsid w:val="000B4BB8"/>
    <w:rsid w:val="000B52F4"/>
    <w:rsid w:val="000B79B4"/>
    <w:rsid w:val="000E1E34"/>
    <w:rsid w:val="000E63EB"/>
    <w:rsid w:val="000F5F95"/>
    <w:rsid w:val="001005B6"/>
    <w:rsid w:val="0010247A"/>
    <w:rsid w:val="00103945"/>
    <w:rsid w:val="00106C8C"/>
    <w:rsid w:val="001329CE"/>
    <w:rsid w:val="001527E4"/>
    <w:rsid w:val="001630C2"/>
    <w:rsid w:val="00196B27"/>
    <w:rsid w:val="001A3942"/>
    <w:rsid w:val="001A6860"/>
    <w:rsid w:val="001B53BD"/>
    <w:rsid w:val="001C523E"/>
    <w:rsid w:val="001D578B"/>
    <w:rsid w:val="001D6DBB"/>
    <w:rsid w:val="001F0F54"/>
    <w:rsid w:val="00203D66"/>
    <w:rsid w:val="002051D8"/>
    <w:rsid w:val="00222304"/>
    <w:rsid w:val="00224071"/>
    <w:rsid w:val="00231049"/>
    <w:rsid w:val="002332EF"/>
    <w:rsid w:val="00254A96"/>
    <w:rsid w:val="00265947"/>
    <w:rsid w:val="002753C0"/>
    <w:rsid w:val="00275578"/>
    <w:rsid w:val="00285FC4"/>
    <w:rsid w:val="0029159C"/>
    <w:rsid w:val="0030751A"/>
    <w:rsid w:val="00331E75"/>
    <w:rsid w:val="003406C3"/>
    <w:rsid w:val="00352862"/>
    <w:rsid w:val="003536D6"/>
    <w:rsid w:val="003666D7"/>
    <w:rsid w:val="003975D3"/>
    <w:rsid w:val="003A237D"/>
    <w:rsid w:val="003B6A30"/>
    <w:rsid w:val="003C0954"/>
    <w:rsid w:val="003C40A9"/>
    <w:rsid w:val="003C78AB"/>
    <w:rsid w:val="00402458"/>
    <w:rsid w:val="00423E79"/>
    <w:rsid w:val="0043761E"/>
    <w:rsid w:val="00442523"/>
    <w:rsid w:val="004441BB"/>
    <w:rsid w:val="0044511A"/>
    <w:rsid w:val="00445B00"/>
    <w:rsid w:val="00447D54"/>
    <w:rsid w:val="00450178"/>
    <w:rsid w:val="004576A5"/>
    <w:rsid w:val="00457700"/>
    <w:rsid w:val="0046066B"/>
    <w:rsid w:val="004644C4"/>
    <w:rsid w:val="0046751B"/>
    <w:rsid w:val="00474DD1"/>
    <w:rsid w:val="00474F2B"/>
    <w:rsid w:val="004856B0"/>
    <w:rsid w:val="00493759"/>
    <w:rsid w:val="004A55B2"/>
    <w:rsid w:val="004C1A37"/>
    <w:rsid w:val="004C5B5C"/>
    <w:rsid w:val="0050149F"/>
    <w:rsid w:val="00505BFF"/>
    <w:rsid w:val="00525BFA"/>
    <w:rsid w:val="00536486"/>
    <w:rsid w:val="00550288"/>
    <w:rsid w:val="00550E03"/>
    <w:rsid w:val="00562DD4"/>
    <w:rsid w:val="005835EC"/>
    <w:rsid w:val="005B2E7E"/>
    <w:rsid w:val="005C0725"/>
    <w:rsid w:val="005C0DC9"/>
    <w:rsid w:val="005C4E5B"/>
    <w:rsid w:val="005C4EE3"/>
    <w:rsid w:val="005E6871"/>
    <w:rsid w:val="00602E60"/>
    <w:rsid w:val="00622841"/>
    <w:rsid w:val="006306BA"/>
    <w:rsid w:val="00644586"/>
    <w:rsid w:val="0065175A"/>
    <w:rsid w:val="00651CA2"/>
    <w:rsid w:val="00653ED3"/>
    <w:rsid w:val="00654DDA"/>
    <w:rsid w:val="006570D7"/>
    <w:rsid w:val="00665CB7"/>
    <w:rsid w:val="006738DB"/>
    <w:rsid w:val="00685BC9"/>
    <w:rsid w:val="00685D66"/>
    <w:rsid w:val="00686955"/>
    <w:rsid w:val="006A0CEB"/>
    <w:rsid w:val="006A5F85"/>
    <w:rsid w:val="006A7F7F"/>
    <w:rsid w:val="006B0654"/>
    <w:rsid w:val="006B5750"/>
    <w:rsid w:val="006C01EF"/>
    <w:rsid w:val="006D68F5"/>
    <w:rsid w:val="006D76C5"/>
    <w:rsid w:val="006E5EC5"/>
    <w:rsid w:val="006F7A66"/>
    <w:rsid w:val="0070235A"/>
    <w:rsid w:val="0073486B"/>
    <w:rsid w:val="007522DF"/>
    <w:rsid w:val="00756102"/>
    <w:rsid w:val="00756B3F"/>
    <w:rsid w:val="0077481A"/>
    <w:rsid w:val="007A0491"/>
    <w:rsid w:val="007A1A66"/>
    <w:rsid w:val="007B18E5"/>
    <w:rsid w:val="007B222D"/>
    <w:rsid w:val="007B48B7"/>
    <w:rsid w:val="007B5FDD"/>
    <w:rsid w:val="007C46AE"/>
    <w:rsid w:val="007D6A2B"/>
    <w:rsid w:val="007E46EA"/>
    <w:rsid w:val="007F1CFE"/>
    <w:rsid w:val="00800629"/>
    <w:rsid w:val="008059A1"/>
    <w:rsid w:val="008175CD"/>
    <w:rsid w:val="00817AE7"/>
    <w:rsid w:val="00826676"/>
    <w:rsid w:val="00835FB4"/>
    <w:rsid w:val="0084047F"/>
    <w:rsid w:val="00843959"/>
    <w:rsid w:val="00844374"/>
    <w:rsid w:val="00847C8E"/>
    <w:rsid w:val="00850DA1"/>
    <w:rsid w:val="00854620"/>
    <w:rsid w:val="00861746"/>
    <w:rsid w:val="00880A39"/>
    <w:rsid w:val="00884A15"/>
    <w:rsid w:val="00891B02"/>
    <w:rsid w:val="00893018"/>
    <w:rsid w:val="00897796"/>
    <w:rsid w:val="008B0066"/>
    <w:rsid w:val="008C5267"/>
    <w:rsid w:val="008D0B38"/>
    <w:rsid w:val="008D1D97"/>
    <w:rsid w:val="008E09F6"/>
    <w:rsid w:val="009008AE"/>
    <w:rsid w:val="00901B99"/>
    <w:rsid w:val="00925FE4"/>
    <w:rsid w:val="009317A1"/>
    <w:rsid w:val="0095446E"/>
    <w:rsid w:val="009674F9"/>
    <w:rsid w:val="00967A24"/>
    <w:rsid w:val="00977847"/>
    <w:rsid w:val="00977D15"/>
    <w:rsid w:val="009851F0"/>
    <w:rsid w:val="009B168F"/>
    <w:rsid w:val="009B1FA3"/>
    <w:rsid w:val="009C6B33"/>
    <w:rsid w:val="009D67FE"/>
    <w:rsid w:val="009D685E"/>
    <w:rsid w:val="00A031D8"/>
    <w:rsid w:val="00A21880"/>
    <w:rsid w:val="00A3522B"/>
    <w:rsid w:val="00A50D38"/>
    <w:rsid w:val="00A53D97"/>
    <w:rsid w:val="00A55390"/>
    <w:rsid w:val="00A639E7"/>
    <w:rsid w:val="00A678C4"/>
    <w:rsid w:val="00A8509F"/>
    <w:rsid w:val="00AB1B81"/>
    <w:rsid w:val="00AB3736"/>
    <w:rsid w:val="00AC7A7F"/>
    <w:rsid w:val="00AD1D29"/>
    <w:rsid w:val="00AE2984"/>
    <w:rsid w:val="00AF6C9E"/>
    <w:rsid w:val="00B71C9C"/>
    <w:rsid w:val="00B758D9"/>
    <w:rsid w:val="00B94C82"/>
    <w:rsid w:val="00BA04F7"/>
    <w:rsid w:val="00BA104A"/>
    <w:rsid w:val="00BB1617"/>
    <w:rsid w:val="00BB23A1"/>
    <w:rsid w:val="00BB4E06"/>
    <w:rsid w:val="00BC1C6F"/>
    <w:rsid w:val="00BC458C"/>
    <w:rsid w:val="00BE4A0B"/>
    <w:rsid w:val="00C060E2"/>
    <w:rsid w:val="00C35CB1"/>
    <w:rsid w:val="00C407AF"/>
    <w:rsid w:val="00C40979"/>
    <w:rsid w:val="00C456A3"/>
    <w:rsid w:val="00C5585A"/>
    <w:rsid w:val="00C7196F"/>
    <w:rsid w:val="00C722A7"/>
    <w:rsid w:val="00CC1A0D"/>
    <w:rsid w:val="00CD08CC"/>
    <w:rsid w:val="00CD4F98"/>
    <w:rsid w:val="00CD7EC1"/>
    <w:rsid w:val="00CE4EC4"/>
    <w:rsid w:val="00CE57B8"/>
    <w:rsid w:val="00CF12C9"/>
    <w:rsid w:val="00CF3AC3"/>
    <w:rsid w:val="00D0021E"/>
    <w:rsid w:val="00D00D7D"/>
    <w:rsid w:val="00D061E6"/>
    <w:rsid w:val="00D25EDF"/>
    <w:rsid w:val="00D3175B"/>
    <w:rsid w:val="00D92442"/>
    <w:rsid w:val="00D97590"/>
    <w:rsid w:val="00DB17C9"/>
    <w:rsid w:val="00DB1BCA"/>
    <w:rsid w:val="00DC4305"/>
    <w:rsid w:val="00DD39C9"/>
    <w:rsid w:val="00DD3C8A"/>
    <w:rsid w:val="00DE32AD"/>
    <w:rsid w:val="00DF0F66"/>
    <w:rsid w:val="00DF55AF"/>
    <w:rsid w:val="00E014E1"/>
    <w:rsid w:val="00E43FE1"/>
    <w:rsid w:val="00E5573F"/>
    <w:rsid w:val="00E621C2"/>
    <w:rsid w:val="00E95CFE"/>
    <w:rsid w:val="00EA494C"/>
    <w:rsid w:val="00EB4376"/>
    <w:rsid w:val="00EB5384"/>
    <w:rsid w:val="00ED3AF6"/>
    <w:rsid w:val="00ED4033"/>
    <w:rsid w:val="00EE3EAA"/>
    <w:rsid w:val="00F03751"/>
    <w:rsid w:val="00F14FDD"/>
    <w:rsid w:val="00F157FF"/>
    <w:rsid w:val="00F47627"/>
    <w:rsid w:val="00F6696A"/>
    <w:rsid w:val="00F72CB2"/>
    <w:rsid w:val="00F92BDA"/>
    <w:rsid w:val="00FC2840"/>
  </w:rsids>
  <m:mathPr>
    <m:mathFont m:val="Cambria Math"/>
    <m:brkBin m:val="before"/>
    <m:brkBinSub m:val="--"/>
    <m:smallFrac m:val="0"/>
    <m:dispDef/>
    <m:lMargin m:val="0"/>
    <m:rMargin m:val="0"/>
    <m:defJc m:val="centerGroup"/>
    <m:wrapIndent m:val="1440"/>
    <m:intLim m:val="subSup"/>
    <m:naryLim m:val="undOvr"/>
  </m:mathPr>
  <w:themeFontLang w:val="fr-DZ" w:bidi="ar-SA"/>
  <w:clrSchemeMapping w:bg1="light1" w:t1="dark1" w:bg2="light2" w:t2="dark2" w:accent1="accent1" w:accent2="accent2" w:accent3="accent3" w:accent4="accent4" w:accent5="accent5" w:accent6="accent6" w:hyperlink="hyperlink" w:followedHyperlink="followedHyperlink"/>
  <w:decimalSymbol w:val=","/>
  <w:listSeparator w:val=";"/>
  <w14:docId w14:val="28323525"/>
  <w15:chartTrackingRefBased/>
  <w15:docId w15:val="{D1249418-12E0-0048-853A-0352A9A99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D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56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856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856B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856B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856B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856B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56B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56B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56B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56B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856B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856B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856B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856B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856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56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56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56B0"/>
    <w:rPr>
      <w:rFonts w:eastAsiaTheme="majorEastAsia" w:cstheme="majorBidi"/>
      <w:color w:val="272727" w:themeColor="text1" w:themeTint="D8"/>
    </w:rPr>
  </w:style>
  <w:style w:type="paragraph" w:styleId="Titre">
    <w:name w:val="Title"/>
    <w:basedOn w:val="Normal"/>
    <w:next w:val="Normal"/>
    <w:link w:val="TitreCar"/>
    <w:uiPriority w:val="10"/>
    <w:qFormat/>
    <w:rsid w:val="004856B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56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56B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56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56B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4856B0"/>
    <w:rPr>
      <w:i/>
      <w:iCs/>
      <w:color w:val="404040" w:themeColor="text1" w:themeTint="BF"/>
    </w:rPr>
  </w:style>
  <w:style w:type="paragraph" w:styleId="Paragraphedeliste">
    <w:name w:val="List Paragraph"/>
    <w:basedOn w:val="Normal"/>
    <w:uiPriority w:val="34"/>
    <w:qFormat/>
    <w:rsid w:val="004856B0"/>
    <w:pPr>
      <w:ind w:left="720"/>
      <w:contextualSpacing/>
    </w:pPr>
  </w:style>
  <w:style w:type="character" w:styleId="Accentuationintense">
    <w:name w:val="Intense Emphasis"/>
    <w:basedOn w:val="Policepardfaut"/>
    <w:uiPriority w:val="21"/>
    <w:qFormat/>
    <w:rsid w:val="004856B0"/>
    <w:rPr>
      <w:i/>
      <w:iCs/>
      <w:color w:val="2F5496" w:themeColor="accent1" w:themeShade="BF"/>
    </w:rPr>
  </w:style>
  <w:style w:type="paragraph" w:styleId="Citationintense">
    <w:name w:val="Intense Quote"/>
    <w:basedOn w:val="Normal"/>
    <w:next w:val="Normal"/>
    <w:link w:val="CitationintenseCar"/>
    <w:uiPriority w:val="30"/>
    <w:qFormat/>
    <w:rsid w:val="004856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856B0"/>
    <w:rPr>
      <w:i/>
      <w:iCs/>
      <w:color w:val="2F5496" w:themeColor="accent1" w:themeShade="BF"/>
    </w:rPr>
  </w:style>
  <w:style w:type="character" w:styleId="Rfrenceintense">
    <w:name w:val="Intense Reference"/>
    <w:basedOn w:val="Policepardfaut"/>
    <w:uiPriority w:val="32"/>
    <w:qFormat/>
    <w:rsid w:val="004856B0"/>
    <w:rPr>
      <w:b/>
      <w:bCs/>
      <w:smallCaps/>
      <w:color w:val="2F5496" w:themeColor="accent1" w:themeShade="BF"/>
      <w:spacing w:val="5"/>
    </w:rPr>
  </w:style>
  <w:style w:type="character" w:styleId="lev">
    <w:name w:val="Strong"/>
    <w:basedOn w:val="Policepardfaut"/>
    <w:uiPriority w:val="22"/>
    <w:qFormat/>
    <w:rsid w:val="000B52F4"/>
    <w:rPr>
      <w:b/>
      <w:bCs/>
    </w:rPr>
  </w:style>
  <w:style w:type="paragraph" w:styleId="NormalWeb">
    <w:name w:val="Normal (Web)"/>
    <w:basedOn w:val="Normal"/>
    <w:uiPriority w:val="99"/>
    <w:semiHidden/>
    <w:unhideWhenUsed/>
    <w:rsid w:val="00A53D97"/>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field">
    <w:name w:val="field"/>
    <w:basedOn w:val="Policepardfaut"/>
    <w:rsid w:val="003C78AB"/>
  </w:style>
  <w:style w:type="character" w:styleId="Lienhypertexte">
    <w:name w:val="Hyperlink"/>
    <w:basedOn w:val="Policepardfaut"/>
    <w:uiPriority w:val="99"/>
    <w:unhideWhenUsed/>
    <w:rsid w:val="0084047F"/>
    <w:rPr>
      <w:color w:val="0000FF"/>
      <w:u w:val="single"/>
    </w:rPr>
  </w:style>
  <w:style w:type="character" w:customStyle="1" w:styleId="vuuxrf">
    <w:name w:val="vuuxrf"/>
    <w:basedOn w:val="Policepardfaut"/>
    <w:rsid w:val="0084047F"/>
  </w:style>
  <w:style w:type="character" w:styleId="CitationHTML">
    <w:name w:val="HTML Cite"/>
    <w:basedOn w:val="Policepardfaut"/>
    <w:uiPriority w:val="99"/>
    <w:semiHidden/>
    <w:unhideWhenUsed/>
    <w:rsid w:val="0084047F"/>
    <w:rPr>
      <w:i/>
      <w:iCs/>
    </w:rPr>
  </w:style>
  <w:style w:type="character" w:customStyle="1" w:styleId="ylgvce">
    <w:name w:val="ylgvce"/>
    <w:basedOn w:val="Policepardfaut"/>
    <w:rsid w:val="0084047F"/>
  </w:style>
  <w:style w:type="character" w:styleId="Lienhypertextesuivivisit">
    <w:name w:val="FollowedHyperlink"/>
    <w:basedOn w:val="Policepardfaut"/>
    <w:uiPriority w:val="99"/>
    <w:semiHidden/>
    <w:unhideWhenUsed/>
    <w:rsid w:val="0084047F"/>
    <w:rPr>
      <w:color w:val="954F72" w:themeColor="followedHyperlink"/>
      <w:u w:val="single"/>
    </w:rPr>
  </w:style>
  <w:style w:type="character" w:styleId="Mentionnonrsolue">
    <w:name w:val="Unresolved Mention"/>
    <w:basedOn w:val="Policepardfaut"/>
    <w:uiPriority w:val="99"/>
    <w:semiHidden/>
    <w:unhideWhenUsed/>
    <w:rsid w:val="0084047F"/>
    <w:rPr>
      <w:color w:val="605E5C"/>
      <w:shd w:val="clear" w:color="auto" w:fill="E1DFDD"/>
    </w:rPr>
  </w:style>
  <w:style w:type="paragraph" w:styleId="En-tte">
    <w:name w:val="header"/>
    <w:basedOn w:val="Normal"/>
    <w:link w:val="En-tteCar"/>
    <w:uiPriority w:val="99"/>
    <w:unhideWhenUsed/>
    <w:rsid w:val="007F1CFE"/>
    <w:pPr>
      <w:tabs>
        <w:tab w:val="center" w:pos="4513"/>
        <w:tab w:val="right" w:pos="9026"/>
      </w:tabs>
    </w:pPr>
  </w:style>
  <w:style w:type="character" w:customStyle="1" w:styleId="En-tteCar">
    <w:name w:val="En-tête Car"/>
    <w:basedOn w:val="Policepardfaut"/>
    <w:link w:val="En-tte"/>
    <w:uiPriority w:val="99"/>
    <w:rsid w:val="007F1CFE"/>
  </w:style>
  <w:style w:type="paragraph" w:styleId="Pieddepage">
    <w:name w:val="footer"/>
    <w:basedOn w:val="Normal"/>
    <w:link w:val="PieddepageCar"/>
    <w:uiPriority w:val="99"/>
    <w:unhideWhenUsed/>
    <w:rsid w:val="007F1CFE"/>
    <w:pPr>
      <w:tabs>
        <w:tab w:val="center" w:pos="4513"/>
        <w:tab w:val="right" w:pos="9026"/>
      </w:tabs>
    </w:pPr>
  </w:style>
  <w:style w:type="character" w:customStyle="1" w:styleId="PieddepageCar">
    <w:name w:val="Pied de page Car"/>
    <w:basedOn w:val="Policepardfaut"/>
    <w:link w:val="Pieddepage"/>
    <w:uiPriority w:val="99"/>
    <w:rsid w:val="007F1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6</Pages>
  <Words>1117</Words>
  <Characters>6809</Characters>
  <Application>Microsoft Office Word</Application>
  <DocSecurity>2</DocSecurity>
  <Lines>194</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snow</cp:lastModifiedBy>
  <cp:revision>14</cp:revision>
  <dcterms:created xsi:type="dcterms:W3CDTF">2025-12-11T15:35:00Z</dcterms:created>
  <dcterms:modified xsi:type="dcterms:W3CDTF">2025-12-11T18:10:00Z</dcterms:modified>
</cp:coreProperties>
</file>