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STG間で不統一（PRD: prd/Replica_Kasumi、STG: stg/Replica_Kasumi 等）であり、シークレットの用途・接続先が名前から判断しにくい。命名規則を統一し、Lambda環境変数の参照先を段階的に移行する。 / Hiện tại, đặt tên Secrets Manager không thống nhất giữa PRD/STG. Thống nhất quy tắc đặt tên và di chuyển tham chiếu biến môi trường Lambda theo từng giai đoạn.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影響範囲調査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全Lambda・ECSのシークレット参照先を調査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変更計画・移行手順書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新命名規則策定・並行稼働計画書作成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新命名のシークレットを作成し並行稼働確認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全参照先の移行完了後に旧シークレットを削除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tra phạm vi ảnh hưởng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/ PRD (332802448674) / STG (750735758916)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現在の命名状況 / Tình trạng đặt tên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Write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Read-Only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stg/Replica_Kasumi_RO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Batch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stg/Batch_Kasumi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stg/Mail_Kasumi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調査内容 / Nội dung điều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STG:23本）およびECSタスク定義の環境変数を確認し、各シークレットの参照元一覧を作成する。 / Kiểm tra biến môi trường của tất cả Lambda (PRD:21 / STG:23) và ECS task definition, tạo danh sách nguồn tham chiếu.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新シークレットを削除し、旧シークレット参照に戻す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旧シークレット名と値をaws secretsmanager get-secret-valueで記録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全Lambda/ECSのシークレット参照先を調査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 影響範囲調査: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 変更計画策定: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 新シークレット作成: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No.4 旧シークレット削除: 0.5日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全Lambda/ECSが新シークレット名で正常動作すること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旧シークレットが削除されていること（No.4実施後）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Logsでシークレット参照エラーがないこと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旧シークレットを再作成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影響範囲調査結果確認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新シークレット作成確認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Lambda/ECS動作確認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旧シークレット削除確認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72CB90-D32A-424A-BB30-A2AF23585C9A}"/>
</file>

<file path=customXml/itemProps2.xml><?xml version="1.0" encoding="utf-8"?>
<ds:datastoreItem xmlns:ds="http://schemas.openxmlformats.org/officeDocument/2006/customXml" ds:itemID="{03950CE5-0612-4805-8035-F5524A084580}"/>
</file>

<file path=customXml/itemProps3.xml><?xml version="1.0" encoding="utf-8"?>
<ds:datastoreItem xmlns:ds="http://schemas.openxmlformats.org/officeDocument/2006/customXml" ds:itemID="{6CD4C175-C098-4FA2-8BF0-EC37E4ACC6D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