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888888"/>
          <w:sz w:val="28"/>
          <w:szCs w:val="28"/>
        </w:rPr>
        <w:t xml:space="preserve">MANUAL DE USUARIO · VERSIÓN 2</w:t>
      </w:r>
    </w:p>
    <w:p>
      <w:pPr>
        <w:spacing w:after="200"/>
      </w:pPr>
      <w:r>
        <w:rPr>
          <w:b/>
          <w:bCs/>
          <w:color w:val="714B67"/>
          <w:sz w:val="56"/>
          <w:szCs w:val="56"/>
        </w:rPr>
        <w:t xml:space="preserve">Nómina Peruana en Odoo 19 Community</w:t>
      </w:r>
    </w:p>
    <w:p>
      <w:pPr>
        <w:spacing w:after="600"/>
      </w:pPr>
      <w:r>
        <w:rPr>
          <w:color w:val="444444"/>
          <w:sz w:val="26"/>
          <w:szCs w:val="26"/>
        </w:rPr>
        <w:t xml:space="preserve">Localización SOLSE sobre om_hr_payroll: planilla, aportes, renta de 5.ª, gratificaciones, CTS, liquidación e indemnización, vacaciones, feriados, asistencias, subsidios, microempresa, Vida Ley, PLAME, AFPnet, T-Registro, pago a bancos, pago de la planilla, boletas por correo y recibos por honorarios</w:t>
      </w:r>
    </w:p>
    <w:p>
      <w:pPr>
        <w:pBdr>
          <w:bottom w:val="single" w:color="714B67" w:sz="12" w:space="4"/>
        </w:pBdr>
      </w:pP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Dato</w:t>
            </w:r>
          </w:p>
        </w:tc>
        <w:tc>
          <w:tcPr>
            <w:tcW w:type="dxa" w:w="70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Valor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Versión de Odoo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 Community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Módulos documentados</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solse_pe_payroll_base 19.0.1.20.1 · solse_pe_payroll_ce 19.0.1.27.1 · solse_pe_payroll_ce_demo 19.0.2.25.1 · solse_pe_payroll_asistencia 19.0.1.4.1 · solse_pe_plame_rxh 19.0.1.2.0 · solse_pe_plame_4ta 19.0.1.0.0 · om_hr_payroll 19.0.1.0 · om_hr_payroll_account 19.0.0.0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Base de medición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contable19: FM SYSTEMS SOLUTIONS EIRL (recorrido) y SOLSE Demo Servicios S.A.C. (laboratorio de 14 casos)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Público</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Usuarios de RR. HH. y contabilidad, e implementadores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Fecha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Octubre de 2026 · versión 2 (reemplaza a la versión 1 del 8 de octubre de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Estado de esta entrega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Avance: bloque(s) 1, 2, 3 de 4</w:t>
            </w:r>
          </w:p>
        </w:tc>
      </w:tr>
    </w:tbl>
    <w:p>
      <w:pPr>
        <w:spacing w:after="120"/>
      </w:pPr>
    </w:p>
    <w:p>
      <w:pPr>
        <w:pBdr>
          <w:left w:val="single" w:color="2E86AB" w:sz="18" w:space="8"/>
        </w:pBdr>
        <w:shd w:fill="EAF4F8" w:color="auto" w:val="clear"/>
        <w:spacing w:after="160" w:before="120"/>
        <w:ind w:left="120" w:right="120"/>
      </w:pPr>
      <w:r>
        <w:rPr>
          <w:b/>
          <w:bCs/>
          <w:color w:val="2E86AB"/>
        </w:rPr>
        <w:t xml:space="preserve">Nota: </w:t>
      </w:r>
      <w:r>
        <w:t xml:space="preserve">Todas las cifras salen de una </w:t>
      </w:r>
      <w:r>
        <w:rPr>
          <w:b/>
          <w:bCs/>
        </w:rPr>
        <w:t xml:space="preserve">corrida real</w:t>
      </w:r>
      <w:r>
        <w:t xml:space="preserve"> en la base de pruebas (22 de octubre de 2026). Los trabajadores del recorrido son </w:t>
      </w:r>
      <w:r>
        <w:rPr>
          <w:b/>
          <w:bCs/>
        </w:rPr>
        <w:t xml:space="preserve">ficticios</w:t>
      </w:r>
      <w:r>
        <w:t xml:space="preserve"> y sus DNI </w:t>
      </w:r>
      <w:r>
        <w:rPr>
          <w:b/>
          <w:bCs/>
        </w:rPr>
        <w:t xml:space="preserve">sintéticos</w:t>
      </w:r>
      <w:r>
        <w:t xml:space="preserve">; los del laboratorio también. No se muestra ningún dato personal real.</w:t>
      </w:r>
    </w:p>
    <w:p>
      <w:r>
        <w:br w:type="page"/>
      </w:r>
    </w:p>
    <w:p>
      <w:pPr>
        <w:spacing w:after="200"/>
      </w:pPr>
      <w:r>
        <w:rPr>
          <w:b/>
          <w:bCs/>
          <w:color w:val="714B67"/>
          <w:sz w:val="32"/>
          <w:szCs w:val="32"/>
        </w:rPr>
        <w:t xml:space="preserve">Contenido</w:t>
      </w:r>
    </w:p>
    <w:p>
      <w:pPr>
        <w:spacing w:after="40" w:before="120"/>
        <w:ind w:left="0"/>
      </w:pPr>
      <w:hyperlink w:history="1" w:anchor="t1">
        <w:r>
          <w:rPr>
            <w:b/>
            <w:bCs/>
            <w:color w:val="714B67"/>
            <w:sz w:val="22"/>
            <w:szCs w:val="22"/>
          </w:rPr>
          <w:t xml:space="preserve">1. Introducción</w:t>
        </w:r>
      </w:hyperlink>
    </w:p>
    <w:p>
      <w:pPr>
        <w:spacing w:after="20" w:before="0"/>
        <w:ind w:left="400"/>
      </w:pPr>
      <w:hyperlink w:history="1" w:anchor="t2">
        <w:r>
          <w:rPr>
            <w:b w:val="false"/>
            <w:bCs w:val="false"/>
            <w:color w:val="333333"/>
            <w:sz w:val="20"/>
            <w:szCs w:val="20"/>
          </w:rPr>
          <w:t xml:space="preserve">1.1 Cómo leer este manual</w:t>
        </w:r>
      </w:hyperlink>
    </w:p>
    <w:p>
      <w:pPr>
        <w:spacing w:after="20" w:before="0"/>
        <w:ind w:left="400"/>
      </w:pPr>
      <w:hyperlink w:history="1" w:anchor="t3">
        <w:r>
          <w:rPr>
            <w:b w:val="false"/>
            <w:bCs w:val="false"/>
            <w:color w:val="333333"/>
            <w:sz w:val="20"/>
            <w:szCs w:val="20"/>
          </w:rPr>
          <w:t xml:space="preserve">1.2 La regla de oro: los acumulados leen boletas VALIDADAS</w:t>
        </w:r>
      </w:hyperlink>
    </w:p>
    <w:p>
      <w:pPr>
        <w:spacing w:after="20" w:before="0"/>
        <w:ind w:left="400"/>
      </w:pPr>
      <w:hyperlink w:history="1" w:anchor="t4">
        <w:r>
          <w:rPr>
            <w:b w:val="false"/>
            <w:bCs w:val="false"/>
            <w:color w:val="333333"/>
            <w:sz w:val="20"/>
            <w:szCs w:val="20"/>
          </w:rPr>
          <w:t xml:space="preserve">1.3 De dónde salen las cifras</w:t>
        </w:r>
      </w:hyperlink>
    </w:p>
    <w:p>
      <w:pPr>
        <w:spacing w:after="20" w:before="0"/>
        <w:ind w:left="400"/>
      </w:pPr>
      <w:hyperlink w:history="1" w:anchor="t5">
        <w:r>
          <w:rPr>
            <w:b w:val="false"/>
            <w:bCs w:val="false"/>
            <w:color w:val="333333"/>
            <w:sz w:val="20"/>
            <w:szCs w:val="20"/>
          </w:rPr>
          <w:t xml:space="preserve">1.4 Novedades de la versión 2</w:t>
        </w:r>
      </w:hyperlink>
    </w:p>
    <w:p>
      <w:pPr>
        <w:spacing w:after="20" w:before="0"/>
        <w:ind w:left="400"/>
      </w:pPr>
      <w:hyperlink w:history="1" w:anchor="t6">
        <w:r>
          <w:rPr>
            <w:b w:val="false"/>
            <w:bCs w:val="false"/>
            <w:color w:val="333333"/>
            <w:sz w:val="20"/>
            <w:szCs w:val="20"/>
          </w:rPr>
          <w:t xml:space="preserve">1.5 La matriz y el laboratorio</w:t>
        </w:r>
      </w:hyperlink>
    </w:p>
    <w:p>
      <w:pPr>
        <w:spacing w:after="40" w:before="120"/>
        <w:ind w:left="0"/>
      </w:pPr>
      <w:hyperlink w:history="1" w:anchor="t7">
        <w:r>
          <w:rPr>
            <w:b/>
            <w:bCs/>
            <w:color w:val="714B67"/>
            <w:sz w:val="22"/>
            <w:szCs w:val="22"/>
          </w:rPr>
          <w:t xml:space="preserve">2. Instalación y actualización</w:t>
        </w:r>
      </w:hyperlink>
    </w:p>
    <w:p>
      <w:pPr>
        <w:spacing w:after="20" w:before="0"/>
        <w:ind w:left="400"/>
      </w:pPr>
      <w:hyperlink w:history="1" w:anchor="t8">
        <w:r>
          <w:rPr>
            <w:b w:val="false"/>
            <w:bCs w:val="false"/>
            <w:color w:val="333333"/>
            <w:sz w:val="20"/>
            <w:szCs w:val="20"/>
          </w:rPr>
          <w:t xml:space="preserve">2.1 Base nueva: sin pasos manuales</w:t>
        </w:r>
      </w:hyperlink>
    </w:p>
    <w:p>
      <w:pPr>
        <w:spacing w:after="20" w:before="0"/>
        <w:ind w:left="400"/>
      </w:pPr>
      <w:hyperlink w:history="1" w:anchor="t9">
        <w:r>
          <w:rPr>
            <w:b w:val="false"/>
            <w:bCs w:val="false"/>
            <w:color w:val="333333"/>
            <w:sz w:val="20"/>
            <w:szCs w:val="20"/>
          </w:rPr>
          <w:t xml:space="preserve">2.2 Qué hace cada actualización</w:t>
        </w:r>
      </w:hyperlink>
    </w:p>
    <w:p>
      <w:pPr>
        <w:spacing w:after="20" w:before="0"/>
        <w:ind w:left="400"/>
      </w:pPr>
      <w:hyperlink w:history="1" w:anchor="t10">
        <w:r>
          <w:rPr>
            <w:b w:val="false"/>
            <w:bCs w:val="false"/>
            <w:color w:val="333333"/>
            <w:sz w:val="20"/>
            <w:szCs w:val="20"/>
          </w:rPr>
          <w:t xml:space="preserve">2.3 El laboratorio de casos</w:t>
        </w:r>
      </w:hyperlink>
    </w:p>
    <w:p>
      <w:pPr>
        <w:spacing w:after="20" w:before="0"/>
        <w:ind w:left="400"/>
      </w:pPr>
      <w:hyperlink w:history="1" w:anchor="t11">
        <w:r>
          <w:rPr>
            <w:b w:val="false"/>
            <w:bCs w:val="false"/>
            <w:color w:val="333333"/>
            <w:sz w:val="20"/>
            <w:szCs w:val="20"/>
          </w:rPr>
          <w:t xml:space="preserve">2.4 Los datos de prueba no tocan una compañía real</w:t>
        </w:r>
      </w:hyperlink>
    </w:p>
    <w:p>
      <w:pPr>
        <w:spacing w:after="40" w:before="120"/>
        <w:ind w:left="0"/>
      </w:pPr>
      <w:hyperlink w:history="1" w:anchor="t12">
        <w:r>
          <w:rPr>
            <w:b/>
            <w:bCs/>
            <w:color w:val="714B67"/>
            <w:sz w:val="22"/>
            <w:szCs w:val="22"/>
          </w:rPr>
          <w:t xml:space="preserve">3. Menú de Nómina</w:t>
        </w:r>
      </w:hyperlink>
    </w:p>
    <w:p>
      <w:pPr>
        <w:spacing w:after="40" w:before="120"/>
        <w:ind w:left="0"/>
      </w:pPr>
      <w:hyperlink w:history="1" w:anchor="t13">
        <w:r>
          <w:rPr>
            <w:b/>
            <w:bCs/>
            <w:color w:val="714B67"/>
            <w:sz w:val="22"/>
            <w:szCs w:val="22"/>
          </w:rPr>
          <w:t xml:space="preserve">4. Parámetros legales con vigencia</w:t>
        </w:r>
      </w:hyperlink>
    </w:p>
    <w:p>
      <w:pPr>
        <w:spacing w:after="20" w:before="0"/>
        <w:ind w:left="400"/>
      </w:pPr>
      <w:hyperlink w:history="1" w:anchor="t14">
        <w:r>
          <w:rPr>
            <w:b w:val="false"/>
            <w:bCs w:val="false"/>
            <w:color w:val="333333"/>
            <w:sz w:val="20"/>
            <w:szCs w:val="20"/>
          </w:rPr>
          <w:t xml:space="preserve">4.1 Registrar una vigencia nueva con el editor</w:t>
        </w:r>
      </w:hyperlink>
    </w:p>
    <w:p>
      <w:pPr>
        <w:spacing w:after="20" w:before="0"/>
        <w:ind w:left="400"/>
      </w:pPr>
      <w:hyperlink w:history="1" w:anchor="t15">
        <w:r>
          <w:rPr>
            <w:b w:val="false"/>
            <w:bCs w:val="false"/>
            <w:color w:val="333333"/>
            <w:sz w:val="20"/>
            <w:szCs w:val="20"/>
          </w:rPr>
          <w:t xml:space="preserve">4.2 Validación al guardar</w:t>
        </w:r>
      </w:hyperlink>
    </w:p>
    <w:p>
      <w:pPr>
        <w:spacing w:after="20" w:before="0"/>
        <w:ind w:left="400"/>
      </w:pPr>
      <w:hyperlink w:history="1" w:anchor="t16">
        <w:r>
          <w:rPr>
            <w:b w:val="false"/>
            <w:bCs w:val="false"/>
            <w:color w:val="333333"/>
            <w:sz w:val="20"/>
            <w:szCs w:val="20"/>
          </w:rPr>
          <w:t xml:space="preserve">4.3 Avisos de vigencias</w:t>
        </w:r>
      </w:hyperlink>
    </w:p>
    <w:p>
      <w:pPr>
        <w:spacing w:after="40" w:before="120"/>
        <w:ind w:left="0"/>
      </w:pPr>
      <w:hyperlink w:history="1" w:anchor="t17">
        <w:r>
          <w:rPr>
            <w:b/>
            <w:bCs/>
            <w:color w:val="714B67"/>
            <w:sz w:val="22"/>
            <w:szCs w:val="22"/>
          </w:rPr>
          <w:t xml:space="preserve">5. Maestros SUNAT y tablas del T-Registro</w:t>
        </w:r>
      </w:hyperlink>
    </w:p>
    <w:p>
      <w:pPr>
        <w:spacing w:after="20" w:before="0"/>
        <w:ind w:left="400"/>
      </w:pPr>
      <w:hyperlink w:history="1" w:anchor="t18">
        <w:r>
          <w:rPr>
            <w:b w:val="false"/>
            <w:bCs w:val="false"/>
            <w:color w:val="333333"/>
            <w:sz w:val="20"/>
            <w:szCs w:val="20"/>
          </w:rPr>
          <w:t xml:space="preserve">5.1 Tablas nuevas del T-Registro</w:t>
        </w:r>
      </w:hyperlink>
    </w:p>
    <w:p>
      <w:pPr>
        <w:spacing w:after="40" w:before="120"/>
        <w:ind w:left="0"/>
      </w:pPr>
      <w:hyperlink w:history="1" w:anchor="t19">
        <w:r>
          <w:rPr>
            <w:b/>
            <w:bCs/>
            <w:color w:val="714B67"/>
            <w:sz w:val="22"/>
            <w:szCs w:val="22"/>
          </w:rPr>
          <w:t xml:space="preserve">6. Seguros: EPS, SCTR y Vida Ley</w:t>
        </w:r>
      </w:hyperlink>
    </w:p>
    <w:p>
      <w:pPr>
        <w:spacing w:after="20" w:before="0"/>
        <w:ind w:left="400"/>
      </w:pPr>
      <w:hyperlink w:history="1" w:anchor="t20">
        <w:r>
          <w:rPr>
            <w:b w:val="false"/>
            <w:bCs w:val="false"/>
            <w:color w:val="333333"/>
            <w:sz w:val="20"/>
            <w:szCs w:val="20"/>
          </w:rPr>
          <w:t xml:space="preserve">6.1 Planes EPS</w:t>
        </w:r>
      </w:hyperlink>
    </w:p>
    <w:p>
      <w:pPr>
        <w:spacing w:after="20" w:before="0"/>
        <w:ind w:left="400"/>
      </w:pPr>
      <w:hyperlink w:history="1" w:anchor="t21">
        <w:r>
          <w:rPr>
            <w:b w:val="false"/>
            <w:bCs w:val="false"/>
            <w:color w:val="333333"/>
            <w:sz w:val="20"/>
            <w:szCs w:val="20"/>
          </w:rPr>
          <w:t xml:space="preserve">6.2 SCTR</w:t>
        </w:r>
      </w:hyperlink>
    </w:p>
    <w:p>
      <w:pPr>
        <w:spacing w:after="20" w:before="0"/>
        <w:ind w:left="400"/>
      </w:pPr>
      <w:hyperlink w:history="1" w:anchor="t22">
        <w:r>
          <w:rPr>
            <w:b w:val="false"/>
            <w:bCs w:val="false"/>
            <w:color w:val="333333"/>
            <w:sz w:val="20"/>
            <w:szCs w:val="20"/>
          </w:rPr>
          <w:t xml:space="preserve">6.3 Vida Ley</w:t>
        </w:r>
      </w:hyperlink>
    </w:p>
    <w:p>
      <w:pPr>
        <w:spacing w:after="40" w:before="120"/>
        <w:ind w:left="0"/>
      </w:pPr>
      <w:hyperlink w:history="1" w:anchor="t23">
        <w:r>
          <w:rPr>
            <w:b/>
            <w:bCs/>
            <w:color w:val="714B67"/>
            <w:sz w:val="22"/>
            <w:szCs w:val="22"/>
          </w:rPr>
          <w:t xml:space="preserve">7. Contabilidad de nómina</w:t>
        </w:r>
      </w:hyperlink>
    </w:p>
    <w:p>
      <w:pPr>
        <w:spacing w:after="20" w:before="0"/>
        <w:ind w:left="400"/>
      </w:pPr>
      <w:hyperlink w:history="1" w:anchor="t24">
        <w:r>
          <w:rPr>
            <w:b w:val="false"/>
            <w:bCs w:val="false"/>
            <w:color w:val="333333"/>
            <w:sz w:val="20"/>
            <w:szCs w:val="20"/>
          </w:rPr>
          <w:t xml:space="preserve">7.1 Diario de planillas</w:t>
        </w:r>
      </w:hyperlink>
    </w:p>
    <w:p>
      <w:pPr>
        <w:spacing w:after="20" w:before="0"/>
        <w:ind w:left="400"/>
      </w:pPr>
      <w:hyperlink w:history="1" w:anchor="t25">
        <w:r>
          <w:rPr>
            <w:b w:val="false"/>
            <w:bCs w:val="false"/>
            <w:color w:val="333333"/>
            <w:sz w:val="20"/>
            <w:szCs w:val="20"/>
          </w:rPr>
          <w:t xml:space="preserve">7.2 Cuentas cambiadas a mano</w:t>
        </w:r>
      </w:hyperlink>
    </w:p>
    <w:p>
      <w:pPr>
        <w:spacing w:after="40" w:before="120"/>
        <w:ind w:left="0"/>
      </w:pPr>
      <w:hyperlink w:history="1" w:anchor="t26">
        <w:r>
          <w:rPr>
            <w:b/>
            <w:bCs/>
            <w:color w:val="714B67"/>
            <w:sz w:val="22"/>
            <w:szCs w:val="22"/>
          </w:rPr>
          <w:t xml:space="preserve">8. Alta de un trabajador</w:t>
        </w:r>
      </w:hyperlink>
    </w:p>
    <w:p>
      <w:pPr>
        <w:spacing w:after="20" w:before="0"/>
        <w:ind w:left="400"/>
      </w:pPr>
      <w:hyperlink w:history="1" w:anchor="t27">
        <w:r>
          <w:rPr>
            <w:b w:val="false"/>
            <w:bCs w:val="false"/>
            <w:color w:val="333333"/>
            <w:sz w:val="20"/>
            <w:szCs w:val="20"/>
          </w:rPr>
          <w:t xml:space="preserve">8.1 Ficha: datos principales y personales</w:t>
        </w:r>
      </w:hyperlink>
    </w:p>
    <w:p>
      <w:pPr>
        <w:spacing w:after="20" w:before="0"/>
        <w:ind w:left="400"/>
      </w:pPr>
      <w:hyperlink w:history="1" w:anchor="t28">
        <w:r>
          <w:rPr>
            <w:b w:val="false"/>
            <w:bCs w:val="false"/>
            <w:color w:val="333333"/>
            <w:sz w:val="20"/>
            <w:szCs w:val="20"/>
          </w:rPr>
          <w:t xml:space="preserve">8.2 Pestaña Nómina PE</w:t>
        </w:r>
      </w:hyperlink>
    </w:p>
    <w:p>
      <w:pPr>
        <w:spacing w:after="20" w:before="0"/>
        <w:ind w:left="400"/>
      </w:pPr>
      <w:hyperlink w:history="1" w:anchor="t29">
        <w:r>
          <w:rPr>
            <w:b w:val="false"/>
            <w:bCs w:val="false"/>
            <w:color w:val="333333"/>
            <w:sz w:val="20"/>
            <w:szCs w:val="20"/>
          </w:rPr>
          <w:t xml:space="preserve">8.3 Derechohabientes</w:t>
        </w:r>
      </w:hyperlink>
    </w:p>
    <w:p>
      <w:pPr>
        <w:spacing w:after="20" w:before="0"/>
        <w:ind w:left="400"/>
      </w:pPr>
      <w:hyperlink w:history="1" w:anchor="t30">
        <w:r>
          <w:rPr>
            <w:b w:val="false"/>
            <w:bCs w:val="false"/>
            <w:color w:val="333333"/>
            <w:sz w:val="20"/>
            <w:szCs w:val="20"/>
          </w:rPr>
          <w:t xml:space="preserve">8.4 Contrato (versión del empleado)</w:t>
        </w:r>
      </w:hyperlink>
    </w:p>
    <w:p>
      <w:pPr>
        <w:spacing w:after="40" w:before="120"/>
        <w:ind w:left="0"/>
      </w:pPr>
      <w:hyperlink w:history="1" w:anchor="t31">
        <w:r>
          <w:rPr>
            <w:b/>
            <w:bCs/>
            <w:color w:val="714B67"/>
            <w:sz w:val="22"/>
            <w:szCs w:val="22"/>
          </w:rPr>
          <w:t xml:space="preserve">9. Estructuras salariales</w:t>
        </w:r>
      </w:hyperlink>
    </w:p>
    <w:p>
      <w:pPr>
        <w:spacing w:after="20" w:before="0"/>
        <w:ind w:left="400"/>
      </w:pPr>
      <w:hyperlink w:history="1" w:anchor="t32">
        <w:r>
          <w:rPr>
            <w:b w:val="false"/>
            <w:bCs w:val="false"/>
            <w:color w:val="333333"/>
            <w:sz w:val="20"/>
            <w:szCs w:val="20"/>
          </w:rPr>
          <w:t xml:space="preserve">9.1 Régimen de la microempresa</w:t>
        </w:r>
      </w:hyperlink>
    </w:p>
    <w:p>
      <w:pPr>
        <w:spacing w:after="40" w:before="120"/>
        <w:ind w:left="0"/>
      </w:pPr>
      <w:hyperlink w:history="1" w:anchor="t33">
        <w:r>
          <w:rPr>
            <w:b/>
            <w:bCs/>
            <w:color w:val="714B67"/>
            <w:sz w:val="22"/>
            <w:szCs w:val="22"/>
          </w:rPr>
          <w:t xml:space="preserve">10. Boleta de pago individual</w:t>
        </w:r>
      </w:hyperlink>
    </w:p>
    <w:p>
      <w:pPr>
        <w:spacing w:after="20" w:before="0"/>
        <w:ind w:left="400"/>
      </w:pPr>
      <w:hyperlink w:history="1" w:anchor="t34">
        <w:r>
          <w:rPr>
            <w:b w:val="false"/>
            <w:bCs w:val="false"/>
            <w:color w:val="333333"/>
            <w:sz w:val="20"/>
            <w:szCs w:val="20"/>
          </w:rPr>
          <w:t xml:space="preserve">10.1 Crear y calcular</w:t>
        </w:r>
      </w:hyperlink>
    </w:p>
    <w:p>
      <w:pPr>
        <w:spacing w:after="20" w:before="0"/>
        <w:ind w:left="400"/>
      </w:pPr>
      <w:hyperlink w:history="1" w:anchor="t35">
        <w:r>
          <w:rPr>
            <w:b w:val="false"/>
            <w:bCs w:val="false"/>
            <w:color w:val="333333"/>
            <w:sz w:val="20"/>
            <w:szCs w:val="20"/>
          </w:rPr>
          <w:t xml:space="preserve">10.2 Días trabajados</w:t>
        </w:r>
      </w:hyperlink>
    </w:p>
    <w:p>
      <w:pPr>
        <w:spacing w:after="20" w:before="0"/>
        <w:ind w:left="400"/>
      </w:pPr>
      <w:hyperlink w:history="1" w:anchor="t36">
        <w:r>
          <w:rPr>
            <w:b w:val="false"/>
            <w:bCs w:val="false"/>
            <w:color w:val="333333"/>
            <w:sz w:val="20"/>
            <w:szCs w:val="20"/>
          </w:rPr>
          <w:t xml:space="preserve">10.3 Cálculo</w:t>
        </w:r>
      </w:hyperlink>
    </w:p>
    <w:p>
      <w:pPr>
        <w:spacing w:after="20" w:before="0"/>
        <w:ind w:left="400"/>
      </w:pPr>
      <w:hyperlink w:history="1" w:anchor="t37">
        <w:r>
          <w:rPr>
            <w:b w:val="false"/>
            <w:bCs w:val="false"/>
            <w:color w:val="333333"/>
            <w:sz w:val="20"/>
            <w:szCs w:val="20"/>
          </w:rPr>
          <w:t xml:space="preserve">10.4 Boleta impresa (D.S. 001-98-TR)</w:t>
        </w:r>
      </w:hyperlink>
    </w:p>
    <w:p>
      <w:pPr>
        <w:spacing w:after="20" w:before="0"/>
        <w:ind w:left="400"/>
      </w:pPr>
      <w:hyperlink w:history="1" w:anchor="t38">
        <w:r>
          <w:rPr>
            <w:b w:val="false"/>
            <w:bCs w:val="false"/>
            <w:color w:val="333333"/>
            <w:sz w:val="20"/>
            <w:szCs w:val="20"/>
          </w:rPr>
          <w:t xml:space="preserve">10.5 Asiento contable</w:t>
        </w:r>
      </w:hyperlink>
    </w:p>
    <w:p>
      <w:pPr>
        <w:spacing w:after="20" w:before="0"/>
        <w:ind w:left="400"/>
      </w:pPr>
      <w:hyperlink w:history="1" w:anchor="t39">
        <w:r>
          <w:rPr>
            <w:b w:val="false"/>
            <w:bCs w:val="false"/>
            <w:color w:val="333333"/>
            <w:sz w:val="20"/>
            <w:szCs w:val="20"/>
          </w:rPr>
          <w:t xml:space="preserve">10.6 Una boleta sin importes no se valida</w:t>
        </w:r>
      </w:hyperlink>
    </w:p>
    <w:p>
      <w:pPr>
        <w:spacing w:after="40" w:before="120"/>
        <w:ind w:left="0"/>
      </w:pPr>
      <w:hyperlink w:history="1" w:anchor="t40">
        <w:r>
          <w:rPr>
            <w:b/>
            <w:bCs/>
            <w:color w:val="714B67"/>
            <w:sz w:val="22"/>
            <w:szCs w:val="22"/>
          </w:rPr>
          <w:t xml:space="preserve">11. Lote mensual y orden del proceso</w:t>
        </w:r>
      </w:hyperlink>
    </w:p>
    <w:p>
      <w:pPr>
        <w:spacing w:after="20" w:before="0"/>
        <w:ind w:left="400"/>
      </w:pPr>
      <w:hyperlink w:history="1" w:anchor="t41">
        <w:r>
          <w:rPr>
            <w:b w:val="false"/>
            <w:bCs w:val="false"/>
            <w:color w:val="333333"/>
            <w:sz w:val="20"/>
            <w:szCs w:val="20"/>
          </w:rPr>
          <w:t xml:space="preserve">11.1 Generar el lote</w:t>
        </w:r>
      </w:hyperlink>
    </w:p>
    <w:p>
      <w:pPr>
        <w:spacing w:after="20" w:before="0"/>
        <w:ind w:left="400"/>
      </w:pPr>
      <w:hyperlink w:history="1" w:anchor="t42">
        <w:r>
          <w:rPr>
            <w:b w:val="false"/>
            <w:bCs w:val="false"/>
            <w:color w:val="333333"/>
            <w:sz w:val="20"/>
            <w:szCs w:val="20"/>
          </w:rPr>
          <w:t xml:space="preserve">11.2 Orden del mes</w:t>
        </w:r>
      </w:hyperlink>
    </w:p>
    <w:p>
      <w:pPr>
        <w:spacing w:after="40" w:before="120"/>
        <w:ind w:left="0"/>
      </w:pPr>
      <w:hyperlink w:history="1" w:anchor="t43">
        <w:r>
          <w:rPr>
            <w:b/>
            <w:bCs/>
            <w:color w:val="714B67"/>
            <w:sz w:val="22"/>
            <w:szCs w:val="22"/>
          </w:rPr>
          <w:t xml:space="preserve">12. Aportes y retenciones</w:t>
        </w:r>
      </w:hyperlink>
    </w:p>
    <w:p>
      <w:pPr>
        <w:spacing w:after="20" w:before="0"/>
        <w:ind w:left="400"/>
      </w:pPr>
      <w:hyperlink w:history="1" w:anchor="t44">
        <w:r>
          <w:rPr>
            <w:b w:val="false"/>
            <w:bCs w:val="false"/>
            <w:color w:val="333333"/>
            <w:sz w:val="20"/>
            <w:szCs w:val="20"/>
          </w:rPr>
          <w:t xml:space="preserve">12.1 Topes y bases del mes</w:t>
        </w:r>
      </w:hyperlink>
    </w:p>
    <w:p>
      <w:pPr>
        <w:spacing w:after="20" w:before="0"/>
        <w:ind w:left="400"/>
      </w:pPr>
      <w:hyperlink w:history="1" w:anchor="t45">
        <w:r>
          <w:rPr>
            <w:b w:val="false"/>
            <w:bCs w:val="false"/>
            <w:color w:val="333333"/>
            <w:sz w:val="20"/>
            <w:szCs w:val="20"/>
          </w:rPr>
          <w:t xml:space="preserve">12.2 La tardanza reduce la base</w:t>
        </w:r>
      </w:hyperlink>
    </w:p>
    <w:p>
      <w:pPr>
        <w:spacing w:after="20" w:before="0"/>
        <w:ind w:left="400"/>
      </w:pPr>
      <w:hyperlink w:history="1" w:anchor="t46">
        <w:r>
          <w:rPr>
            <w:b w:val="false"/>
            <w:bCs w:val="false"/>
            <w:color w:val="333333"/>
            <w:sz w:val="20"/>
            <w:szCs w:val="20"/>
          </w:rPr>
          <w:t xml:space="preserve">12.3 Prima de Vida Ley</w:t>
        </w:r>
      </w:hyperlink>
    </w:p>
    <w:p>
      <w:pPr>
        <w:spacing w:after="40" w:before="120"/>
        <w:ind w:left="0"/>
      </w:pPr>
      <w:hyperlink w:history="1" w:anchor="t47">
        <w:r>
          <w:rPr>
            <w:b/>
            <w:bCs/>
            <w:color w:val="714B67"/>
            <w:sz w:val="22"/>
            <w:szCs w:val="22"/>
          </w:rPr>
          <w:t xml:space="preserve">13. Renta de 5.ª categoría</w:t>
        </w:r>
      </w:hyperlink>
    </w:p>
    <w:p>
      <w:pPr>
        <w:spacing w:after="20" w:before="0"/>
        <w:ind w:left="400"/>
      </w:pPr>
      <w:hyperlink w:history="1" w:anchor="t48">
        <w:r>
          <w:rPr>
            <w:b w:val="false"/>
            <w:bCs w:val="false"/>
            <w:color w:val="333333"/>
            <w:sz w:val="20"/>
            <w:szCs w:val="20"/>
          </w:rPr>
          <w:t xml:space="preserve">13.1 Retenciones medidas de Lucía</w:t>
        </w:r>
      </w:hyperlink>
    </w:p>
    <w:p>
      <w:pPr>
        <w:spacing w:after="20" w:before="0"/>
        <w:ind w:left="400"/>
      </w:pPr>
      <w:hyperlink w:history="1" w:anchor="t49">
        <w:r>
          <w:rPr>
            <w:b w:val="false"/>
            <w:bCs w:val="false"/>
            <w:color w:val="333333"/>
            <w:sz w:val="20"/>
            <w:szCs w:val="20"/>
          </w:rPr>
          <w:t xml:space="preserve">13.2 Certificado de 5.ª categoría</w:t>
        </w:r>
      </w:hyperlink>
    </w:p>
    <w:p>
      <w:pPr>
        <w:spacing w:after="20" w:before="0"/>
        <w:ind w:left="400"/>
      </w:pPr>
      <w:hyperlink w:history="1" w:anchor="t50">
        <w:r>
          <w:rPr>
            <w:b w:val="false"/>
            <w:bCs w:val="false"/>
            <w:color w:val="333333"/>
            <w:sz w:val="20"/>
            <w:szCs w:val="20"/>
          </w:rPr>
          <w:t xml:space="preserve">13.3 Regularización al cese y devolución</w:t>
        </w:r>
      </w:hyperlink>
    </w:p>
    <w:p>
      <w:pPr>
        <w:spacing w:after="40" w:before="120"/>
        <w:ind w:left="0"/>
      </w:pPr>
      <w:hyperlink w:history="1" w:anchor="t51">
        <w:r>
          <w:rPr>
            <w:b/>
            <w:bCs/>
            <w:color w:val="714B67"/>
            <w:sz w:val="22"/>
            <w:szCs w:val="22"/>
          </w:rPr>
          <w:t xml:space="preserve">14. Gratificaciones</w:t>
        </w:r>
      </w:hyperlink>
    </w:p>
    <w:p>
      <w:pPr>
        <w:spacing w:after="20" w:before="0"/>
        <w:ind w:left="400"/>
      </w:pPr>
      <w:hyperlink w:history="1" w:anchor="t52">
        <w:r>
          <w:rPr>
            <w:b w:val="false"/>
            <w:bCs w:val="false"/>
            <w:color w:val="333333"/>
            <w:sz w:val="20"/>
            <w:szCs w:val="20"/>
          </w:rPr>
          <w:t xml:space="preserve">14.1 Una sola vez por semestre y contrato</w:t>
        </w:r>
      </w:hyperlink>
    </w:p>
    <w:p>
      <w:pPr>
        <w:spacing w:after="40" w:before="120"/>
        <w:ind w:left="0"/>
      </w:pPr>
      <w:hyperlink w:history="1" w:anchor="t53">
        <w:r>
          <w:rPr>
            <w:b/>
            <w:bCs/>
            <w:color w:val="714B67"/>
            <w:sz w:val="22"/>
            <w:szCs w:val="22"/>
          </w:rPr>
          <w:t xml:space="preserve">15. CTS</w:t>
        </w:r>
      </w:hyperlink>
    </w:p>
    <w:p>
      <w:pPr>
        <w:spacing w:after="20" w:before="0"/>
        <w:ind w:left="400"/>
      </w:pPr>
      <w:hyperlink w:history="1" w:anchor="t54">
        <w:r>
          <w:rPr>
            <w:b w:val="false"/>
            <w:bCs w:val="false"/>
            <w:color w:val="333333"/>
            <w:sz w:val="20"/>
            <w:szCs w:val="20"/>
          </w:rPr>
          <w:t xml:space="preserve">15.1 Liquidación del depósito de CTS</w:t>
        </w:r>
      </w:hyperlink>
    </w:p>
    <w:p>
      <w:pPr>
        <w:spacing w:after="40" w:before="120"/>
        <w:ind w:left="0"/>
      </w:pPr>
      <w:hyperlink w:history="1" w:anchor="t55">
        <w:r>
          <w:rPr>
            <w:b/>
            <w:bCs/>
            <w:color w:val="714B67"/>
            <w:sz w:val="22"/>
            <w:szCs w:val="22"/>
          </w:rPr>
          <w:t xml:space="preserve">16. Liquidación por cese</w:t>
        </w:r>
      </w:hyperlink>
    </w:p>
    <w:p>
      <w:pPr>
        <w:spacing w:after="20" w:before="0"/>
        <w:ind w:left="400"/>
      </w:pPr>
      <w:hyperlink w:history="1" w:anchor="t56">
        <w:r>
          <w:rPr>
            <w:b w:val="false"/>
            <w:bCs w:val="false"/>
            <w:color w:val="333333"/>
            <w:sz w:val="20"/>
            <w:szCs w:val="20"/>
          </w:rPr>
          <w:t xml:space="preserve">16.1 Truncas con aportes</w:t>
        </w:r>
      </w:hyperlink>
    </w:p>
    <w:p>
      <w:pPr>
        <w:spacing w:after="20" w:before="0"/>
        <w:ind w:left="400"/>
      </w:pPr>
      <w:hyperlink w:history="1" w:anchor="t57">
        <w:r>
          <w:rPr>
            <w:b w:val="false"/>
            <w:bCs w:val="false"/>
            <w:color w:val="333333"/>
            <w:sz w:val="20"/>
            <w:szCs w:val="20"/>
          </w:rPr>
          <w:t xml:space="preserve">16.2 Indemnización por despido arbitrario</w:t>
        </w:r>
      </w:hyperlink>
    </w:p>
    <w:p>
      <w:pPr>
        <w:spacing w:after="40" w:before="120"/>
        <w:ind w:left="0"/>
      </w:pPr>
      <w:hyperlink w:history="1" w:anchor="t58">
        <w:r>
          <w:rPr>
            <w:b/>
            <w:bCs/>
            <w:color w:val="714B67"/>
            <w:sz w:val="22"/>
            <w:szCs w:val="22"/>
          </w:rPr>
          <w:t xml:space="preserve">17. Vacaciones</w:t>
        </w:r>
      </w:hyperlink>
    </w:p>
    <w:p>
      <w:pPr>
        <w:spacing w:after="20" w:before="0"/>
        <w:ind w:left="400"/>
      </w:pPr>
      <w:hyperlink w:history="1" w:anchor="t59">
        <w:r>
          <w:rPr>
            <w:b w:val="false"/>
            <w:bCs w:val="false"/>
            <w:color w:val="333333"/>
            <w:sz w:val="20"/>
            <w:szCs w:val="20"/>
          </w:rPr>
          <w:t xml:space="preserve">17.1 Tipos de ausencia y Tabla 21</w:t>
        </w:r>
      </w:hyperlink>
    </w:p>
    <w:p>
      <w:pPr>
        <w:spacing w:after="20" w:before="0"/>
        <w:ind w:left="400"/>
      </w:pPr>
      <w:hyperlink w:history="1" w:anchor="t60">
        <w:r>
          <w:rPr>
            <w:b w:val="false"/>
            <w:bCs w:val="false"/>
            <w:color w:val="333333"/>
            <w:sz w:val="20"/>
            <w:szCs w:val="20"/>
          </w:rPr>
          <w:t xml:space="preserve">17.2 Boleta de vacaciones y mensual del mes</w:t>
        </w:r>
      </w:hyperlink>
    </w:p>
    <w:p>
      <w:pPr>
        <w:spacing w:after="40" w:before="120"/>
        <w:ind w:left="0"/>
      </w:pPr>
      <w:hyperlink w:history="1" w:anchor="t61">
        <w:r>
          <w:rPr>
            <w:b/>
            <w:bCs/>
            <w:color w:val="714B67"/>
            <w:sz w:val="22"/>
            <w:szCs w:val="22"/>
          </w:rPr>
          <w:t xml:space="preserve">18. Feriados</w:t>
        </w:r>
      </w:hyperlink>
    </w:p>
    <w:p>
      <w:pPr>
        <w:spacing w:after="20" w:before="0"/>
        <w:ind w:left="400"/>
      </w:pPr>
      <w:hyperlink w:history="1" w:anchor="t62">
        <w:r>
          <w:rPr>
            <w:b w:val="false"/>
            <w:bCs w:val="false"/>
            <w:color w:val="333333"/>
            <w:sz w:val="20"/>
            <w:szCs w:val="20"/>
          </w:rPr>
          <w:t xml:space="preserve">18.1 Efecto en la boleta y en el PLAME</w:t>
        </w:r>
      </w:hyperlink>
    </w:p>
    <w:p>
      <w:pPr>
        <w:spacing w:after="20" w:before="0"/>
        <w:ind w:left="400"/>
      </w:pPr>
      <w:hyperlink w:history="1" w:anchor="t63">
        <w:r>
          <w:rPr>
            <w:b w:val="false"/>
            <w:bCs w:val="false"/>
            <w:color w:val="333333"/>
            <w:sz w:val="20"/>
            <w:szCs w:val="20"/>
          </w:rPr>
          <w:t xml:space="preserve">18.2 Aviso de feriados del año sin cargar</w:t>
        </w:r>
      </w:hyperlink>
    </w:p>
    <w:p>
      <w:pPr>
        <w:spacing w:after="40" w:before="120"/>
        <w:ind w:left="0"/>
      </w:pPr>
      <w:hyperlink w:history="1" w:anchor="t64">
        <w:r>
          <w:rPr>
            <w:b/>
            <w:bCs/>
            <w:color w:val="714B67"/>
            <w:sz w:val="22"/>
            <w:szCs w:val="22"/>
          </w:rPr>
          <w:t xml:space="preserve">20. Horas extra, nocturnidad, movilidad, adelantos y utilidades</w:t>
        </w:r>
      </w:hyperlink>
    </w:p>
    <w:p>
      <w:pPr>
        <w:spacing w:after="20" w:before="0"/>
        <w:ind w:left="400"/>
      </w:pPr>
      <w:hyperlink w:history="1" w:anchor="t65">
        <w:r>
          <w:rPr>
            <w:b w:val="false"/>
            <w:bCs w:val="false"/>
            <w:color w:val="333333"/>
            <w:sz w:val="20"/>
            <w:szCs w:val="20"/>
          </w:rPr>
          <w:t xml:space="preserve">20.1 Adelantos, descuento judicial y cuota sindical</w:t>
        </w:r>
      </w:hyperlink>
    </w:p>
    <w:p>
      <w:pPr>
        <w:spacing w:after="20" w:before="0"/>
        <w:ind w:left="400"/>
      </w:pPr>
      <w:hyperlink w:history="1" w:anchor="t66">
        <w:r>
          <w:rPr>
            <w:b w:val="false"/>
            <w:bCs w:val="false"/>
            <w:color w:val="333333"/>
            <w:sz w:val="20"/>
            <w:szCs w:val="20"/>
          </w:rPr>
          <w:t xml:space="preserve">20.2 Reparto de utilidades</w:t>
        </w:r>
      </w:hyperlink>
    </w:p>
    <w:p>
      <w:pPr>
        <w:spacing w:after="40" w:before="120"/>
        <w:ind w:left="0"/>
      </w:pPr>
      <w:hyperlink w:history="1" w:anchor="t67">
        <w:r>
          <w:rPr>
            <w:b/>
            <w:bCs/>
            <w:color w:val="714B67"/>
            <w:sz w:val="22"/>
            <w:szCs w:val="22"/>
          </w:rPr>
          <w:t xml:space="preserve">21. Cambios de contrato dentro del mes</w:t>
        </w:r>
      </w:hyperlink>
    </w:p>
    <w:p>
      <w:pPr>
        <w:spacing w:after="20" w:before="0"/>
        <w:ind w:left="400"/>
      </w:pPr>
      <w:hyperlink w:history="1" w:anchor="t68">
        <w:r>
          <w:rPr>
            <w:b w:val="false"/>
            <w:bCs w:val="false"/>
            <w:color w:val="333333"/>
            <w:sz w:val="20"/>
            <w:szCs w:val="20"/>
          </w:rPr>
          <w:t xml:space="preserve">21.1 Aumento a mitad de mes</w:t>
        </w:r>
      </w:hyperlink>
    </w:p>
    <w:p>
      <w:pPr>
        <w:spacing w:after="20" w:before="0"/>
        <w:ind w:left="400"/>
      </w:pPr>
      <w:hyperlink w:history="1" w:anchor="t69">
        <w:r>
          <w:rPr>
            <w:b w:val="false"/>
            <w:bCs w:val="false"/>
            <w:color w:val="333333"/>
            <w:sz w:val="20"/>
            <w:szCs w:val="20"/>
          </w:rPr>
          <w:t xml:space="preserve">21.2 Dos contratos en el mismo mes</w:t>
        </w:r>
      </w:hyperlink>
    </w:p>
    <w:p>
      <w:pPr>
        <w:spacing w:after="20" w:before="0"/>
        <w:ind w:left="400"/>
      </w:pPr>
      <w:hyperlink w:history="1" w:anchor="t70">
        <w:r>
          <w:rPr>
            <w:b w:val="false"/>
            <w:bCs w:val="false"/>
            <w:color w:val="333333"/>
            <w:sz w:val="20"/>
            <w:szCs w:val="20"/>
          </w:rPr>
          <w:t xml:space="preserve">21.3 Boletas sin versión</w:t>
        </w:r>
      </w:hyperlink>
    </w:p>
    <w:p>
      <w:pPr>
        <w:spacing w:after="40" w:before="120"/>
        <w:ind w:left="0"/>
      </w:pPr>
      <w:hyperlink w:history="1" w:anchor="t71">
        <w:r>
          <w:rPr>
            <w:b/>
            <w:bCs/>
            <w:color w:val="714B67"/>
            <w:sz w:val="22"/>
            <w:szCs w:val="22"/>
          </w:rPr>
          <w:t xml:space="preserve">22. Licencias sin goce, permisos por horas y meses sin remuneración</w:t>
        </w:r>
      </w:hyperlink>
    </w:p>
    <w:p>
      <w:pPr>
        <w:spacing w:after="20" w:before="0"/>
        <w:ind w:left="400"/>
      </w:pPr>
      <w:hyperlink w:history="1" w:anchor="t72">
        <w:r>
          <w:rPr>
            <w:b w:val="false"/>
            <w:bCs w:val="false"/>
            <w:color w:val="333333"/>
            <w:sz w:val="20"/>
            <w:szCs w:val="20"/>
          </w:rPr>
          <w:t xml:space="preserve">22.1 Una semana sin goce</w:t>
        </w:r>
      </w:hyperlink>
    </w:p>
    <w:p>
      <w:pPr>
        <w:spacing w:after="20" w:before="0"/>
        <w:ind w:left="400"/>
      </w:pPr>
      <w:hyperlink w:history="1" w:anchor="t73">
        <w:r>
          <w:rPr>
            <w:b w:val="false"/>
            <w:bCs w:val="false"/>
            <w:color w:val="333333"/>
            <w:sz w:val="20"/>
            <w:szCs w:val="20"/>
          </w:rPr>
          <w:t xml:space="preserve">22.2 Permiso de dos horas</w:t>
        </w:r>
      </w:hyperlink>
    </w:p>
    <w:p>
      <w:pPr>
        <w:spacing w:after="20" w:before="0"/>
        <w:ind w:left="400"/>
      </w:pPr>
      <w:hyperlink w:history="1" w:anchor="t74">
        <w:r>
          <w:rPr>
            <w:b w:val="false"/>
            <w:bCs w:val="false"/>
            <w:color w:val="333333"/>
            <w:sz w:val="20"/>
            <w:szCs w:val="20"/>
          </w:rPr>
          <w:t xml:space="preserve">22.3 Un mes entero sin remuneración</w:t>
        </w:r>
      </w:hyperlink>
    </w:p>
    <w:p>
      <w:pPr>
        <w:spacing w:after="40" w:before="120"/>
        <w:ind w:left="0"/>
      </w:pPr>
      <w:hyperlink w:history="1" w:anchor="t75">
        <w:r>
          <w:rPr>
            <w:b/>
            <w:bCs/>
            <w:color w:val="714B67"/>
            <w:sz w:val="22"/>
            <w:szCs w:val="22"/>
          </w:rPr>
          <w:t xml:space="preserve">23. Subsidios: descanso médico y maternidad</w:t>
        </w:r>
      </w:hyperlink>
    </w:p>
    <w:p>
      <w:pPr>
        <w:spacing w:after="20" w:before="0"/>
        <w:ind w:left="400"/>
      </w:pPr>
      <w:hyperlink w:history="1" w:anchor="t76">
        <w:r>
          <w:rPr>
            <w:b w:val="false"/>
            <w:bCs w:val="false"/>
            <w:color w:val="333333"/>
            <w:sz w:val="20"/>
            <w:szCs w:val="20"/>
          </w:rPr>
          <w:t xml:space="preserve">23.1 Descanso médico de 30 días</w:t>
        </w:r>
      </w:hyperlink>
    </w:p>
    <w:p>
      <w:pPr>
        <w:spacing w:after="20" w:before="0"/>
        <w:ind w:left="400"/>
      </w:pPr>
      <w:hyperlink w:history="1" w:anchor="t77">
        <w:r>
          <w:rPr>
            <w:b w:val="false"/>
            <w:bCs w:val="false"/>
            <w:color w:val="333333"/>
            <w:sz w:val="20"/>
            <w:szCs w:val="20"/>
          </w:rPr>
          <w:t xml:space="preserve">23.2 Derecho al subsidio</w:t>
        </w:r>
      </w:hyperlink>
    </w:p>
    <w:p>
      <w:pPr>
        <w:spacing w:after="40" w:before="120"/>
        <w:ind w:left="0"/>
      </w:pPr>
      <w:hyperlink w:history="1" w:anchor="t78">
        <w:r>
          <w:rPr>
            <w:b/>
            <w:bCs/>
            <w:color w:val="714B67"/>
            <w:sz w:val="22"/>
            <w:szCs w:val="22"/>
          </w:rPr>
          <w:t xml:space="preserve">24. Microempresa</w:t>
        </w:r>
      </w:hyperlink>
    </w:p>
    <w:p>
      <w:pPr>
        <w:spacing w:after="40" w:before="120"/>
        <w:ind w:left="0"/>
      </w:pPr>
      <w:hyperlink w:history="1" w:anchor="t79">
        <w:r>
          <w:rPr>
            <w:b/>
            <w:bCs/>
            <w:color w:val="714B67"/>
            <w:sz w:val="22"/>
            <w:szCs w:val="22"/>
          </w:rPr>
          <w:t xml:space="preserve">25. Rectificar una boleta</w:t>
        </w:r>
      </w:hyperlink>
    </w:p>
    <w:p>
      <w:pPr>
        <w:spacing w:after="40" w:before="120"/>
        <w:ind w:left="0"/>
      </w:pPr>
      <w:hyperlink w:history="1" w:anchor="t80">
        <w:r>
          <w:rPr>
            <w:b/>
            <w:bCs/>
            <w:color w:val="714B67"/>
            <w:sz w:val="22"/>
            <w:szCs w:val="22"/>
          </w:rPr>
          <w:t xml:space="preserve">26. Avisos y controles</w:t>
        </w:r>
      </w:hyperlink>
    </w:p>
    <w:p>
      <w:pPr>
        <w:spacing w:after="20" w:before="0"/>
        <w:ind w:left="400"/>
      </w:pPr>
      <w:hyperlink w:history="1" w:anchor="t81">
        <w:r>
          <w:rPr>
            <w:b w:val="false"/>
            <w:bCs w:val="false"/>
            <w:color w:val="333333"/>
            <w:sz w:val="20"/>
            <w:szCs w:val="20"/>
          </w:rPr>
          <w:t xml:space="preserve">26.1 Ejemplos medidos</w:t>
        </w:r>
      </w:hyperlink>
    </w:p>
    <w:p>
      <w:pPr>
        <w:spacing w:after="40" w:before="120"/>
        <w:ind w:left="0"/>
      </w:pPr>
      <w:hyperlink w:history="1" w:anchor="t82">
        <w:r>
          <w:rPr>
            <w:b/>
            <w:bCs/>
            <w:color w:val="714B67"/>
            <w:sz w:val="22"/>
            <w:szCs w:val="22"/>
          </w:rPr>
          <w:t xml:space="preserve">27. Reportes y archivos legales</w:t>
        </w:r>
      </w:hyperlink>
    </w:p>
    <w:p>
      <w:pPr>
        <w:spacing w:after="20" w:before="0"/>
        <w:ind w:left="400"/>
      </w:pPr>
      <w:hyperlink w:history="1" w:anchor="t83">
        <w:r>
          <w:rPr>
            <w:b w:val="false"/>
            <w:bCs w:val="false"/>
            <w:color w:val="333333"/>
            <w:sz w:val="20"/>
            <w:szCs w:val="20"/>
          </w:rPr>
          <w:t xml:space="preserve">27.1 Planilla de sueldos</w:t>
        </w:r>
      </w:hyperlink>
    </w:p>
    <w:p>
      <w:pPr>
        <w:spacing w:after="20" w:before="0"/>
        <w:ind w:left="400"/>
      </w:pPr>
      <w:hyperlink w:history="1" w:anchor="t84">
        <w:r>
          <w:rPr>
            <w:b w:val="false"/>
            <w:bCs w:val="false"/>
            <w:color w:val="333333"/>
            <w:sz w:val="20"/>
            <w:szCs w:val="20"/>
          </w:rPr>
          <w:t xml:space="preserve">27.2 PLAME (archivos del PDT 601)</w:t>
        </w:r>
      </w:hyperlink>
    </w:p>
    <w:p>
      <w:pPr>
        <w:spacing w:after="20" w:before="0"/>
        <w:ind w:left="400"/>
      </w:pPr>
      <w:hyperlink w:history="1" w:anchor="t85">
        <w:r>
          <w:rPr>
            <w:b w:val="false"/>
            <w:bCs w:val="false"/>
            <w:color w:val="333333"/>
            <w:sz w:val="20"/>
            <w:szCs w:val="20"/>
          </w:rPr>
          <w:t xml:space="preserve">27.3 AFPnet</w:t>
        </w:r>
      </w:hyperlink>
    </w:p>
    <w:p>
      <w:pPr>
        <w:spacing w:after="20" w:before="0"/>
        <w:ind w:left="400"/>
      </w:pPr>
      <w:hyperlink w:history="1" w:anchor="t86">
        <w:r>
          <w:rPr>
            <w:b w:val="false"/>
            <w:bCs w:val="false"/>
            <w:color w:val="333333"/>
            <w:sz w:val="20"/>
            <w:szCs w:val="20"/>
          </w:rPr>
          <w:t xml:space="preserve">27.4 Pago masivo a bancos</w:t>
        </w:r>
      </w:hyperlink>
    </w:p>
    <w:p>
      <w:pPr>
        <w:spacing w:after="40" w:before="120"/>
        <w:ind w:left="0"/>
      </w:pPr>
      <w:hyperlink w:history="1" w:anchor="t87">
        <w:r>
          <w:rPr>
            <w:b/>
            <w:bCs/>
            <w:color w:val="714B67"/>
            <w:sz w:val="22"/>
            <w:szCs w:val="22"/>
          </w:rPr>
          <w:t xml:space="preserve">28. Pago de la planilla, entrega de boletas y constancias</w:t>
        </w:r>
      </w:hyperlink>
    </w:p>
    <w:p>
      <w:pPr>
        <w:spacing w:after="20" w:before="0"/>
        <w:ind w:left="400"/>
      </w:pPr>
      <w:hyperlink w:history="1" w:anchor="t88">
        <w:r>
          <w:rPr>
            <w:b w:val="false"/>
            <w:bCs w:val="false"/>
            <w:color w:val="333333"/>
            <w:sz w:val="20"/>
            <w:szCs w:val="20"/>
          </w:rPr>
          <w:t xml:space="preserve">28.1 Registrar el pago</w:t>
        </w:r>
      </w:hyperlink>
    </w:p>
    <w:p>
      <w:pPr>
        <w:spacing w:after="20" w:before="0"/>
        <w:ind w:left="400"/>
      </w:pPr>
      <w:hyperlink w:history="1" w:anchor="t89">
        <w:r>
          <w:rPr>
            <w:b w:val="false"/>
            <w:bCs w:val="false"/>
            <w:color w:val="333333"/>
            <w:sz w:val="20"/>
            <w:szCs w:val="20"/>
          </w:rPr>
          <w:t xml:space="preserve">28.2 Entrega de la boleta</w:t>
        </w:r>
      </w:hyperlink>
    </w:p>
    <w:p>
      <w:pPr>
        <w:spacing w:after="20" w:before="0"/>
        <w:ind w:left="400"/>
      </w:pPr>
      <w:hyperlink w:history="1" w:anchor="t90">
        <w:r>
          <w:rPr>
            <w:b w:val="false"/>
            <w:bCs w:val="false"/>
            <w:color w:val="333333"/>
            <w:sz w:val="20"/>
            <w:szCs w:val="20"/>
          </w:rPr>
          <w:t xml:space="preserve">28.3 Constancias</w:t>
        </w:r>
      </w:hyperlink>
    </w:p>
    <w:p>
      <w:pPr>
        <w:spacing w:after="40" w:before="120"/>
        <w:ind w:left="0"/>
      </w:pPr>
      <w:hyperlink w:history="1" w:anchor="t91">
        <w:r>
          <w:rPr>
            <w:b/>
            <w:bCs/>
            <w:color w:val="714B67"/>
            <w:sz w:val="22"/>
            <w:szCs w:val="22"/>
          </w:rPr>
          <w:t xml:space="preserve">29. T-Registro</w:t>
        </w:r>
      </w:hyperlink>
    </w:p>
    <w:p>
      <w:pPr>
        <w:spacing w:after="20" w:before="0"/>
        <w:ind w:left="400"/>
      </w:pPr>
      <w:hyperlink w:history="1" w:anchor="t92">
        <w:r>
          <w:rPr>
            <w:b w:val="false"/>
            <w:bCs w:val="false"/>
            <w:color w:val="333333"/>
            <w:sz w:val="20"/>
            <w:szCs w:val="20"/>
          </w:rPr>
          <w:t xml:space="preserve">29.1 Altas y bajas</w:t>
        </w:r>
      </w:hyperlink>
    </w:p>
    <w:p>
      <w:pPr>
        <w:spacing w:after="20" w:before="0"/>
        <w:ind w:left="400"/>
      </w:pPr>
      <w:hyperlink w:history="1" w:anchor="t93">
        <w:r>
          <w:rPr>
            <w:b w:val="false"/>
            <w:bCs w:val="false"/>
            <w:color w:val="333333"/>
            <w:sz w:val="20"/>
            <w:szCs w:val="20"/>
          </w:rPr>
          <w:t xml:space="preserve">29.2 Modificaciones</w:t>
        </w:r>
      </w:hyperlink>
    </w:p>
    <w:p>
      <w:pPr>
        <w:spacing w:after="20" w:before="0"/>
        <w:ind w:left="400"/>
      </w:pPr>
      <w:hyperlink w:history="1" w:anchor="t94">
        <w:r>
          <w:rPr>
            <w:b w:val="false"/>
            <w:bCs w:val="false"/>
            <w:color w:val="333333"/>
            <w:sz w:val="20"/>
            <w:szCs w:val="20"/>
          </w:rPr>
          <w:t xml:space="preserve">29.3 Derechohabientes</w:t>
        </w:r>
      </w:hyperlink>
    </w:p>
    <w:p>
      <w:pPr>
        <w:pStyle w:val="Heading1"/>
        <w:pageBreakBefore/>
      </w:pPr>
      <w:bookmarkStart w:name="t1" w:id="1"/>
      <w:r>
        <w:t xml:space="preserve">1. Introducción</w:t>
      </w:r>
      <w:bookmarkEnd w:id="1"/>
    </w:p>
    <w:p>
      <w:pPr>
        <w:spacing w:after="120"/>
      </w:pPr>
      <w:r>
        <w:t xml:space="preserve">Este manual explica cómo procesar la planilla peruana en </w:t>
      </w:r>
      <w:r>
        <w:rPr>
          <w:b/>
          <w:bCs/>
        </w:rPr>
        <w:t xml:space="preserve">Odoo 19 Community</w:t>
      </w:r>
      <w:r>
        <w:t xml:space="preserve"> con la localización SOLSE. Community no trae nómina: la base es el módulo comunitario </w:t>
      </w:r>
      <w:r>
        <w:rPr>
          <w:rFonts w:ascii="Consolas" w:cs="Consolas" w:eastAsia="Consolas" w:hAnsi="Consolas"/>
          <w:color w:val="444444"/>
          <w:sz w:val="20"/>
          <w:szCs w:val="20"/>
        </w:rPr>
        <w:t xml:space="preserve">om_hr_payroll</w:t>
      </w:r>
      <w:r>
        <w:t xml:space="preserve"> (Odoo Mates) y SOLSE le agrega la capa peruana: parámetros legales con vigencia, reglas salariales, maestros SUNAT, archivos PLAME, AFPnet, T-Registro, TXT bancarios, boletas, constancias y el laboratorio de casos que comprueba cada cálculo.</w:t>
      </w:r>
    </w:p>
    <w:p>
      <w:pPr>
        <w:pStyle w:val="Heading2"/>
      </w:pPr>
      <w:bookmarkStart w:name="t2" w:id="1"/>
      <w:r>
        <w:t xml:space="preserve">1.1 Cómo leer este manual</w:t>
      </w:r>
      <w:bookmarkEnd w:id="1"/>
    </w:p>
    <w:p>
      <w:pPr>
        <w:pStyle w:val="ListParagraph"/>
        <w:numPr>
          <w:ilvl w:val="0"/>
          <w:numId w:val="2"/>
        </w:numPr>
        <w:spacing w:after="60"/>
      </w:pPr>
      <w:r>
        <w:t xml:space="preserve">Capítulos </w:t>
      </w:r>
      <w:r>
        <w:rPr>
          <w:b/>
          <w:bCs/>
        </w:rPr>
        <w:t xml:space="preserve">2 a 9</w:t>
      </w:r>
      <w:r>
        <w:t xml:space="preserve">: </w:t>
      </w:r>
      <w:r>
        <w:rPr>
          <w:b/>
          <w:bCs/>
        </w:rPr>
        <w:t xml:space="preserve">configuración</w:t>
      </w:r>
      <w:r>
        <w:t xml:space="preserve">. Se hacen una vez, al implementar: instalación, menú, parámetros, maestros, seguros, contabilidad, alta del trabajador y estructuras.</w:t>
      </w:r>
    </w:p>
    <w:p>
      <w:pPr>
        <w:pStyle w:val="ListParagraph"/>
        <w:numPr>
          <w:ilvl w:val="0"/>
          <w:numId w:val="2"/>
        </w:numPr>
        <w:spacing w:after="60"/>
      </w:pPr>
      <w:r>
        <w:t xml:space="preserve">Capítulos </w:t>
      </w:r>
      <w:r>
        <w:rPr>
          <w:b/>
          <w:bCs/>
        </w:rPr>
        <w:t xml:space="preserve">10 a 20</w:t>
      </w:r>
      <w:r>
        <w:t xml:space="preserve">: el </w:t>
      </w:r>
      <w:r>
        <w:rPr>
          <w:b/>
          <w:bCs/>
        </w:rPr>
        <w:t xml:space="preserve">proceso del mes</w:t>
      </w:r>
      <w:r>
        <w:t xml:space="preserve">: boleta, lote, aportes, renta de 5.ª, gratificaciones, CTS, liquidación, vacaciones, feriados, asistencias y novedades.</w:t>
      </w:r>
    </w:p>
    <w:p>
      <w:pPr>
        <w:pStyle w:val="ListParagraph"/>
        <w:numPr>
          <w:ilvl w:val="0"/>
          <w:numId w:val="2"/>
        </w:numPr>
        <w:spacing w:after="60"/>
      </w:pPr>
      <w:r>
        <w:t xml:space="preserve">Capítulos </w:t>
      </w:r>
      <w:r>
        <w:rPr>
          <w:b/>
          <w:bCs/>
        </w:rPr>
        <w:t xml:space="preserve">21 a 26</w:t>
      </w:r>
      <w:r>
        <w:t xml:space="preserve">: situaciones que el v1 no trataba: cambios de contrato en el mes, licencias sin goce, subsidios, microempresa, rectificativas, avisos y controles.</w:t>
      </w:r>
    </w:p>
    <w:p>
      <w:pPr>
        <w:pStyle w:val="ListParagraph"/>
        <w:numPr>
          <w:ilvl w:val="0"/>
          <w:numId w:val="2"/>
        </w:numPr>
        <w:spacing w:after="60"/>
      </w:pPr>
      <w:r>
        <w:t xml:space="preserve">Capítulos </w:t>
      </w:r>
      <w:r>
        <w:rPr>
          <w:b/>
          <w:bCs/>
        </w:rPr>
        <w:t xml:space="preserve">27 a 30</w:t>
      </w:r>
      <w:r>
        <w:t xml:space="preserve">: las </w:t>
      </w:r>
      <w:r>
        <w:rPr>
          <w:b/>
          <w:bCs/>
        </w:rPr>
        <w:t xml:space="preserve">salidas legales</w:t>
      </w:r>
      <w:r>
        <w:t xml:space="preserve">: PLAME, AFPnet, bancos, pago de la planilla, entrega de boletas, T-Registro y recibos por honorarios.</w:t>
      </w:r>
    </w:p>
    <w:p>
      <w:pPr>
        <w:pStyle w:val="ListParagraph"/>
        <w:numPr>
          <w:ilvl w:val="0"/>
          <w:numId w:val="2"/>
        </w:numPr>
        <w:spacing w:after="60"/>
      </w:pPr>
      <w:r>
        <w:t xml:space="preserve">Capítulos </w:t>
      </w:r>
      <w:r>
        <w:rPr>
          <w:b/>
          <w:bCs/>
        </w:rPr>
        <w:t xml:space="preserve">31 y 32</w:t>
      </w:r>
      <w:r>
        <w:t xml:space="preserve">: lo que la localización </w:t>
      </w:r>
      <w:r>
        <w:rPr>
          <w:b/>
          <w:bCs/>
        </w:rPr>
        <w:t xml:space="preserve">no cubre</w:t>
      </w:r>
      <w:r>
        <w:t xml:space="preserve"> y la lista de cierre mensual y anual.</w:t>
      </w:r>
    </w:p>
    <w:p>
      <w:pPr>
        <w:pStyle w:val="ListParagraph"/>
        <w:numPr>
          <w:ilvl w:val="0"/>
          <w:numId w:val="2"/>
        </w:numPr>
        <w:spacing w:after="60"/>
      </w:pPr>
      <w:r>
        <w:rPr>
          <w:b/>
          <w:bCs/>
        </w:rPr>
        <w:t xml:space="preserve">Anexos</w:t>
      </w:r>
      <w:r>
        <w:t xml:space="preserve">: observaciones para implementadores (A), datos de prueba (B), la planilla medida de 2025 y 2026 (C), el historial de versiones (D) y el laboratorio de 14 casos (E).</w:t>
      </w:r>
    </w:p>
    <w:p>
      <w:pPr>
        <w:spacing w:after="120"/>
      </w:pPr>
      <w:r>
        <w:t xml:space="preserve">Los recuadros tienen un significado fijo: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Recuadro</w:t>
            </w:r>
          </w:p>
        </w:tc>
        <w:tc>
          <w:tcPr>
            <w:tcW w:type="dxa" w:w="6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Nota</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Aclaración de uso.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Importante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Algo que, si se omite, da una cifra equivocada o un archivo rechazado.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Para implementadores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Configuración, despliegue o comportamiento medido que conviene conocer antes de salir a producción.</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Compruébelo con el laboratorio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caso del laboratorio que reproduce la cifra: el lector puede correrlo y obtener el mismo resultado.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Límite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 que la localización no hace (detalle en el capítulo 31).</w:t>
            </w:r>
          </w:p>
        </w:tc>
      </w:tr>
    </w:tbl>
    <w:p>
      <w:pPr>
        <w:pStyle w:val="Heading2"/>
      </w:pPr>
      <w:bookmarkStart w:name="t3" w:id="1"/>
      <w:r>
        <w:t xml:space="preserve">1.2 La regla de oro: los acumulados leen boletas VALIDADAS</w:t>
      </w:r>
      <w:bookmarkEnd w:id="1"/>
    </w:p>
    <w:p>
      <w:pPr>
        <w:spacing w:after="120"/>
      </w:pPr>
      <w:r>
        <w:t xml:space="preserve">La renta de 5.ª, el sexto de gratificación de la CTS, el descuento del adelanto, el derecho al subsidio y el tope de la prima de Vida Ley se calculan con acumulados que </w:t>
      </w:r>
      <w:r>
        <w:rPr>
          <w:b/>
          <w:bCs/>
        </w:rPr>
        <w:t xml:space="preserve">solo leen boletas en estado Hecho</w:t>
      </w:r>
      <w:r>
        <w:t xml:space="preserve">. Por eso el orden del proceso importa: primero se validan adelantos, gratificaciones y vacaciones, y después la mensual (capítulo 11). En diciembre la localización avisa si se invierte el orden (capítulo 26).</w:t>
      </w:r>
    </w:p>
    <w:p>
      <w:pPr>
        <w:pStyle w:val="Heading2"/>
      </w:pPr>
      <w:bookmarkStart w:name="t4" w:id="1"/>
      <w:r>
        <w:t xml:space="preserve">1.3 De dónde salen las cifras</w:t>
      </w:r>
      <w:bookmarkEnd w:id="1"/>
    </w:p>
    <w:p>
      <w:pPr>
        <w:spacing w:after="120"/>
      </w:pPr>
      <w:r>
        <w:t xml:space="preserve">Todas las cifras de este manual salen de una </w:t>
      </w:r>
      <w:r>
        <w:rPr>
          <w:b/>
          <w:bCs/>
        </w:rPr>
        <w:t xml:space="preserve">corrida real</w:t>
      </w:r>
      <w:r>
        <w:t xml:space="preserve"> en la base de pruebas </w:t>
      </w:r>
      <w:r>
        <w:rPr>
          <w:rFonts w:ascii="Consolas" w:cs="Consolas" w:eastAsia="Consolas" w:hAnsi="Consolas"/>
          <w:color w:val="444444"/>
          <w:sz w:val="20"/>
          <w:szCs w:val="20"/>
        </w:rPr>
        <w:t xml:space="preserve">contable19</w:t>
      </w:r>
      <w:r>
        <w:t xml:space="preserve"> el 22 de octubre de 2026, con las versiones de la tabla 1.4. Ninguna se dedujo a mano. Hay dos 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rPr>
          <w:tblHeader/>
        </w:trPr>
        <w:tc>
          <w:tcPr>
            <w:tcW w:type="dxa" w:w="2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Fuente</w:t>
            </w:r>
          </w:p>
        </w:tc>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Dónde</w:t>
            </w:r>
          </w:p>
        </w:tc>
        <w:tc>
          <w:tcPr>
            <w:tcW w:type="dxa" w:w="4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muestra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Recorrido del manual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FM SYSTEMS SOLUTIONS EIRL</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Dos trabajadores </w:t>
            </w:r>
            <w:r>
              <w:rPr>
                <w:b/>
                <w:bCs/>
                <w:sz w:val="19"/>
                <w:szCs w:val="19"/>
              </w:rPr>
              <w:t xml:space="preserve">ficticios</w:t>
            </w:r>
            <w:r>
              <w:rPr>
                <w:sz w:val="19"/>
                <w:szCs w:val="19"/>
              </w:rPr>
              <w:t xml:space="preserve"> con DNI </w:t>
            </w:r>
            <w:r>
              <w:rPr>
                <w:b/>
                <w:bCs/>
                <w:sz w:val="19"/>
                <w:szCs w:val="19"/>
              </w:rPr>
              <w:t xml:space="preserve">sintéticos</w:t>
            </w:r>
            <w:r>
              <w:rPr>
                <w:sz w:val="19"/>
                <w:szCs w:val="19"/>
              </w:rPr>
              <w:t xml:space="preserve">: Lucía Fernanda Ramos Ticona (</w:t>
            </w:r>
            <w:r>
              <w:rPr>
                <w:rFonts w:ascii="Consolas" w:cs="Consolas" w:eastAsia="Consolas" w:hAnsi="Consolas"/>
                <w:color w:val="444444"/>
                <w:sz w:val="20"/>
                <w:szCs w:val="20"/>
              </w:rPr>
              <w:t xml:space="preserve">99999901</w:t>
            </w:r>
            <w:r>
              <w:rPr>
                <w:sz w:val="19"/>
                <w:szCs w:val="19"/>
              </w:rPr>
              <w:t xml:space="preserve">) y Héctor Manuel Salas Quispe (</w:t>
            </w:r>
            <w:r>
              <w:rPr>
                <w:rFonts w:ascii="Consolas" w:cs="Consolas" w:eastAsia="Consolas" w:hAnsi="Consolas"/>
                <w:color w:val="444444"/>
                <w:sz w:val="20"/>
                <w:szCs w:val="20"/>
              </w:rPr>
              <w:t xml:space="preserve">99999902</w:t>
            </w:r>
            <w:r>
              <w:rPr>
                <w:sz w:val="19"/>
                <w:szCs w:val="19"/>
              </w:rPr>
              <w:t xml:space="preserve">), con su planilla completa de enero de 2025 a diciembre de 2026 (64 boletas). Es la continuidad del manual v1.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Laboratorio de casos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SOLSE Demo Servicios S.A.C. (compañía de laboratorio)</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 casos que siembran trabajadores sintéticos, generan las boletas y los archivos, y los comparan celda por celda con lo que exige la norma. Los 14 están al </w:t>
            </w:r>
            <w:r>
              <w:rPr>
                <w:b/>
                <w:bCs/>
                <w:sz w:val="19"/>
                <w:szCs w:val="19"/>
              </w:rPr>
              <w:t xml:space="preserve">100 %</w:t>
            </w:r>
            <w:r>
              <w:rPr>
                <w:sz w:val="19"/>
                <w:szCs w:val="19"/>
              </w:rPr>
              <w:t xml:space="preserve"> (2 573 celdas). Las funciones nuevas de la versión 2 se muestran con estos casos.</w:t>
            </w:r>
          </w:p>
        </w:tc>
      </w:tr>
    </w:tbl>
    <w:p>
      <w:pPr>
        <w:spacing w:after="120"/>
      </w:pPr>
      <w:r>
        <w:t xml:space="preserve">Cuando una cifra del manual coincide con un caso, el texto lo cita (por ejemplo, «caso TREGISTRO»). Para reproducirla, corra el caso como se explica en el capítulo 2 y en el Anexo E.</w:t>
      </w:r>
    </w:p>
    <w:p>
      <w:pPr>
        <w:pStyle w:val="Heading2"/>
      </w:pPr>
      <w:bookmarkStart w:name="t5" w:id="1"/>
      <w:r>
        <w:t xml:space="preserve">1.4 Novedades de la versión 2</w:t>
      </w:r>
      <w:bookmarkEnd w:id="1"/>
    </w:p>
    <w:p>
      <w:pPr>
        <w:spacing w:after="120"/>
      </w:pPr>
      <w:r>
        <w:t xml:space="preserve">El manual v1 (7–8 de octubre de 2026) documentó </w:t>
      </w:r>
      <w:r>
        <w:rPr>
          <w:rFonts w:ascii="Consolas" w:cs="Consolas" w:eastAsia="Consolas" w:hAnsi="Consolas"/>
          <w:color w:val="444444"/>
          <w:sz w:val="20"/>
          <w:szCs w:val="20"/>
        </w:rPr>
        <w:t xml:space="preserve">solse_pe_payroll_base</w:t>
      </w:r>
      <w:r>
        <w:t xml:space="preserve"> 19.0.1.6.0 y </w:t>
      </w:r>
      <w:r>
        <w:rPr>
          <w:rFonts w:ascii="Consolas" w:cs="Consolas" w:eastAsia="Consolas" w:hAnsi="Consolas"/>
          <w:color w:val="444444"/>
          <w:sz w:val="20"/>
          <w:szCs w:val="20"/>
        </w:rPr>
        <w:t xml:space="preserve">solse_pe_payroll_ce</w:t>
      </w:r>
      <w:r>
        <w:t xml:space="preserve"> 19.0.1.8.0. Desde entonces se hicieron </w:t>
      </w:r>
      <w:r>
        <w:rPr>
          <w:b/>
          <w:bCs/>
        </w:rPr>
        <w:t xml:space="preserve">65 cambios</w:t>
      </w:r>
      <w:r>
        <w:t xml:space="preserve"> en 12 lotes, todos validados en </w:t>
      </w:r>
      <w:r>
        <w:rPr>
          <w:rFonts w:ascii="Consolas" w:cs="Consolas" w:eastAsia="Consolas" w:hAnsi="Consolas"/>
          <w:color w:val="444444"/>
          <w:sz w:val="20"/>
          <w:szCs w:val="20"/>
        </w:rPr>
        <w:t xml:space="preserve">contable19</w:t>
      </w:r>
      <w:r>
        <w:t xml:space="preserve">. Las versiones que documenta este manual 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tblHeader/>
        </w:trPr>
        <w:tc>
          <w:tcPr>
            <w:tcW w:type="dxa" w:w="3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Módulo</w:t>
            </w:r>
          </w:p>
        </w:tc>
        <w:tc>
          <w:tcPr>
            <w:tcW w:type="dxa" w:w="4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c>
          <w:tcPr>
            <w:tcW w:type="dxa" w:w="21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Versión</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om_hr_payroll</w:t>
            </w:r>
            <w:r>
              <w:rPr>
                <w:sz w:val="19"/>
                <w:szCs w:val="19"/>
              </w:rPr>
              <w:t xml:space="preserve"> / </w:t>
            </w:r>
            <w:r>
              <w:rPr>
                <w:rFonts w:ascii="Consolas" w:cs="Consolas" w:eastAsia="Consolas" w:hAnsi="Consolas"/>
                <w:color w:val="444444"/>
                <w:sz w:val="20"/>
                <w:szCs w:val="20"/>
              </w:rPr>
              <w:t xml:space="preserve">om_hr_payroll_account</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base Community y su contabilización (Odoo Mates)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19.0.1.0 / 19.0.0.0</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solse_pe_payroll_base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Parámetros con vigencia, acumulados, días no pagados, avisos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19.0.1.20.1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solse_pe_payroll_ce</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Núcleo peruano: estructuras, reglas, maestros y todas las salidas legales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19.0.1.27.1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solse_pe_payroll_ce_demo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 de prueba y los casos del laboratorio</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19.0.2.25.1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solse_pe_payroll_asistencia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Tardanzas, faltas y feriados desde Asistencias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19.0.1.4.1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solse_pe_payroll_asistencia_demo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Caso ASISTENCIA</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19.0.1.2.1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solse_pe_plame_demo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Caso PLAME</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19.0.1.4.1</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solse_pe_plame_rxh</w:t>
            </w:r>
            <w:r>
              <w:rPr>
                <w:sz w:val="19"/>
                <w:szCs w:val="19"/>
              </w:rPr>
              <w:t xml:space="preserve"> / </w:t>
            </w:r>
            <w:r>
              <w:rPr>
                <w:rFonts w:ascii="Consolas" w:cs="Consolas" w:eastAsia="Consolas" w:hAnsi="Consolas"/>
                <w:color w:val="444444"/>
                <w:sz w:val="20"/>
                <w:szCs w:val="20"/>
              </w:rPr>
              <w:t xml:space="preserve">solse_pe_plame_4ta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de recibos por honorarios</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19.0.1.2.0 / 19.0.1.0.0 (sin cambios funcionales)</w:t>
            </w:r>
          </w:p>
        </w:tc>
      </w:tr>
    </w:tbl>
    <w:p>
      <w:pPr>
        <w:pStyle w:val="Heading3"/>
      </w:pPr>
      <w:r>
        <w:t xml:space="preserve">Lo que el v1 declaraba «no cubierto» y ahora existe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0"/>
        <w:gridCol w:w="2638"/>
      </w:tblGrid>
      <w:tr>
        <w:trPr>
          <w:tblHeader/>
        </w:trPr>
        <w:tc>
          <w:tcPr>
            <w:tcW w:type="dxa" w:w="7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Función</w:t>
            </w:r>
          </w:p>
        </w:tc>
        <w:tc>
          <w:tcPr>
            <w:tcW w:type="dxa" w:w="2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Capítulo</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Subsidios por descanso médico y maternidad, con su </w:t>
            </w:r>
            <w:r>
              <w:rPr>
                <w:rFonts w:ascii="Consolas" w:cs="Consolas" w:eastAsia="Consolas" w:hAnsi="Consolas"/>
                <w:color w:val="444444"/>
                <w:sz w:val="20"/>
                <w:szCs w:val="20"/>
              </w:rPr>
              <w:t xml:space="preserve">.snl</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T-Registro: altas, bajas, modificaciones y derechohabientes</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Indemnización por despido arbitrario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Regularización de la renta de 5.ª al cese y devolución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y 16</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 de Vida Ley calculada en la planilla</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y 12</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Pago de la planilla con asiento conciliado</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r>
      <w:tr>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por correo, constancias, liquidación del depósito de CTS y certificado de 5.ª</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28</w:t>
            </w:r>
          </w:p>
        </w:tc>
      </w:tr>
    </w:tbl>
    <w:p>
      <w:pPr>
        <w:pStyle w:val="Heading3"/>
      </w:pPr>
      <w:r>
        <w:t xml:space="preserve">Comportamientos nuevos</w:t>
      </w:r>
    </w:p>
    <w:p>
      <w:pPr>
        <w:pStyle w:val="ListParagraph"/>
        <w:numPr>
          <w:ilvl w:val="0"/>
          <w:numId w:val="2"/>
        </w:numPr>
        <w:spacing w:after="60"/>
      </w:pPr>
      <w:r>
        <w:t xml:space="preserve">Cambios de contrato dentro del mes: cada sueldo paga sus días (capítulo 21).</w:t>
      </w:r>
    </w:p>
    <w:p>
      <w:pPr>
        <w:pStyle w:val="ListParagraph"/>
        <w:numPr>
          <w:ilvl w:val="0"/>
          <w:numId w:val="2"/>
        </w:numPr>
        <w:spacing w:after="60"/>
      </w:pPr>
      <w:r>
        <w:t xml:space="preserve">Licencias sin goce, permisos por horas y meses sin remuneración (capítulo 22).</w:t>
      </w:r>
    </w:p>
    <w:p>
      <w:pPr>
        <w:pStyle w:val="ListParagraph"/>
        <w:numPr>
          <w:ilvl w:val="0"/>
          <w:numId w:val="2"/>
        </w:numPr>
        <w:spacing w:after="60"/>
      </w:pPr>
      <w:r>
        <w:t xml:space="preserve">Microempresa con SIS y asignación familiar voluntaria (capítulos 9 y 24).</w:t>
      </w:r>
    </w:p>
    <w:p>
      <w:pPr>
        <w:pStyle w:val="ListParagraph"/>
        <w:numPr>
          <w:ilvl w:val="0"/>
          <w:numId w:val="2"/>
        </w:numPr>
        <w:spacing w:after="60"/>
      </w:pPr>
      <w:r>
        <w:t xml:space="preserve">Boletas rectificativas que restan en todos los reportes (capítulo 25).</w:t>
      </w:r>
    </w:p>
    <w:p>
      <w:pPr>
        <w:pStyle w:val="ListParagraph"/>
        <w:numPr>
          <w:ilvl w:val="0"/>
          <w:numId w:val="2"/>
        </w:numPr>
        <w:spacing w:after="60"/>
      </w:pPr>
      <w:r>
        <w:t xml:space="preserve">Avisos y controles configurables por compañía (capítulo 26) y editor de parámetros en tabla (capítulo 4).</w:t>
      </w:r>
    </w:p>
    <w:p>
      <w:pPr>
        <w:pStyle w:val="ListParagraph"/>
        <w:numPr>
          <w:ilvl w:val="0"/>
          <w:numId w:val="2"/>
        </w:numPr>
        <w:spacing w:after="60"/>
      </w:pPr>
      <w:r>
        <w:t xml:space="preserve">Feriados en la conciliación de asistencias: el feriado ya no es falta (capítulo 19).</w:t>
      </w:r>
    </w:p>
    <w:p>
      <w:pPr>
        <w:pStyle w:val="Heading3"/>
      </w:pPr>
      <w:r>
        <w:t xml:space="preserve">Cambios de formato en los archivos legales</w:t>
      </w:r>
    </w:p>
    <w:p>
      <w:pPr>
        <w:pStyle w:val="ListParagraph"/>
        <w:numPr>
          <w:ilvl w:val="0"/>
          <w:numId w:val="2"/>
        </w:numPr>
        <w:spacing w:after="60"/>
      </w:pPr>
      <w:r>
        <w:t xml:space="preserve">El </w:t>
      </w:r>
      <w:r>
        <w:rPr>
          <w:rFonts w:ascii="Consolas" w:cs="Consolas" w:eastAsia="Consolas" w:hAnsi="Consolas"/>
          <w:color w:val="444444"/>
          <w:sz w:val="20"/>
          <w:szCs w:val="20"/>
        </w:rPr>
        <w:t xml:space="preserve">.jor</w:t>
      </w:r>
      <w:r>
        <w:t xml:space="preserve"> del PLAME tiene 6 campos: ya no lleva el campo «días» (capítulo 27).</w:t>
      </w:r>
    </w:p>
    <w:p>
      <w:pPr>
        <w:pStyle w:val="ListParagraph"/>
        <w:numPr>
          <w:ilvl w:val="0"/>
          <w:numId w:val="2"/>
        </w:numPr>
        <w:spacing w:after="60"/>
      </w:pPr>
      <w:r>
        <w:t xml:space="preserve">El </w:t>
      </w:r>
      <w:r>
        <w:rPr>
          <w:rFonts w:ascii="Consolas" w:cs="Consolas" w:eastAsia="Consolas" w:hAnsi="Consolas"/>
          <w:color w:val="444444"/>
          <w:sz w:val="20"/>
          <w:szCs w:val="20"/>
        </w:rPr>
        <w:t xml:space="preserve">.snl</w:t>
      </w:r>
      <w:r>
        <w:t xml:space="preserve"> sale lleno con los subsidios y las suspensiones (capítulos 23 y 27).</w:t>
      </w:r>
    </w:p>
    <w:p>
      <w:pPr>
        <w:pStyle w:val="ListParagraph"/>
        <w:numPr>
          <w:ilvl w:val="0"/>
          <w:numId w:val="2"/>
        </w:numPr>
        <w:spacing w:after="60"/>
      </w:pPr>
      <w:r>
        <w:t xml:space="preserve">El TXT bancario sale en ASCII, con los trabajadores omitidos aparte y con un formato propio de Scotiabank (capítulo 27).</w:t>
      </w:r>
    </w:p>
    <w:p>
      <w:pPr>
        <w:pStyle w:val="ListParagraph"/>
        <w:numPr>
          <w:ilvl w:val="0"/>
          <w:numId w:val="2"/>
        </w:numPr>
        <w:spacing w:after="60"/>
      </w:pPr>
      <w:r>
        <w:t xml:space="preserve">El PLAME toma el tipo de documento de la ficha del trabajador (capítulo 8).</w:t>
      </w:r>
    </w:p>
    <w:p>
      <w:pPr>
        <w:pStyle w:val="Heading2"/>
      </w:pPr>
      <w:bookmarkStart w:name="t6" w:id="1"/>
      <w:r>
        <w:t xml:space="preserve">1.5 La matriz y el laboratorio</w:t>
      </w:r>
      <w:bookmarkEnd w:id="1"/>
    </w:p>
    <w:p>
      <w:pPr>
        <w:spacing w:after="120"/>
      </w:pPr>
      <w:r>
        <w:t xml:space="preserve">Cada cambio de la versión 2 tiene un código: </w:t>
      </w:r>
      <w:r>
        <w:rPr>
          <w:b/>
          <w:bCs/>
        </w:rPr>
        <w:t xml:space="preserve">C</w:t>
      </w:r>
      <w:r>
        <w:t xml:space="preserve"> (corrección), </w:t>
      </w:r>
      <w:r>
        <w:rPr>
          <w:b/>
          <w:bCs/>
        </w:rPr>
        <w:t xml:space="preserve">U</w:t>
      </w:r>
      <w:r>
        <w:t xml:space="preserve"> (interfaz), </w:t>
      </w:r>
      <w:r>
        <w:rPr>
          <w:b/>
          <w:bCs/>
        </w:rPr>
        <w:t xml:space="preserve">V</w:t>
      </w:r>
      <w:r>
        <w:t xml:space="preserve"> (validación), </w:t>
      </w:r>
      <w:r>
        <w:rPr>
          <w:b/>
          <w:bCs/>
        </w:rPr>
        <w:t xml:space="preserve">Q</w:t>
      </w:r>
      <w:r>
        <w:t xml:space="preserve"> (calidad), </w:t>
      </w:r>
      <w:r>
        <w:rPr>
          <w:b/>
          <w:bCs/>
        </w:rPr>
        <w:t xml:space="preserve">O</w:t>
      </w:r>
      <w:r>
        <w:t xml:space="preserve"> (observación) y </w:t>
      </w:r>
      <w:r>
        <w:rPr>
          <w:b/>
          <w:bCs/>
        </w:rPr>
        <w:t xml:space="preserve">N</w:t>
      </w:r>
      <w:r>
        <w:t xml:space="preserve"> (funcionalidad nueva). Al pie de cada capítulo se indican los ítems que trata, y el Anexo D los lista por lote. La matriz de documentación (</w:t>
      </w:r>
      <w:r>
        <w:rPr>
          <w:rFonts w:ascii="Consolas" w:cs="Consolas" w:eastAsia="Consolas" w:hAnsi="Consolas"/>
          <w:color w:val="444444"/>
          <w:sz w:val="20"/>
          <w:szCs w:val="20"/>
        </w:rPr>
        <w:t xml:space="preserve">MATRIZ_DOCUMENTACION_NOMINA_CE.md</w:t>
      </w:r>
      <w:r>
        <w:t xml:space="preserve">) dice, para cada ítem, el capítulo, el episodio de video, el caso que lo prueba y sus cifras.</w:t>
      </w:r>
    </w:p>
    <w:p>
      <w:pPr>
        <w:pBdr>
          <w:top w:val="single" w:color="BFBFBF" w:sz="4" w:space="4"/>
        </w:pBdr>
        <w:spacing w:before="240"/>
      </w:pPr>
      <w:r>
        <w:rPr>
          <w:color w:val="777777"/>
          <w:sz w:val="16"/>
          <w:szCs w:val="16"/>
        </w:rPr>
        <w:t xml:space="preserve">Versiones mostradas: base 19.0.1.20.1 · ce 19.0.1.27.1 · ce_demo 19.0.2.25.1 · asistencia 19.0.1.4.1.</w:t>
      </w:r>
    </w:p>
    <w:p>
      <w:pPr>
        <w:pStyle w:val="Heading1"/>
        <w:pageBreakBefore/>
      </w:pPr>
      <w:bookmarkStart w:name="t7" w:id="1"/>
      <w:r>
        <w:t xml:space="preserve">2. Instalación y actualización</w:t>
      </w:r>
      <w:bookmarkEnd w:id="1"/>
    </w:p>
    <w:p>
      <w:pPr>
        <w:spacing w:after="120"/>
      </w:pPr>
      <w:r>
        <w:t xml:space="preserve">Instale desde </w:t>
      </w:r>
      <w:r>
        <w:rPr>
          <w:b/>
          <w:bCs/>
        </w:rPr>
        <w:t xml:space="preserve">Aplicaciones</w:t>
      </w:r>
      <w:r>
        <w:t xml:space="preserve"> (modo desarrollador). </w:t>
      </w:r>
      <w:r>
        <w:rPr>
          <w:rFonts w:ascii="Consolas" w:cs="Consolas" w:eastAsia="Consolas" w:hAnsi="Consolas"/>
          <w:color w:val="444444"/>
          <w:sz w:val="20"/>
          <w:szCs w:val="20"/>
        </w:rPr>
        <w:t xml:space="preserve">om_hr_payroll</w:t>
      </w:r>
      <w:r>
        <w:t xml:space="preserve"> y </w:t>
      </w:r>
      <w:r>
        <w:rPr>
          <w:rFonts w:ascii="Consolas" w:cs="Consolas" w:eastAsia="Consolas" w:hAnsi="Consolas"/>
          <w:color w:val="444444"/>
          <w:sz w:val="20"/>
          <w:szCs w:val="20"/>
        </w:rPr>
        <w:t xml:space="preserve">om_hr_payroll_account</w:t>
      </w:r>
      <w:r>
        <w:t xml:space="preserve"> no vienen en los paquetes SOLSE: deben estar en el </w:t>
      </w:r>
      <w:r>
        <w:rPr>
          <w:rFonts w:ascii="Consolas" w:cs="Consolas" w:eastAsia="Consolas" w:hAnsi="Consolas"/>
          <w:color w:val="444444"/>
          <w:sz w:val="20"/>
          <w:szCs w:val="20"/>
        </w:rPr>
        <w:t xml:space="preserve">addons_path</w:t>
      </w:r>
      <w:r>
        <w:t xml:space="preserve">. Basta con instalar </w:t>
      </w:r>
      <w:r>
        <w:rPr>
          <w:rFonts w:ascii="Consolas" w:cs="Consolas" w:eastAsia="Consolas" w:hAnsi="Consolas"/>
          <w:color w:val="444444"/>
          <w:sz w:val="20"/>
          <w:szCs w:val="20"/>
        </w:rPr>
        <w:t xml:space="preserve">solse_pe_payroll_ce</w:t>
      </w:r>
      <w:r>
        <w:t xml:space="preserve">: arrastra a </w:t>
      </w:r>
      <w:r>
        <w:rPr>
          <w:rFonts w:ascii="Consolas" w:cs="Consolas" w:eastAsia="Consolas" w:hAnsi="Consolas"/>
          <w:color w:val="444444"/>
          <w:sz w:val="20"/>
          <w:szCs w:val="20"/>
        </w:rPr>
        <w:t xml:space="preserve">solse_pe_payroll_base</w:t>
      </w:r>
      <w:r>
        <w:t xml:space="preserve"> y a los dos módulos de Odoo 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238"/>
        <w:gridCol w:w="1400"/>
      </w:tblGrid>
      <w:tr>
        <w:trPr>
          <w:tblHeader/>
        </w:trPr>
        <w:tc>
          <w:tcPr>
            <w:tcW w:type="dxa" w:w="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Orden</w:t>
            </w:r>
          </w:p>
        </w:tc>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Módulo</w:t>
            </w:r>
          </w:p>
        </w:tc>
        <w:tc>
          <w:tcPr>
            <w:tcW w:type="dxa" w:w="4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¿Obligatorio?</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om_hr_payroll</w:t>
            </w:r>
            <w:r>
              <w:rPr>
                <w:sz w:val="19"/>
                <w:szCs w:val="19"/>
              </w:rPr>
              <w:t xml:space="preserve"> + </w:t>
            </w:r>
            <w:r>
              <w:rPr>
                <w:rFonts w:ascii="Consolas" w:cs="Consolas" w:eastAsia="Consolas" w:hAnsi="Consolas"/>
                <w:color w:val="444444"/>
                <w:sz w:val="20"/>
                <w:szCs w:val="20"/>
              </w:rPr>
              <w:t xml:space="preserve">om_hr_payroll_account</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base Community y su contabilización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Sí</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solse_pe_payroll_base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Parámetros con vigencia, acumulados por SQL, días no pagados, avisos de vigencias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Sí</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solse_pe_payroll_ce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Núcleo peruano: estructuras, reglas, maestros, PLAME, AFPnet, bancos, T-Registro, planilla, utilidades, pago y entrega de boletas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Sí</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solse_pe_payroll_asistencia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Tardanzas, faltas y feriados desde Asistencias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Opcional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solse_pe_plame_rxh</w:t>
            </w:r>
            <w:r>
              <w:rPr>
                <w:sz w:val="19"/>
                <w:szCs w:val="19"/>
              </w:rPr>
              <w:t xml:space="preserve"> y </w:t>
            </w:r>
            <w:r>
              <w:rPr>
                <w:rFonts w:ascii="Consolas" w:cs="Consolas" w:eastAsia="Consolas" w:hAnsi="Consolas"/>
                <w:color w:val="444444"/>
                <w:sz w:val="20"/>
                <w:szCs w:val="20"/>
              </w:rPr>
              <w:t xml:space="preserve">solse_pe_plame_4ta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de recibos por honorarios; el segundo los agrega al ZIP de la planilla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Opcional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solse_pe_payroll_ce_demo</w:t>
            </w:r>
            <w:r>
              <w:rPr>
                <w:sz w:val="19"/>
                <w:szCs w:val="19"/>
              </w:rPr>
              <w:t xml:space="preserve"> y los </w:t>
            </w:r>
            <w:r>
              <w:rPr>
                <w:rFonts w:ascii="Consolas" w:cs="Consolas" w:eastAsia="Consolas" w:hAnsi="Consolas"/>
                <w:color w:val="444444"/>
                <w:sz w:val="20"/>
                <w:szCs w:val="20"/>
              </w:rPr>
              <w:t xml:space="preserve">*_demo</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Laboratorio de casos y datos de prueba. Solo en bases de prueba</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(pruebas)</w:t>
            </w:r>
          </w:p>
        </w:tc>
      </w:tr>
    </w:tbl>
    <w:p>
      <w:pPr>
        <w:keepNext/>
        <w:spacing w:after="60" w:before="120"/>
        <w:jc w:val="center"/>
      </w:pPr>
      <w:r>
        <w:drawing>
          <wp:inline distT="0" distB="0" distL="0" distR="0">
            <wp:extent cx="5905500" cy="3324225"/>
            <wp:effectExtent t="0" r="0" b="0" l="0"/>
            <wp:docPr id="1" name="c02_01_aplicaciones_versiones" descr="Aplicaciones filtradas por «Nómina Peruana», «Payroll» y «PLAME», solo las instaladas: cada módulo con su versión." title="Aplicaciones filtradas por «Nómina Peruana», «Payroll» y «PLAME», solo las instaladas: cada módulo con su v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 </w:t>
      </w:r>
      <w:r>
        <w:rPr>
          <w:i/>
          <w:iCs/>
          <w:color w:val="555555"/>
          <w:sz w:val="18"/>
          <w:szCs w:val="18"/>
        </w:rPr>
        <w:t xml:space="preserve">Aplicaciones filtradas por «Nómina Peruana», «Payroll» y «PLAME», solo las instaladas: cada módulo con su versión.</w:t>
      </w:r>
    </w:p>
    <w:p>
      <w:pPr>
        <w:pBdr>
          <w:left w:val="single" w:color="E08A1E" w:sz="18" w:space="8"/>
        </w:pBdr>
        <w:shd w:fill="FDF2E6" w:color="auto" w:val="clear"/>
        <w:spacing w:after="160" w:before="120"/>
        <w:ind w:left="120" w:right="120"/>
      </w:pPr>
      <w:r>
        <w:rPr>
          <w:b/>
          <w:bCs/>
          <w:color w:val="E08A1E"/>
        </w:rPr>
        <w:t xml:space="preserve">Importante: </w:t>
      </w:r>
      <w:r>
        <w:t xml:space="preserve">Las variantes Community y Enterprise </w:t>
      </w:r>
      <w:r>
        <w:rPr>
          <w:b/>
          <w:bCs/>
        </w:rPr>
        <w:t xml:space="preserve">no se pueden mezclar</w:t>
      </w:r>
      <w:r>
        <w:t xml:space="preserve">: </w:t>
      </w:r>
      <w:r>
        <w:rPr>
          <w:rFonts w:ascii="Consolas" w:cs="Consolas" w:eastAsia="Consolas" w:hAnsi="Consolas"/>
          <w:color w:val="444444"/>
          <w:sz w:val="20"/>
          <w:szCs w:val="20"/>
        </w:rPr>
        <w:t xml:space="preserve">solse_pe_payroll_base</w:t>
      </w:r>
      <w:r>
        <w:t xml:space="preserve"> bloquea la instalación si encuentra la nómina Enterprise de SOLSE (</w:t>
      </w:r>
      <w:r>
        <w:rPr>
          <w:rFonts w:ascii="Consolas" w:cs="Consolas" w:eastAsia="Consolas" w:hAnsi="Consolas"/>
          <w:color w:val="444444"/>
          <w:sz w:val="20"/>
          <w:szCs w:val="20"/>
        </w:rPr>
        <w:t xml:space="preserve">solse_pe_payroll</w:t>
      </w:r>
      <w:r>
        <w:t xml:space="preserve">), porque ambas siembran los mismos parámetros. En Aplicaciones aparecen las dos; instale solo las «(Community)».</w:t>
      </w:r>
    </w:p>
    <w:p>
      <w:pPr>
        <w:pStyle w:val="Heading2"/>
      </w:pPr>
      <w:bookmarkStart w:name="t8" w:id="1"/>
      <w:r>
        <w:t xml:space="preserve">2.1 Base nueva: sin pasos manuales</w:t>
      </w:r>
      <w:bookmarkEnd w:id="1"/>
    </w:p>
    <w:p>
      <w:pPr>
        <w:spacing w:after="120"/>
      </w:pPr>
      <w:r>
        <w:t xml:space="preserve">En la versión 2 la nómina se instala en una base nueva </w:t>
      </w:r>
      <w:r>
        <w:rPr>
          <w:b/>
          <w:bCs/>
        </w:rPr>
        <w:t xml:space="preserve">sin ningún paso manual</w:t>
      </w:r>
      <w:r>
        <w:t xml:space="preserve"> (C-14, C-15):</w:t>
      </w:r>
    </w:p>
    <w:p>
      <w:pPr>
        <w:pStyle w:val="ListParagraph"/>
        <w:numPr>
          <w:ilvl w:val="0"/>
          <w:numId w:val="2"/>
        </w:numPr>
        <w:spacing w:after="60"/>
      </w:pPr>
      <w:r>
        <w:t xml:space="preserve">La instalación desde cero ya no se detiene al convertir las cuentas de las reglas (C-14).</w:t>
      </w:r>
    </w:p>
    <w:p>
      <w:pPr>
        <w:pStyle w:val="ListParagraph"/>
        <w:numPr>
          <w:ilvl w:val="0"/>
          <w:numId w:val="2"/>
        </w:numPr>
        <w:spacing w:after="60"/>
      </w:pPr>
      <w:r>
        <w:t xml:space="preserve">Cuando la compañía carga su plan contable peruano, aunque sea después de la nómina, se crean para ella el diario </w:t>
      </w:r>
      <w:r>
        <w:rPr>
          <w:b/>
          <w:bCs/>
        </w:rPr>
        <w:t xml:space="preserve">Planillas (PLLA)</w:t>
      </w:r>
      <w:r>
        <w:t xml:space="preserve"> y las cuentas de las reglas, respetando lo que ya tenga asignado (C-15). La primera boleta se contabiliza sin usar el asistente «Asignar cuentas».</w:t>
      </w:r>
    </w:p>
    <w:p>
      <w:pPr>
        <w:pStyle w:val="ListParagraph"/>
        <w:numPr>
          <w:ilvl w:val="0"/>
          <w:numId w:val="2"/>
        </w:numPr>
        <w:spacing w:after="60"/>
      </w:pPr>
      <w:r>
        <w:t xml:space="preserve">El contrato nuevo nace con la categoría «Régimen General» y su estructura (C-07), y la boleta toma el diario Planillas (C-06).</w:t>
      </w:r>
    </w:p>
    <w:p>
      <w:pPr>
        <w:pStyle w:val="Heading2"/>
      </w:pPr>
      <w:bookmarkStart w:name="t9" w:id="1"/>
      <w:r>
        <w:t xml:space="preserve">2.2 Qué hace cada actualización</w:t>
      </w:r>
      <w:bookmarkEnd w:id="1"/>
    </w:p>
    <w:p>
      <w:pPr>
        <w:spacing w:after="120"/>
      </w:pPr>
      <w:r>
        <w:t xml:space="preserve">Al instalar y en </w:t>
      </w:r>
      <w:r>
        <w:rPr>
          <w:b/>
          <w:bCs/>
        </w:rPr>
        <w:t xml:space="preserve">cada actualización</w:t>
      </w:r>
      <w:r>
        <w:t xml:space="preserve"> (</w:t>
      </w:r>
      <w:r>
        <w:rPr>
          <w:rFonts w:ascii="Consolas" w:cs="Consolas" w:eastAsia="Consolas" w:hAnsi="Consolas"/>
          <w:color w:val="444444"/>
          <w:sz w:val="20"/>
          <w:szCs w:val="20"/>
        </w:rPr>
        <w:t xml:space="preserve">-u</w:t>
      </w:r>
      <w:r>
        <w:t xml:space="preserve">), </w:t>
      </w:r>
      <w:r>
        <w:rPr>
          <w:rFonts w:ascii="Consolas" w:cs="Consolas" w:eastAsia="Consolas" w:hAnsi="Consolas"/>
          <w:color w:val="444444"/>
          <w:sz w:val="20"/>
          <w:szCs w:val="20"/>
        </w:rPr>
        <w:t xml:space="preserve">solse_pe_payroll_ce</w:t>
      </w:r>
      <w:r>
        <w:t xml:space="preserve"> ejecuta su inicializador:</w:t>
      </w:r>
    </w:p>
    <w:p>
      <w:pPr>
        <w:pStyle w:val="ListParagraph"/>
        <w:numPr>
          <w:ilvl w:val="0"/>
          <w:numId w:val="2"/>
        </w:numPr>
        <w:spacing w:after="60"/>
      </w:pPr>
      <w:r>
        <w:t xml:space="preserve">crea o repara las estructuras NME, NSO, NQA, GRAT, CTS, VAC y LIQ y sus reglas;</w:t>
      </w:r>
    </w:p>
    <w:p>
      <w:pPr>
        <w:pStyle w:val="ListParagraph"/>
        <w:numPr>
          <w:ilvl w:val="0"/>
          <w:numId w:val="2"/>
        </w:numPr>
        <w:spacing w:after="60"/>
      </w:pPr>
      <w:r>
        <w:t xml:space="preserve">asigna las cuentas contables </w:t>
      </w:r>
      <w:r>
        <w:rPr>
          <w:b/>
          <w:bCs/>
        </w:rPr>
        <w:t xml:space="preserve">solo donde faltan</w:t>
      </w:r>
      <w:r>
        <w:t xml:space="preserve">: una cuenta cambiada a mano, por ejemplo una subcuenta 4111 por sede, se conserva (C-21);</w:t>
      </w:r>
    </w:p>
    <w:p>
      <w:pPr>
        <w:pStyle w:val="ListParagraph"/>
        <w:numPr>
          <w:ilvl w:val="0"/>
          <w:numId w:val="2"/>
        </w:numPr>
        <w:spacing w:after="60"/>
      </w:pPr>
      <w:r>
        <w:t xml:space="preserve">deja un registro en el log: con todo asignado, «Cuentas CE: 0 asignaciones» en cada compañía;</w:t>
      </w:r>
    </w:p>
    <w:p>
      <w:pPr>
        <w:pStyle w:val="ListParagraph"/>
        <w:numPr>
          <w:ilvl w:val="0"/>
          <w:numId w:val="2"/>
        </w:numPr>
        <w:spacing w:after="60"/>
      </w:pPr>
      <w:r>
        <w:t xml:space="preserve">archiva las reglas de India de </w:t>
      </w:r>
      <w:r>
        <w:rPr>
          <w:rFonts w:ascii="Consolas" w:cs="Consolas" w:eastAsia="Consolas" w:hAnsi="Consolas"/>
          <w:color w:val="444444"/>
          <w:sz w:val="20"/>
          <w:szCs w:val="20"/>
        </w:rPr>
        <w:t xml:space="preserve">om_hr_payroll</w:t>
      </w:r>
      <w:r>
        <w:t xml:space="preserve"> (HRA, DA, viajes, comidas, gastos médicos) que ninguna estructura use (U-03).</w:t>
      </w:r>
    </w:p>
    <w:p>
      <w:pPr>
        <w:spacing w:after="120"/>
      </w:pPr>
      <w:r>
        <w:t xml:space="preserve">Algunas versiones traen </w:t>
      </w:r>
      <w:r>
        <w:rPr>
          <w:b/>
          <w:bCs/>
        </w:rPr>
        <w:t xml:space="preserve">post-migraciones</w:t>
      </w:r>
      <w:r>
        <w:t xml:space="preserve"> que completan datos existentes sin pisar lo que el cliente cambió. Por ejemplo, la 19.0.1.27.0 pone el código de la Tabla 19 en los parentescos que siembra el módulo, solo donde está vacío.</w:t>
      </w:r>
    </w:p>
    <w:p>
      <w:pPr>
        <w:pStyle w:val="Heading3"/>
      </w:pPr>
      <w:r>
        <w:t xml:space="preserve">Lista de despliegue</w:t>
      </w:r>
    </w:p>
    <w:p>
      <w:pPr>
        <w:pStyle w:val="ListParagraph"/>
        <w:numPr>
          <w:ilvl w:val="0"/>
          <w:numId w:val="3"/>
        </w:numPr>
        <w:spacing w:after="80"/>
      </w:pPr>
      <w:r>
        <w:t xml:space="preserve">Detenga el servicio de Odoo.</w:t>
      </w:r>
    </w:p>
    <w:p>
      <w:pPr>
        <w:pStyle w:val="ListParagraph"/>
        <w:numPr>
          <w:ilvl w:val="0"/>
          <w:numId w:val="3"/>
        </w:numPr>
        <w:spacing w:after="80"/>
      </w:pPr>
      <w:r>
        <w:t xml:space="preserve">Reemplace las carpetas de los módulos </w:t>
      </w:r>
      <w:r>
        <w:rPr>
          <w:b/>
          <w:bCs/>
        </w:rPr>
        <w:t xml:space="preserve">en una sola copia</w:t>
      </w:r>
      <w:r>
        <w:t xml:space="preserve">. Si el </w:t>
      </w:r>
      <w:r>
        <w:rPr>
          <w:rFonts w:ascii="Consolas" w:cs="Consolas" w:eastAsia="Consolas" w:hAnsi="Consolas"/>
          <w:color w:val="444444"/>
          <w:sz w:val="20"/>
          <w:szCs w:val="20"/>
        </w:rPr>
        <w:t xml:space="preserve">addons_path</w:t>
      </w:r>
      <w:r>
        <w:t xml:space="preserve"> tiene dos carpetas con los mismos módulos, Odoo carga la que esté primero en la ruta y puede cargar la versión vieja (medido en los lotes 9 a 11).</w:t>
      </w:r>
    </w:p>
    <w:p>
      <w:pPr>
        <w:pStyle w:val="ListParagraph"/>
        <w:numPr>
          <w:ilvl w:val="0"/>
          <w:numId w:val="3"/>
        </w:numPr>
        <w:spacing w:after="80"/>
      </w:pPr>
      <w:r>
        <w:t xml:space="preserve">Ejecute </w:t>
      </w:r>
      <w:r>
        <w:rPr>
          <w:rFonts w:ascii="Consolas" w:cs="Consolas" w:eastAsia="Consolas" w:hAnsi="Consolas"/>
          <w:color w:val="444444"/>
          <w:sz w:val="20"/>
          <w:szCs w:val="20"/>
        </w:rPr>
        <w:t xml:space="preserve">odoo-bin -c &lt;conf&gt; -d &lt;base&gt; -u solse_pe_payroll_ce --stop-after-init</w:t>
      </w:r>
      <w:r>
        <w:t xml:space="preserve"> (o los módulos que traiga la entrega).</w:t>
      </w:r>
    </w:p>
    <w:p>
      <w:pPr>
        <w:pStyle w:val="ListParagraph"/>
        <w:numPr>
          <w:ilvl w:val="0"/>
          <w:numId w:val="3"/>
        </w:numPr>
        <w:spacing w:after="80"/>
      </w:pPr>
      <w:r>
        <w:t xml:space="preserve">Revise el log: sin líneas ERROR y con «Cuentas CE: 0 asignaciones».</w:t>
      </w:r>
    </w:p>
    <w:p>
      <w:pPr>
        <w:pStyle w:val="ListParagraph"/>
        <w:numPr>
          <w:ilvl w:val="0"/>
          <w:numId w:val="3"/>
        </w:numPr>
        <w:spacing w:after="80"/>
      </w:pPr>
      <w:r>
        <w:rPr>
          <w:b/>
          <w:bCs/>
        </w:rPr>
        <w:t xml:space="preserve">Levante el servicio</w:t>
      </w:r>
      <w:r>
        <w:t xml:space="preserve"> y recargue el navegador. Con </w:t>
      </w:r>
      <w:r>
        <w:rPr>
          <w:rFonts w:ascii="Consolas" w:cs="Consolas" w:eastAsia="Consolas" w:hAnsi="Consolas"/>
          <w:color w:val="444444"/>
          <w:sz w:val="20"/>
          <w:szCs w:val="20"/>
        </w:rPr>
        <w:t xml:space="preserve">--stop-after-init</w:t>
      </w:r>
      <w:r>
        <w:t xml:space="preserve"> el servicio queda detenido y el navegador recibe «502».</w:t>
      </w:r>
    </w:p>
    <w:p>
      <w:pPr>
        <w:pStyle w:val="ListParagraph"/>
        <w:numPr>
          <w:ilvl w:val="0"/>
          <w:numId w:val="3"/>
        </w:numPr>
        <w:spacing w:after="80"/>
      </w:pPr>
      <w:r>
        <w:t xml:space="preserve">En </w:t>
      </w:r>
      <w:r>
        <w:rPr>
          <w:b/>
          <w:bCs/>
        </w:rPr>
        <w:t xml:space="preserve">Aplicaciones</w:t>
      </w:r>
      <w:r>
        <w:t xml:space="preserve">, compruebe las versiones de la tabla 1.4 (figura anterior).</w:t>
      </w:r>
    </w:p>
    <w:p>
      <w:pPr>
        <w:pStyle w:val="ListParagraph"/>
        <w:numPr>
          <w:ilvl w:val="0"/>
          <w:numId w:val="3"/>
        </w:numPr>
        <w:spacing w:after="80"/>
      </w:pPr>
      <w:r>
        <w:t xml:space="preserve">Si usa el laboratorio: </w:t>
      </w:r>
      <w:r>
        <w:rPr>
          <w:b/>
          <w:bCs/>
        </w:rPr>
        <w:t xml:space="preserve">Sincronizar casos</w:t>
      </w:r>
      <w:r>
        <w:t xml:space="preserve"> y correr los 14 casos (2.3). Todos deben quedar al 100 %.</w:t>
      </w:r>
    </w:p>
    <w:p>
      <w:pPr>
        <w:pBdr>
          <w:left w:val="single" w:color="714B67" w:sz="18" w:space="8"/>
        </w:pBdr>
        <w:shd w:fill="F3EEF2" w:color="auto" w:val="clear"/>
        <w:spacing w:after="160" w:before="120"/>
        <w:ind w:left="120" w:right="120"/>
      </w:pPr>
      <w:r>
        <w:rPr>
          <w:b/>
          <w:bCs/>
          <w:color w:val="714B67"/>
        </w:rPr>
        <w:t xml:space="preserve">Para implementadores: </w:t>
      </w:r>
      <w:r>
        <w:t xml:space="preserve">El horario de trabajo (calendario) de cada compañía debe estar en la zona </w:t>
      </w:r>
      <w:r>
        <w:rPr>
          <w:b/>
          <w:bCs/>
        </w:rPr>
        <w:t xml:space="preserve">America/Lima</w:t>
      </w:r>
      <w:r>
        <w:t xml:space="preserve">: la conciliación de asistencias ubica las marcaciones en la zona del calendario. Si está en UTC, que es lo que crea una base nueva cuando el administrador no tiene zona, las tardanzas salen desplazadas 5 horas (O-62). Ponga también America/Lima en la preferencia de cada usuario: Odoo toma la fecha de «hoy» de la zona del usuario y, entre las 19:00 y las 24:00 de Lima, un usuario en UTC ve el día siguiente (por ejemplo, en el nombre de los TXT de derechohabientes).</w:t>
      </w:r>
    </w:p>
    <w:p>
      <w:pPr>
        <w:pStyle w:val="Heading2"/>
      </w:pPr>
      <w:bookmarkStart w:name="t10" w:id="1"/>
      <w:r>
        <w:t xml:space="preserve">2.3 El laboratorio de casos</w:t>
      </w:r>
      <w:bookmarkEnd w:id="1"/>
    </w:p>
    <w:p>
      <w:pPr>
        <w:spacing w:after="120"/>
      </w:pPr>
      <w:r>
        <w:t xml:space="preserve">El laboratorio (</w:t>
      </w:r>
      <w:r>
        <w:rPr>
          <w:rFonts w:ascii="Consolas" w:cs="Consolas" w:eastAsia="Consolas" w:hAnsi="Consolas"/>
          <w:color w:val="444444"/>
          <w:sz w:val="20"/>
          <w:szCs w:val="20"/>
        </w:rPr>
        <w:t xml:space="preserve">solse_pe_demo_libros</w:t>
      </w:r>
      <w:r>
        <w:t xml:space="preserve"> con </w:t>
      </w:r>
      <w:r>
        <w:rPr>
          <w:rFonts w:ascii="Consolas" w:cs="Consolas" w:eastAsia="Consolas" w:hAnsi="Consolas"/>
          <w:color w:val="444444"/>
          <w:sz w:val="20"/>
          <w:szCs w:val="20"/>
        </w:rPr>
        <w:t xml:space="preserve">solse_pe_payroll_ce_demo</w:t>
      </w:r>
      <w:r>
        <w:t xml:space="preserve">) vive en la aplicación </w:t>
      </w:r>
      <w:r>
        <w:rPr>
          <w:b/>
          <w:bCs/>
        </w:rPr>
        <w:t xml:space="preserve">SOLSE Demo</w:t>
      </w:r>
      <w:r>
        <w:t xml:space="preserve"> y trabaja en compañías propias de prueba. Para la nómina, la compañía es </w:t>
      </w:r>
      <w:r>
        <w:rPr>
          <w:b/>
          <w:bCs/>
        </w:rPr>
        <w:t xml:space="preserve">SOLSE Demo Servicios S.A.C.</w:t>
      </w:r>
    </w:p>
    <w:p>
      <w:pPr>
        <w:keepNext/>
        <w:spacing w:after="60" w:before="120"/>
        <w:jc w:val="center"/>
      </w:pPr>
      <w:r>
        <w:drawing>
          <wp:inline distT="0" distB="0" distL="0" distR="0">
            <wp:extent cx="5905500" cy="3324225"/>
            <wp:effectExtent t="0" r="0" b="0" l="0"/>
            <wp:docPr id="1" name="c02_02_laboratorio" descr="Laboratorio SOLSE Perú: «② Sincronizar casos» actualiza la lista de casos después de cada actualización; arriba, 14 casos y 14 conformes." title="Laboratorio SOLSE Perú: «② Sincronizar casos» actualiza la lista de casos después de cada actualización; arriba, 14 casos y 14 co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 </w:t>
      </w:r>
      <w:r>
        <w:rPr>
          <w:i/>
          <w:iCs/>
          <w:color w:val="555555"/>
          <w:sz w:val="18"/>
          <w:szCs w:val="18"/>
        </w:rPr>
        <w:t xml:space="preserve">Laboratorio SOLSE Perú: «② Sincronizar casos» actualiza la lista de casos después de cada actualización; arriba, 14 casos y 14 conformes.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Botón del laboratorio</w:t>
            </w:r>
          </w:p>
        </w:tc>
        <w:tc>
          <w:tcPr>
            <w:tcW w:type="dxa" w:w="6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hace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① Construir laboratorio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Crea las compañías de prueba y su configuración (una vez por base).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② Sincronizar casos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Registra los casos nuevos y actualiza nombre y estructuras de los existentes. Úselo después de cada </w:t>
            </w:r>
            <w:r>
              <w:rPr>
                <w:rFonts w:ascii="Consolas" w:cs="Consolas" w:eastAsia="Consolas" w:hAnsi="Consolas"/>
                <w:color w:val="444444"/>
                <w:sz w:val="20"/>
                <w:szCs w:val="20"/>
              </w:rPr>
              <w:t xml:space="preserve">-u</w:t>
            </w:r>
            <w:r>
              <w:rPr>
                <w:sz w:val="19"/>
                <w:szCs w:val="19"/>
              </w:rPr>
              <w:t xml:space="preserve"> (por ejemplo, el lote 12 amplió ASISTENCIA de 73 a 94 celdas).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Diagnosticar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Revisa la configuración del laboratorio.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Limpiar todo</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Borra los datos sembrados por todos los casos.</w:t>
            </w:r>
          </w:p>
        </w:tc>
      </w:tr>
    </w:tbl>
    <w:p>
      <w:pPr>
        <w:keepNext/>
        <w:spacing w:after="60" w:before="120"/>
        <w:jc w:val="center"/>
      </w:pPr>
      <w:r>
        <w:drawing>
          <wp:inline distT="0" distB="0" distL="0" distR="0">
            <wp:extent cx="5905500" cy="3324225"/>
            <wp:effectExtent t="0" r="0" b="0" l="0"/>
            <wp:docPr id="1" name="c02_03_casos_100" descr="Casos de demostración: los 14 de la nómina, en estado «Comparado» y con 100,00 de coincidencia." title="Casos de demostración: los 14 de la nómina, en estado «Comparado» y con 100,00 de coincid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 </w:t>
      </w:r>
      <w:r>
        <w:rPr>
          <w:i/>
          <w:iCs/>
          <w:color w:val="555555"/>
          <w:sz w:val="18"/>
          <w:szCs w:val="18"/>
        </w:rPr>
        <w:t xml:space="preserve">Casos de demostración: los 14 de la nómina, en estado «Comparado» y con 100,00 de coincidencia.</w:t>
      </w:r>
    </w:p>
    <w:p>
      <w:pPr>
        <w:spacing w:after="120"/>
      </w:pPr>
      <w:r>
        <w:t xml:space="preserve">Cada caso se corre con sus botones numerados. Siempre en este orden y, en el mismo día, </w:t>
      </w:r>
      <w:r>
        <w:rPr>
          <w:b/>
          <w:bCs/>
        </w:rPr>
        <w:t xml:space="preserve">NOMINA antes que PLAME</w:t>
      </w:r>
      <w:r>
        <w:t xml:space="preserve">:</w:t>
      </w:r>
    </w:p>
    <w:p>
      <w:pPr>
        <w:pStyle w:val="ListParagraph"/>
        <w:numPr>
          <w:ilvl w:val="0"/>
          <w:numId w:val="4"/>
        </w:numPr>
        <w:spacing w:after="80"/>
      </w:pPr>
      <w:r>
        <w:rPr>
          <w:b/>
          <w:bCs/>
        </w:rPr>
        <w:t xml:space="preserve">⑤ Limpiar</w:t>
      </w:r>
      <w:r>
        <w:t xml:space="preserve">: borra los datos que el caso sembró antes.</w:t>
      </w:r>
    </w:p>
    <w:p>
      <w:pPr>
        <w:pStyle w:val="ListParagraph"/>
        <w:numPr>
          <w:ilvl w:val="0"/>
          <w:numId w:val="4"/>
        </w:numPr>
        <w:spacing w:after="80"/>
      </w:pPr>
      <w:r>
        <w:rPr>
          <w:b/>
          <w:bCs/>
        </w:rPr>
        <w:t xml:space="preserve">① Sembrar datos</w:t>
      </w:r>
      <w:r>
        <w:t xml:space="preserve">: crea los trabajadores sintéticos, contratos, pólizas, ausencias y marcaciones del caso.</w:t>
      </w:r>
    </w:p>
    <w:p>
      <w:pPr>
        <w:pStyle w:val="ListParagraph"/>
        <w:numPr>
          <w:ilvl w:val="0"/>
          <w:numId w:val="4"/>
        </w:numPr>
        <w:spacing w:after="80"/>
      </w:pPr>
      <w:r>
        <w:rPr>
          <w:b/>
          <w:bCs/>
        </w:rPr>
        <w:t xml:space="preserve">② Generar</w:t>
      </w:r>
      <w:r>
        <w:t xml:space="preserve">: calcula y valida las boletas y genera los archivos (PLAME, TXT, T-Registro…).</w:t>
      </w:r>
    </w:p>
    <w:p>
      <w:pPr>
        <w:pStyle w:val="ListParagraph"/>
        <w:numPr>
          <w:ilvl w:val="0"/>
          <w:numId w:val="4"/>
        </w:numPr>
        <w:spacing w:after="80"/>
      </w:pPr>
      <w:r>
        <w:rPr>
          <w:b/>
          <w:bCs/>
        </w:rPr>
        <w:t xml:space="preserve">④ Comparar</w:t>
      </w:r>
      <w:r>
        <w:t xml:space="preserve">: compara cada valor generado con el esperado, que sale de la norma, y deja la comparación con su Excel.</w:t>
      </w:r>
    </w:p>
    <w:p>
      <w:pPr>
        <w:keepNext/>
        <w:spacing w:after="60" w:before="120"/>
        <w:jc w:val="center"/>
      </w:pPr>
      <w:r>
        <w:drawing>
          <wp:inline distT="0" distB="0" distL="0" distR="0">
            <wp:extent cx="5905500" cy="3324225"/>
            <wp:effectExtent t="0" r="0" b="0" l="0"/>
            <wp:docPr id="1" name="c02_04_caso_tregistro" descr="Caso TREGISTRO conforme: 262 celdas comparadas, 0 diferencias. En «Comparaciones» se descarga el Excel." title="Caso TREGISTRO conforme: 262 celdas comparadas, 0 diferencias. En «Comparaciones» se descarga el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 </w:t>
      </w:r>
      <w:r>
        <w:rPr>
          <w:i/>
          <w:iCs/>
          <w:color w:val="555555"/>
          <w:sz w:val="18"/>
          <w:szCs w:val="18"/>
        </w:rPr>
        <w:t xml:space="preserve">Caso TREGISTRO conforme: 262 celdas comparadas, 0 diferencias. En «Comparaciones» se descarga el 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638"/>
      </w:tblGrid>
      <w:tr>
        <w:trPr>
          <w:tblHeader/>
        </w:trPr>
        <w:tc>
          <w:tcPr>
            <w:tcW w:type="dxa" w:w="2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Caso</w:t>
            </w:r>
          </w:p>
        </w:tc>
        <w:tc>
          <w:tcPr>
            <w:tcW w:type="dxa" w:w="1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Celdas</w:t>
            </w:r>
          </w:p>
        </w:tc>
        <w:tc>
          <w:tcPr>
            <w:tcW w:type="dxa" w:w="6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prueba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NOMINA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525</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de julio con 13 trabajadores: aportes, 5.ª, gratificación, vacaciones, liquidación, AFPnet, asiento y parámetros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166</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impresa: ingresos − descuentos = neto, al centavo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BANCOS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407</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TXT de BCP, Interbank y Scotiabank, haberes y CTS, y omitidos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Microempresa: SIS, sin gratificación ni CTS, vacaciones de 15 días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UTILIDADES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33</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Reparto de utilidades y su tope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AUMENTO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Aumento a mitad de mes, dos contratos y licencia sin goce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344</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Descanso médico (20 y 21), maternidad (22) y derecho al subsidio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CESE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149</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Renta de 5.ª en el mes del cese: ajuste final y devolución</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INDEMNIZACION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Indemnización por despido arbitrario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VIDALEY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58</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 de Vida Ley: tasa, tope, importe fijo, póliza vencida y semanal</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TREGISTRO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Altas, bajas, 9 modificaciones y derechohabientes del T-Registro</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ASISTENCIA</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94</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Tardanzas, faltas, medias jornadas y feriados</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121</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ZIP del PDT: </w:t>
            </w:r>
            <w:r>
              <w:rPr>
                <w:rFonts w:ascii="Consolas" w:cs="Consolas" w:eastAsia="Consolas" w:hAnsi="Consolas"/>
                <w:color w:val="444444"/>
                <w:sz w:val="20"/>
                <w:szCs w:val="20"/>
              </w:rPr>
              <w:t xml:space="preserve">.rem</w:t>
            </w:r>
            <w:r>
              <w:rPr>
                <w:sz w:val="19"/>
                <w:szCs w:val="19"/>
              </w:rPr>
              <w:t xml:space="preserve">, </w:t>
            </w:r>
            <w:r>
              <w:rPr>
                <w:rFonts w:ascii="Consolas" w:cs="Consolas" w:eastAsia="Consolas" w:hAnsi="Consolas"/>
                <w:color w:val="444444"/>
                <w:sz w:val="20"/>
                <w:szCs w:val="20"/>
              </w:rPr>
              <w:t xml:space="preserve">.jor</w:t>
            </w:r>
            <w:r>
              <w:rPr>
                <w:sz w:val="19"/>
                <w:szCs w:val="19"/>
              </w:rPr>
              <w:t xml:space="preserve">, </w:t>
            </w:r>
            <w:r>
              <w:rPr>
                <w:rFonts w:ascii="Consolas" w:cs="Consolas" w:eastAsia="Consolas" w:hAnsi="Consolas"/>
                <w:color w:val="444444"/>
                <w:sz w:val="20"/>
                <w:szCs w:val="20"/>
              </w:rPr>
              <w:t xml:space="preserve">.snl</w:t>
            </w:r>
            <w:r>
              <w:rPr>
                <w:sz w:val="19"/>
                <w:szCs w:val="19"/>
              </w:rPr>
              <w:t xml:space="preserve"> y la 4.ª</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PLAME-RXH</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de 4.ª categoría sin nómina: </w:t>
            </w:r>
            <w:r>
              <w:rPr>
                <w:rFonts w:ascii="Consolas" w:cs="Consolas" w:eastAsia="Consolas" w:hAnsi="Consolas"/>
                <w:color w:val="444444"/>
                <w:sz w:val="20"/>
                <w:szCs w:val="20"/>
              </w:rPr>
              <w:t xml:space="preserve">.ps4</w:t>
            </w:r>
            <w:r>
              <w:rPr>
                <w:sz w:val="19"/>
                <w:szCs w:val="19"/>
              </w:rPr>
              <w:t xml:space="preserve"> y </w:t>
            </w:r>
            <w:r>
              <w:rPr>
                <w:rFonts w:ascii="Consolas" w:cs="Consolas" w:eastAsia="Consolas" w:hAnsi="Consolas"/>
                <w:color w:val="444444"/>
                <w:sz w:val="20"/>
                <w:szCs w:val="20"/>
              </w:rPr>
              <w:t xml:space="preserve">.4ta</w:t>
            </w:r>
          </w:p>
        </w:tc>
      </w:tr>
    </w:tbl>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Los casos se corrieron el 22/10/2026 después del lote 12: los 14 al 100 %, 2 573 celdas. El Anexo E detalla cada caso.</w:t>
      </w:r>
    </w:p>
    <w:p>
      <w:pPr>
        <w:pStyle w:val="Heading2"/>
      </w:pPr>
      <w:bookmarkStart w:name="t11" w:id="1"/>
      <w:r>
        <w:t xml:space="preserve">2.4 Los datos de prueba no tocan una compañía real</w:t>
      </w:r>
      <w:bookmarkEnd w:id="1"/>
    </w:p>
    <w:p>
      <w:pPr>
        <w:spacing w:after="120"/>
      </w:pPr>
      <w:r>
        <w:t xml:space="preserve">El asistente </w:t>
      </w:r>
      <w:r>
        <w:rPr>
          <w:b/>
          <w:bCs/>
        </w:rPr>
        <w:t xml:space="preserve">Nómina › Nómina PE › Datos de prueba (demo)</w:t>
      </w:r>
      <w:r>
        <w:t xml:space="preserve"> solo carga datos en las compañías del laboratorio o en la compañía de una base nueva (Q-01). En una compañía real se abre, lo explica y solo deja </w:t>
      </w:r>
      <w:r>
        <w:rPr>
          <w:b/>
          <w:bCs/>
        </w:rPr>
        <w:t xml:space="preserve">4. Validación interna</w:t>
      </w:r>
      <w:r>
        <w:t xml:space="preserve">, que revisa la configuración sin escribir nada.</w:t>
      </w:r>
    </w:p>
    <w:p>
      <w:pPr>
        <w:keepNext/>
        <w:spacing w:after="60" w:before="120"/>
        <w:jc w:val="center"/>
      </w:pPr>
      <w:r>
        <w:drawing>
          <wp:inline distT="0" distB="0" distL="0" distR="0">
            <wp:extent cx="5905500" cy="3324225"/>
            <wp:effectExtent t="0" r="0" b="0" l="0"/>
            <wp:docPr id="1" name="c02_05_datos_de_prueba_en_fm" descr="Datos de prueba en FM SYSTEMS: es una compañía real y el asistente no carga datos." title="Datos de prueba en FM SYSTEMS: es una compañía real y el asistente no carga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 </w:t>
      </w:r>
      <w:r>
        <w:rPr>
          <w:i/>
          <w:iCs/>
          <w:color w:val="555555"/>
          <w:sz w:val="18"/>
          <w:szCs w:val="18"/>
        </w:rPr>
        <w:t xml:space="preserve">Datos de prueba en FM SYSTEMS: es una compañía real y el asistente no carga datos.</w:t>
      </w:r>
    </w:p>
    <w:p>
      <w:pPr>
        <w:pBdr>
          <w:left w:val="single" w:color="714B67" w:sz="18" w:space="8"/>
        </w:pBdr>
        <w:shd w:fill="F3EEF2" w:color="auto" w:val="clear"/>
        <w:spacing w:after="160" w:before="120"/>
        <w:ind w:left="120" w:right="120"/>
      </w:pPr>
      <w:r>
        <w:rPr>
          <w:b/>
          <w:bCs/>
          <w:color w:val="714B67"/>
        </w:rPr>
        <w:t xml:space="preserve">Para implementadores: </w:t>
      </w:r>
      <w:r>
        <w:t xml:space="preserve">Antes de esta corrección, una siembra antigua dejó a FM SYSTEMS afecta a SENATI. Se mantiene así a propósito, para que el recorrido conserve sus cifras: las boletas de FM llevan SENATI_001.</w:t>
      </w:r>
    </w:p>
    <w:p>
      <w:pPr>
        <w:pBdr>
          <w:top w:val="single" w:color="BFBFBF" w:sz="4" w:space="4"/>
        </w:pBdr>
        <w:spacing w:before="240"/>
      </w:pPr>
      <w:r>
        <w:rPr>
          <w:color w:val="777777"/>
          <w:sz w:val="16"/>
          <w:szCs w:val="16"/>
        </w:rPr>
        <w:t xml:space="preserve">Versiones mostradas: base 19.0.1.20.1 · ce 19.0.1.27.1 · ce_demo 19.0.2.25.1.</w:t>
      </w:r>
      <w:r>
        <w:rPr>
          <w:color w:val="777777"/>
          <w:sz w:val="16"/>
          <w:szCs w:val="16"/>
        </w:rPr>
        <w:t xml:space="preserve">  Ítems de la versión 2: C-14, C-15, C-21, Q-01, Q-04, Q-05, O-51.</w:t>
      </w:r>
    </w:p>
    <w:p>
      <w:pPr>
        <w:pStyle w:val="Heading1"/>
        <w:pageBreakBefore/>
      </w:pPr>
      <w:bookmarkStart w:name="t12" w:id="1"/>
      <w:r>
        <w:t xml:space="preserve">3. Menú de Nómina</w:t>
      </w:r>
      <w:bookmarkEnd w:id="1"/>
    </w:p>
    <w:p>
      <w:pPr>
        <w:spacing w:after="120"/>
      </w:pPr>
      <w:r>
        <w:t xml:space="preserve">Todo está bajo la aplicación </w:t>
      </w:r>
      <w:r>
        <w:rPr>
          <w:b/>
          <w:bCs/>
        </w:rPr>
        <w:t xml:space="preserve">Nómina</w:t>
      </w:r>
      <w:r>
        <w:t xml:space="preserve">, que se abre desde el menú de aplicaciones (icono de cuadrícula, arriba a la izquierda).</w:t>
      </w:r>
    </w:p>
    <w:p>
      <w:pPr>
        <w:keepNext/>
        <w:spacing w:after="60" w:before="120"/>
        <w:jc w:val="center"/>
      </w:pPr>
      <w:r>
        <w:drawing>
          <wp:inline distT="0" distB="0" distL="0" distR="0">
            <wp:extent cx="5905500" cy="3324225"/>
            <wp:effectExtent t="0" r="0" b="0" l="0"/>
            <wp:docPr id="1" name="c03_01_menu_principal" descr="Menú de aplicaciones: la nómina está en «Nómina»; el laboratorio, en «SOLSE Demo»." title="Menú de aplicaciones: la nómina está en «Nómina»; el laboratorio, en «SOLSE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 </w:t>
      </w:r>
      <w:r>
        <w:rPr>
          <w:i/>
          <w:iCs/>
          <w:color w:val="555555"/>
          <w:sz w:val="18"/>
          <w:szCs w:val="18"/>
        </w:rPr>
        <w:t xml:space="preserve">Menú de aplicaciones: la nómina está en «Nómina»; el laboratorio, en «SOLSE Demo».</w:t>
      </w:r>
    </w:p>
    <w:p>
      <w:pPr>
        <w:keepNext/>
        <w:spacing w:after="60" w:before="120"/>
        <w:jc w:val="center"/>
      </w:pPr>
      <w:r>
        <w:drawing>
          <wp:inline distT="0" distB="0" distL="0" distR="0">
            <wp:extent cx="5905500" cy="3324225"/>
            <wp:effectExtent t="0" r="0" b="0" l="0"/>
            <wp:docPr id="1" name="c03_02_menu_nomina_pe" descr="Menú Nómina PE: parámetros, maestros SUNAT (con T19, T28 y T34), seguros, salidas legales (incluidos T-Registro y Certificado de 5.ª) y contabilidad de nómina." title="Menú Nómina PE: parámetros, maestros SUNAT (con T19, T28 y T34), seguros, salidas legales (incluidos T-Registro y Certificado de 5.ª) y contabilidad de nó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 </w:t>
      </w:r>
      <w:r>
        <w:rPr>
          <w:i/>
          <w:iCs/>
          <w:color w:val="555555"/>
          <w:sz w:val="18"/>
          <w:szCs w:val="18"/>
        </w:rPr>
        <w:t xml:space="preserve">Menú Nómina PE: parámetros, maestros SUNAT (con T19, T28 y T34), seguros, salidas legales (incluidos T-Registro y Certificado de 5.ª) y contabilidad de nómina.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4638"/>
        <w:gridCol w:w="1200"/>
      </w:tblGrid>
      <w:tr>
        <w:trPr>
          <w:tblHeader/>
        </w:trPr>
        <w:tc>
          <w:tcPr>
            <w:tcW w:type="dxa" w:w="3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Menú</w:t>
            </w:r>
          </w:p>
        </w:tc>
        <w:tc>
          <w:tcPr>
            <w:tcW w:type="dxa" w:w="4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c>
          <w:tcPr>
            <w:tcW w:type="dxa" w:w="1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Capítulo</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Nóminas del empleado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Boletas individuales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Procesamientos de nóminas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Lotes del mes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Empleados › Empleados / Contratos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Fichas y contratos (versiones)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Parámetros de Nómina PE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UIT, RMV, tasas y topes con vigencia. Es el </w:t>
            </w:r>
            <w:r>
              <w:rPr>
                <w:b/>
                <w:bCs/>
                <w:sz w:val="19"/>
                <w:szCs w:val="19"/>
              </w:rPr>
              <w:t xml:space="preserve">único</w:t>
            </w:r>
            <w:r>
              <w:rPr>
                <w:sz w:val="19"/>
                <w:szCs w:val="19"/>
              </w:rPr>
              <w:t xml:space="preserve"> acceso: el duplicado de Configuración se quitó (U-09)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Maestros SUNAT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 T33, T12, T30, T17, T9, </w:t>
            </w:r>
            <w:r>
              <w:rPr>
                <w:b/>
                <w:bCs/>
                <w:sz w:val="19"/>
                <w:szCs w:val="19"/>
              </w:rPr>
              <w:t xml:space="preserve">T34</w:t>
            </w:r>
            <w:r>
              <w:rPr>
                <w:sz w:val="19"/>
                <w:szCs w:val="19"/>
              </w:rPr>
              <w:t xml:space="preserve">, </w:t>
            </w:r>
            <w:r>
              <w:rPr>
                <w:b/>
                <w:bCs/>
                <w:sz w:val="19"/>
                <w:szCs w:val="19"/>
              </w:rPr>
              <w:t xml:space="preserve">T28</w:t>
            </w:r>
            <w:r>
              <w:rPr>
                <w:sz w:val="19"/>
                <w:szCs w:val="19"/>
              </w:rPr>
              <w:t xml:space="preserve">, T35, </w:t>
            </w:r>
            <w:r>
              <w:rPr>
                <w:b/>
                <w:bCs/>
                <w:sz w:val="19"/>
                <w:szCs w:val="19"/>
              </w:rPr>
              <w:t xml:space="preserve">T19</w:t>
            </w:r>
            <w:r>
              <w:rPr>
                <w:sz w:val="19"/>
                <w:szCs w:val="19"/>
              </w:rPr>
              <w:t xml:space="preserve"> y T22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Seguros y EPS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Planes EPS y pólizas de Vida Ley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Planilla de sueldos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del mes en Excel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Pago masivo a bancos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TXT de haberes y CTS (BCP, Interbank, Scotiabank)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PLAME (archivos PDT)</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ZIP del PDT 601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w:t>
            </w:r>
            <w:r>
              <w:rPr>
                <w:b/>
                <w:bCs/>
                <w:sz w:val="19"/>
                <w:szCs w:val="19"/>
              </w:rPr>
              <w:t xml:space="preserve">T-Registro (carga masiva)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Altas, bajas, modificaciones y derechohabientes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AFPnet (planilla previsional)</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Archivo de AFPnet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Reparto de utilidades</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Participación de utilidades (D.Leg. 892)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w:t>
            </w:r>
            <w:r>
              <w:rPr>
                <w:b/>
                <w:bCs/>
                <w:sz w:val="19"/>
                <w:szCs w:val="19"/>
              </w:rPr>
              <w:t xml:space="preserve">Certificado de 5.ª categoría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Certificado anual de retenciones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Contabilidad de nómina</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Mapeo PCGE y asignación de cuentas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Datos de prueba (demo)</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laboratorio (capítulo 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r>
    </w:tbl>
    <w:p>
      <w:pPr>
        <w:keepNext/>
        <w:spacing w:after="60" w:before="120"/>
        <w:jc w:val="center"/>
      </w:pPr>
      <w:r>
        <w:drawing>
          <wp:inline distT="0" distB="0" distL="0" distR="0">
            <wp:extent cx="5905500" cy="3324225"/>
            <wp:effectExtent t="0" r="0" b="0" l="0"/>
            <wp:docPr id="1" name="c03_03_menu_configuracion" descr="Menú Configuración: estructuras, reglas salariales, registros de contribución y plantillas. Los parámetros ya no se repiten aquí." title="Menú Configuración: estructuras, reglas salariales, registros de contribución y plantillas. Los parámetros ya no se repiten aqu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 </w:t>
      </w:r>
      <w:r>
        <w:rPr>
          <w:i/>
          <w:iCs/>
          <w:color w:val="555555"/>
          <w:sz w:val="18"/>
          <w:szCs w:val="18"/>
        </w:rPr>
        <w:t xml:space="preserve">Menú Configuración: estructuras, reglas salariales, registros de contribución y plantillas. Los parámetros ya no se repiten aquí.</w:t>
      </w:r>
    </w:p>
    <w:p>
      <w:pPr>
        <w:keepNext/>
        <w:spacing w:after="60" w:before="120"/>
        <w:jc w:val="center"/>
      </w:pPr>
      <w:r>
        <w:drawing>
          <wp:inline distT="0" distB="0" distL="0" distR="0">
            <wp:extent cx="5905500" cy="3324225"/>
            <wp:effectExtent t="0" r="0" b="0" l="0"/>
            <wp:docPr id="1" name="c03_04_menu_empleados" descr="Menú Empleados: fichas y contratos." title="Menú Empleados: fichas y contr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9. </w:t>
      </w:r>
      <w:r>
        <w:rPr>
          <w:i/>
          <w:iCs/>
          <w:color w:val="555555"/>
          <w:sz w:val="18"/>
          <w:szCs w:val="18"/>
        </w:rPr>
        <w:t xml:space="preserve">Menú Empleados: fichas y contratos.</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U-09.</w:t>
      </w:r>
    </w:p>
    <w:p>
      <w:pPr>
        <w:pStyle w:val="Heading1"/>
        <w:pageBreakBefore/>
      </w:pPr>
      <w:bookmarkStart w:name="t13" w:id="1"/>
      <w:r>
        <w:t xml:space="preserve">4. Parámetros legales con vigencia</w:t>
      </w:r>
      <w:bookmarkEnd w:id="1"/>
    </w:p>
    <w:p>
      <w:pPr>
        <w:spacing w:after="120"/>
      </w:pPr>
      <w:r>
        <w:t xml:space="preserve">Los valores normativos no están escritos en las reglas: viven en </w:t>
      </w:r>
      <w:r>
        <w:rPr>
          <w:b/>
          <w:bCs/>
        </w:rPr>
        <w:t xml:space="preserve">Nómina › Nómina PE › Parámetros de Nómina PE</w:t>
      </w:r>
      <w:r>
        <w:t xml:space="preserve">, cada uno con su lista de </w:t>
      </w:r>
      <w:r>
        <w:rPr>
          <w:b/>
          <w:bCs/>
        </w:rPr>
        <w:t xml:space="preserve">vigencias</w:t>
      </w:r>
      <w:r>
        <w:t xml:space="preserve">. La boleta usa el valor vigente a su </w:t>
      </w:r>
      <w:r>
        <w:rPr>
          <w:b/>
          <w:bCs/>
        </w:rPr>
        <w:t xml:space="preserve">fecha final</w:t>
      </w:r>
      <w:r>
        <w:t xml:space="preserve">. Los parámetros se agrupan por categoría.</w:t>
      </w:r>
    </w:p>
    <w:p>
      <w:pPr>
        <w:keepNext/>
        <w:spacing w:after="60" w:before="120"/>
        <w:jc w:val="center"/>
      </w:pPr>
      <w:r>
        <w:drawing>
          <wp:inline distT="0" distB="0" distL="0" distR="0">
            <wp:extent cx="5905500" cy="6457950"/>
            <wp:effectExtent t="0" r="0" b="0" l="0"/>
            <wp:docPr id="1" name="c04_01_parametros_lista" descr="Los 25 parámetros agrupados por categoría, con su valor vigente a hoy." title="Los 25 parámetros agrupados por categoría, con su valor vigente a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6457950"/>
                    </a:xfrm>
                    <a:prstGeom prst="rect">
                      <a:avLst/>
                    </a:prstGeom>
                  </pic:spPr>
                </pic:pic>
              </a:graphicData>
            </a:graphic>
          </wp:inline>
        </w:drawing>
      </w:r>
    </w:p>
    <w:p>
      <w:pPr>
        <w:spacing w:after="200"/>
        <w:jc w:val="center"/>
      </w:pPr>
      <w:r>
        <w:rPr>
          <w:b/>
          <w:bCs/>
          <w:color w:val="714B67"/>
          <w:sz w:val="18"/>
          <w:szCs w:val="18"/>
        </w:rPr>
        <w:t xml:space="preserve">Figura 10. </w:t>
      </w:r>
      <w:r>
        <w:rPr>
          <w:i/>
          <w:iCs/>
          <w:color w:val="555555"/>
          <w:sz w:val="18"/>
          <w:szCs w:val="18"/>
        </w:rPr>
        <w:t xml:space="preserve">Los 25 parámetros agrupados por categoría, con su valor vigente a hoy.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538"/>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Código</w:t>
            </w:r>
          </w:p>
        </w:tc>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35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Vigencias en la base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pe_uit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UIT</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5 350 (01/01/2025) · 5 500 (01/01/2026)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pe_rmv</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mínima vital</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1 130 (01/01/2025) · </w:t>
            </w:r>
            <w:r>
              <w:rPr>
                <w:b/>
                <w:bCs/>
                <w:sz w:val="19"/>
                <w:szCs w:val="19"/>
              </w:rPr>
              <w:t xml:space="preserve">1 230 (01/10/2026, D.S. 015-2026-TR)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pe_asig_familiar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Asignación familiar (10 % de la RMV)</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113 (01/01/2025) · </w:t>
            </w:r>
            <w:r>
              <w:rPr>
                <w:b/>
                <w:bCs/>
                <w:sz w:val="19"/>
                <w:szCs w:val="19"/>
              </w:rPr>
              <w:t xml:space="preserve">123 (01/10/2026)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pe_onp_tasa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pe_afp_aporte</w:t>
            </w:r>
            <w:r>
              <w:rPr>
                <w:sz w:val="19"/>
                <w:szCs w:val="19"/>
              </w:rPr>
              <w:t xml:space="preserve"> / </w:t>
            </w:r>
            <w:r>
              <w:rPr>
                <w:rFonts w:ascii="Consolas" w:cs="Consolas" w:eastAsia="Consolas" w:hAnsi="Consolas"/>
                <w:color w:val="444444"/>
                <w:sz w:val="20"/>
                <w:szCs w:val="20"/>
              </w:rPr>
              <w:t xml:space="preserve">pe_afp_prima_seguro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Fondo AFP / prima de seguro</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 / 1,37 %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pe_afp_comision_flujo</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Comisión sobre flujo por AFP</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Habitat 1,47 %, Integra 1,55 %, Prima 1,60 %, Profuturo 1,69 % (01/01/2025 y 01/01/2026)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pe_afp_rma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máxima asegurable (trimestral, SBS)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12 184,88 · 12 137,47 · 12 184,88 · 12 178,56 (trimestres de 2025) · 12 209,11 · 12 598,91 · 12 672,65 · </w:t>
            </w:r>
            <w:r>
              <w:rPr>
                <w:b/>
                <w:bCs/>
                <w:sz w:val="19"/>
                <w:szCs w:val="19"/>
              </w:rPr>
              <w:t xml:space="preserve">12 732,70</w:t>
            </w:r>
            <w:r>
              <w:rPr>
                <w:sz w:val="19"/>
                <w:szCs w:val="19"/>
              </w:rPr>
              <w:t xml:space="preserve"> (trimestres de 2026)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pe_essalud_tasa</w:t>
            </w:r>
            <w:r>
              <w:rPr>
                <w:sz w:val="19"/>
                <w:szCs w:val="19"/>
              </w:rPr>
              <w:t xml:space="preserve"> / </w:t>
            </w:r>
            <w:r>
              <w:rPr>
                <w:rFonts w:ascii="Consolas" w:cs="Consolas" w:eastAsia="Consolas" w:hAnsi="Consolas"/>
                <w:color w:val="444444"/>
                <w:sz w:val="20"/>
                <w:szCs w:val="20"/>
              </w:rPr>
              <w:t xml:space="preserve">pe_eps_credito_max</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 / tope del crédito EPS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 / 25 %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pe_sctr_salud_tasa</w:t>
            </w:r>
            <w:r>
              <w:rPr>
                <w:sz w:val="19"/>
                <w:szCs w:val="19"/>
              </w:rPr>
              <w:t xml:space="preserve"> / </w:t>
            </w:r>
            <w:r>
              <w:rPr>
                <w:rFonts w:ascii="Consolas" w:cs="Consolas" w:eastAsia="Consolas" w:hAnsi="Consolas"/>
                <w:color w:val="444444"/>
                <w:sz w:val="20"/>
                <w:szCs w:val="20"/>
              </w:rPr>
              <w:t xml:space="preserve">pe_sctr_pension_tasa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SCTR (referenciales, ajustar por cliente)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1,30 % / 1,70 %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pe_sis_microempresa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 de la microempresa por trabajador</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 15 al mes (capítulo 24)</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pe_renta5_deduccion_uit</w:t>
            </w:r>
            <w:r>
              <w:rPr>
                <w:sz w:val="19"/>
                <w:szCs w:val="19"/>
              </w:rPr>
              <w:t xml:space="preserve"> / </w:t>
            </w:r>
            <w:r>
              <w:rPr>
                <w:rFonts w:ascii="Consolas" w:cs="Consolas" w:eastAsia="Consolas" w:hAnsi="Consolas"/>
                <w:color w:val="444444"/>
                <w:sz w:val="20"/>
                <w:szCs w:val="20"/>
              </w:rPr>
              <w:t xml:space="preserve">pe_renta5_tramos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Renta de 5.ª</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 UIT; 8 %, 14 %, 17 %, 20 % y 30 % (hasta 5, 20, 35, 45 UIT y el exceso)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pe_grati_bono_essalud</w:t>
            </w:r>
            <w:r>
              <w:rPr>
                <w:sz w:val="19"/>
                <w:szCs w:val="19"/>
              </w:rPr>
              <w:t xml:space="preserve"> / </w:t>
            </w:r>
            <w:r>
              <w:rPr>
                <w:rFonts w:ascii="Consolas" w:cs="Consolas" w:eastAsia="Consolas" w:hAnsi="Consolas"/>
                <w:color w:val="444444"/>
                <w:sz w:val="20"/>
                <w:szCs w:val="20"/>
              </w:rPr>
              <w:t xml:space="preserve">pe_grati_bono_eps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Bonificación extraordinaria (Ley 30334)</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 / 6,75 %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pe_regimen_factores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Factores por régimen laboral</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general 1,0 / 30 / 30; pequeña 0,5 / 15 / 15; micro (gratificación, días de CTS, días de vacaciones)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pe_hhee_recargo_1</w:t>
            </w:r>
            <w:r>
              <w:rPr>
                <w:sz w:val="19"/>
                <w:szCs w:val="19"/>
              </w:rPr>
              <w:t xml:space="preserve"> / </w:t>
            </w:r>
            <w:r>
              <w:rPr>
                <w:rFonts w:ascii="Consolas" w:cs="Consolas" w:eastAsia="Consolas" w:hAnsi="Consolas"/>
                <w:color w:val="444444"/>
                <w:sz w:val="20"/>
                <w:szCs w:val="20"/>
              </w:rPr>
              <w:t xml:space="preserve">_2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extra</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 / 35 %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pe_nocturna_sobretasa</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Sobretasa nocturna sobre la RMV</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35 %</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pe_senati_tasa</w:t>
            </w:r>
            <w:r>
              <w:rPr>
                <w:sz w:val="19"/>
                <w:szCs w:val="19"/>
              </w:rPr>
              <w:t xml:space="preserve"> / </w:t>
            </w:r>
            <w:r>
              <w:rPr>
                <w:rFonts w:ascii="Consolas" w:cs="Consolas" w:eastAsia="Consolas" w:hAnsi="Consolas"/>
                <w:color w:val="444444"/>
                <w:sz w:val="20"/>
                <w:szCs w:val="20"/>
              </w:rPr>
              <w:t xml:space="preserve">pe_cuota_sindical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 / cuota sindical</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0,75 % / 1 %</w:t>
            </w:r>
          </w:p>
        </w:tc>
      </w:tr>
    </w:tbl>
    <w:p>
      <w:pPr>
        <w:pBdr>
          <w:left w:val="single" w:color="E08A1E" w:sz="18" w:space="8"/>
        </w:pBdr>
        <w:shd w:fill="FDF2E6" w:color="auto" w:val="clear"/>
        <w:spacing w:after="160" w:before="120"/>
        <w:ind w:left="120" w:right="120"/>
      </w:pPr>
      <w:r>
        <w:rPr>
          <w:b/>
          <w:bCs/>
          <w:color w:val="E08A1E"/>
        </w:rPr>
        <w:t xml:space="preserve">Importante: </w:t>
      </w:r>
      <w:r>
        <w:t xml:space="preserve">Las vigencias de 2025 (comisión AFP y las 8 RMA trimestrales de 2025–2026) y la RMV 1 230 / AF 123 de octubre de 2026 </w:t>
      </w:r>
      <w:r>
        <w:rPr>
          <w:b/>
          <w:bCs/>
        </w:rPr>
        <w:t xml:space="preserve">ya vienen en el módulo</w:t>
      </w:r>
      <w:r>
        <w:t xml:space="preserve"> (C-02). En el v1 se cargaban a mano y la nómina de 2025 no se podía calcular. Una actualización que encuentra una vigencia cargada a mano en la misma fecha la adopta y avisa en el log si el valor difiere. La comisión de enero a julio de 2025 repite la de 2026: contrástela con el histórico de la SBS si recalcula ese periodo.</w:t>
      </w:r>
    </w:p>
    <w:p>
      <w:pPr>
        <w:keepNext/>
        <w:spacing w:after="60" w:before="120"/>
        <w:jc w:val="center"/>
      </w:pPr>
      <w:r>
        <w:drawing>
          <wp:inline distT="0" distB="0" distL="0" distR="0">
            <wp:extent cx="5905500" cy="6457950"/>
            <wp:effectExtent t="0" r="0" b="0" l="0"/>
            <wp:docPr id="1" name="c04_02_parametro_rmv" descr="RMV con sus dos vigencias: 1 130 desde el 01/01/2025 y 1 230 desde el 01/10/2026." title="RMV con sus dos vigencias: 1 130 desde el 01/01/2025 y 1 230 desde el 01/10/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6457950"/>
                    </a:xfrm>
                    <a:prstGeom prst="rect">
                      <a:avLst/>
                    </a:prstGeom>
                  </pic:spPr>
                </pic:pic>
              </a:graphicData>
            </a:graphic>
          </wp:inline>
        </w:drawing>
      </w:r>
    </w:p>
    <w:p>
      <w:pPr>
        <w:spacing w:after="200"/>
        <w:jc w:val="center"/>
      </w:pPr>
      <w:r>
        <w:rPr>
          <w:b/>
          <w:bCs/>
          <w:color w:val="714B67"/>
          <w:sz w:val="18"/>
          <w:szCs w:val="18"/>
        </w:rPr>
        <w:t xml:space="preserve">Figura 11. </w:t>
      </w:r>
      <w:r>
        <w:rPr>
          <w:i/>
          <w:iCs/>
          <w:color w:val="555555"/>
          <w:sz w:val="18"/>
          <w:szCs w:val="18"/>
        </w:rPr>
        <w:t xml:space="preserve">RMV con sus dos vigencias: 1 130 desde el 01/01/2025 y 1 230 desde el 01/10/2026.</w:t>
      </w:r>
    </w:p>
    <w:p>
      <w:pPr>
        <w:keepNext/>
        <w:spacing w:after="60" w:before="120"/>
        <w:jc w:val="center"/>
      </w:pPr>
      <w:r>
        <w:drawing>
          <wp:inline distT="0" distB="0" distL="0" distR="0">
            <wp:extent cx="5905500" cy="3324225"/>
            <wp:effectExtent t="0" r="0" b="0" l="0"/>
            <wp:docPr id="1" name="c04_03_parametro_rma" descr="RMA: una vigencia por trimestre de 2025 y 2026." title="RMA: una vigencia por trimestre de 2025 y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 </w:t>
      </w:r>
      <w:r>
        <w:rPr>
          <w:i/>
          <w:iCs/>
          <w:color w:val="555555"/>
          <w:sz w:val="18"/>
          <w:szCs w:val="18"/>
        </w:rPr>
        <w:t xml:space="preserve">RMA: una vigencia por trimestre de 2025 y 2026.</w:t>
      </w:r>
    </w:p>
    <w:p>
      <w:pPr>
        <w:pStyle w:val="Heading2"/>
      </w:pPr>
      <w:bookmarkStart w:name="t14" w:id="1"/>
      <w:r>
        <w:t xml:space="preserve">4.1 Registrar una vigencia nueva con el editor</w:t>
      </w:r>
      <w:bookmarkEnd w:id="1"/>
    </w:p>
    <w:p>
      <w:pPr>
        <w:spacing w:after="120"/>
      </w:pPr>
      <w:r>
        <w:t xml:space="preserve">Las tasas, comisiones, tramos y factores ya no se escriben como texto: el parámetro tiene el botón </w:t>
      </w:r>
      <w:r>
        <w:rPr>
          <w:b/>
          <w:bCs/>
        </w:rPr>
        <w:t xml:space="preserve">Nueva vigencia</w:t>
      </w:r>
      <w:r>
        <w:t xml:space="preserve"> y cada vigencia el botón </w:t>
      </w:r>
      <w:r>
        <w:rPr>
          <w:b/>
          <w:bCs/>
        </w:rPr>
        <w:t xml:space="preserve">Editar en tabla</w:t>
      </w:r>
      <w:r>
        <w:t xml:space="preserve"> (U-08).</w:t>
      </w:r>
    </w:p>
    <w:p>
      <w:pPr>
        <w:pStyle w:val="ListParagraph"/>
        <w:numPr>
          <w:ilvl w:val="0"/>
          <w:numId w:val="5"/>
        </w:numPr>
        <w:spacing w:after="80"/>
      </w:pPr>
      <w:r>
        <w:t xml:space="preserve">Abra el parámetro, por ejemplo </w:t>
      </w:r>
      <w:r>
        <w:rPr>
          <w:b/>
          <w:bCs/>
        </w:rPr>
        <w:t xml:space="preserve">AFP - Comisión sobre flujo por administradora</w:t>
      </w:r>
      <w:r>
        <w:t xml:space="preserve">.</w:t>
      </w:r>
    </w:p>
    <w:p>
      <w:pPr>
        <w:pStyle w:val="ListParagraph"/>
        <w:numPr>
          <w:ilvl w:val="0"/>
          <w:numId w:val="5"/>
        </w:numPr>
        <w:spacing w:after="80"/>
      </w:pPr>
      <w:r>
        <w:t xml:space="preserve">Pulse </w:t>
      </w:r>
      <w:r>
        <w:rPr>
          <w:b/>
          <w:bCs/>
        </w:rPr>
        <w:t xml:space="preserve">Nueva vigencia</w:t>
      </w:r>
      <w:r>
        <w:t xml:space="preserve">. El diálogo parte de la vigencia que rige hoy y muestra una fila por AFP.</w:t>
      </w:r>
    </w:p>
    <w:p>
      <w:pPr>
        <w:pStyle w:val="ListParagraph"/>
        <w:numPr>
          <w:ilvl w:val="0"/>
          <w:numId w:val="5"/>
        </w:numPr>
        <w:spacing w:after="80"/>
      </w:pPr>
      <w:r>
        <w:t xml:space="preserve">Escriba </w:t>
      </w:r>
      <w:r>
        <w:rPr>
          <w:b/>
          <w:bCs/>
        </w:rPr>
        <w:t xml:space="preserve">Vigente desde</w:t>
      </w:r>
      <w:r>
        <w:t xml:space="preserve"> y las tasas </w:t>
      </w:r>
      <w:r>
        <w:rPr>
          <w:b/>
          <w:bCs/>
        </w:rPr>
        <w:t xml:space="preserve">en porcentaje</w:t>
      </w:r>
      <w:r>
        <w:t xml:space="preserve">: </w:t>
      </w:r>
      <w:r>
        <w:rPr>
          <w:rFonts w:ascii="Consolas" w:cs="Consolas" w:eastAsia="Consolas" w:hAnsi="Consolas"/>
          <w:color w:val="444444"/>
          <w:sz w:val="20"/>
          <w:szCs w:val="20"/>
        </w:rPr>
        <w:t xml:space="preserve">1.47</w:t>
      </w:r>
      <w:r>
        <w:t xml:space="preserve"> para 1,47 %. Abajo se ve el texto que se guardará.</w:t>
      </w:r>
    </w:p>
    <w:p>
      <w:pPr>
        <w:pStyle w:val="ListParagraph"/>
        <w:numPr>
          <w:ilvl w:val="0"/>
          <w:numId w:val="5"/>
        </w:numPr>
        <w:spacing w:after="80"/>
      </w:pPr>
      <w:r>
        <w:t xml:space="preserve">Pulse </w:t>
      </w:r>
      <w:r>
        <w:rPr>
          <w:b/>
          <w:bCs/>
        </w:rPr>
        <w:t xml:space="preserve">Guardar vigencia</w:t>
      </w:r>
      <w:r>
        <w:t xml:space="preserve">. Las anteriores se conservan: el recálculo de un periodo pasado sigue usando la suya.</w:t>
      </w:r>
    </w:p>
    <w:p>
      <w:pPr>
        <w:keepNext/>
        <w:spacing w:after="60" w:before="120"/>
        <w:jc w:val="center"/>
      </w:pPr>
      <w:r>
        <w:drawing>
          <wp:inline distT="0" distB="0" distL="0" distR="0">
            <wp:extent cx="5905500" cy="3324225"/>
            <wp:effectExtent t="0" r="0" b="0" l="0"/>
            <wp:docPr id="1" name="c04_04_parametro_comision_afp" descr="Parámetro de comisión AFP: botón «Nueva vigencia» y, en cada vigencia, «Editar en tabla»." title="Parámetro de comisión AFP: botón «Nueva vigencia» y, en cada vigencia, «Editar en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13. </w:t>
      </w:r>
      <w:r>
        <w:rPr>
          <w:i/>
          <w:iCs/>
          <w:color w:val="555555"/>
          <w:sz w:val="18"/>
          <w:szCs w:val="18"/>
        </w:rPr>
        <w:t xml:space="preserve">Parámetro de comisión AFP: botón «Nueva vigencia» y, en cada vigencia, «Editar en tabla».</w:t>
      </w:r>
    </w:p>
    <w:p>
      <w:pPr>
        <w:keepNext/>
        <w:spacing w:after="60" w:before="120"/>
        <w:jc w:val="center"/>
      </w:pPr>
      <w:r>
        <w:drawing>
          <wp:inline distT="0" distB="0" distL="0" distR="0">
            <wp:extent cx="5905500" cy="3324225"/>
            <wp:effectExtent t="0" r="0" b="0" l="0"/>
            <wp:docPr id="1" name="c04_05_nueva_vigencia_comision_afp" descr="Nueva vigencia: una fila por AFP con su tasa en porcentaje y el texto que se guardará. (Pantalla de muestra: se canceló sin guardar.)" title="Nueva vigencia: una fila por AFP con su tasa en porcentaje y el texto que se guardará. (Pantalla de muestra: se canceló sin guar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14. </w:t>
      </w:r>
      <w:r>
        <w:rPr>
          <w:i/>
          <w:iCs/>
          <w:color w:val="555555"/>
          <w:sz w:val="18"/>
          <w:szCs w:val="18"/>
        </w:rPr>
        <w:t xml:space="preserve">Nueva vigencia: una fila por AFP con su tasa en porcentaje y el texto que se guardará. (Pantalla de muestra: se canceló sin guardar.)</w:t>
      </w:r>
    </w:p>
    <w:p>
      <w:pPr>
        <w:spacing w:after="120"/>
      </w:pPr>
      <w:r>
        <w:t xml:space="preserve">Para los tramos de la renta de 5.ª, </w:t>
      </w:r>
      <w:r>
        <w:rPr>
          <w:b/>
          <w:bCs/>
        </w:rPr>
        <w:t xml:space="preserve">Editar en tabla</w:t>
      </w:r>
      <w:r>
        <w:t xml:space="preserve"> muestra una fila por tramo («Hasta (UIT)» y «Tasa (%)»). Las filas se agregan, se quitan y se ordenan; el último tramo no tiene tope y se deja en 0.</w:t>
      </w:r>
    </w:p>
    <w:p>
      <w:pPr>
        <w:keepNext/>
        <w:spacing w:after="60" w:before="120"/>
        <w:jc w:val="center"/>
      </w:pPr>
      <w:r>
        <w:drawing>
          <wp:inline distT="0" distB="0" distL="0" distR="0">
            <wp:extent cx="5905500" cy="3324225"/>
            <wp:effectExtent t="0" r="0" b="0" l="0"/>
            <wp:docPr id="1" name="c04_06_editar_tramos_en_tabla" descr="Tramos de la renta de 5.ª en tabla: 5, 20, 35 y 45 UIT, y el último sin tope. (Pantalla de muestra: se canceló.)" title="Tramos de la renta de 5.ª en tabla: 5, 20, 35 y 45 UIT, y el último sin tope. (Pantalla de muestra: se cancel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15. </w:t>
      </w:r>
      <w:r>
        <w:rPr>
          <w:i/>
          <w:iCs/>
          <w:color w:val="555555"/>
          <w:sz w:val="18"/>
          <w:szCs w:val="18"/>
        </w:rPr>
        <w:t xml:space="preserve">Tramos de la renta de 5.ª en tabla: 5, 20, 35 y 45 UIT, y el último sin tope. (Pantalla de muestra: se canceló.)</w:t>
      </w:r>
    </w:p>
    <w:p>
      <w:pPr>
        <w:pBdr>
          <w:left w:val="single" w:color="2E86AB" w:sz="18" w:space="8"/>
        </w:pBdr>
        <w:shd w:fill="EAF4F8" w:color="auto" w:val="clear"/>
        <w:spacing w:after="160" w:before="120"/>
        <w:ind w:left="120" w:right="120"/>
      </w:pPr>
      <w:r>
        <w:rPr>
          <w:b/>
          <w:bCs/>
          <w:color w:val="2E86AB"/>
        </w:rPr>
        <w:t xml:space="preserve">Nota: </w:t>
      </w:r>
      <w:r>
        <w:t xml:space="preserve">El editor no abre ni redondea una vigencia que no puede mostrar tal cual, por ejemplo una con más decimales que su columna. En ese caso, use el texto.</w:t>
      </w:r>
    </w:p>
    <w:p>
      <w:pPr>
        <w:pStyle w:val="Heading2"/>
      </w:pPr>
      <w:bookmarkStart w:name="t15" w:id="1"/>
      <w:r>
        <w:t xml:space="preserve">4.2 Validación al guardar</w:t>
      </w:r>
      <w:bookmarkEnd w:id="1"/>
    </w:p>
    <w:p>
      <w:pPr>
        <w:spacing w:after="120"/>
      </w:pPr>
      <w:r>
        <w:t xml:space="preserve">Cada parámetro tiene un </w:t>
      </w:r>
      <w:r>
        <w:rPr>
          <w:b/>
          <w:bCs/>
        </w:rPr>
        <w:t xml:space="preserve">Tipo de valor</w:t>
      </w:r>
      <w:r>
        <w:t xml:space="preserve"> (monto, tasa, comisión por AFP, tramos de renta, factores por régimen) y el valor se comprueba al guardar (V-01): números con punto decimal y sin separador de miles, tasas en fracción (0.13 = 13 %) y, en diccionarios y tramos, todas las claves que leen las reglas. Un valor mal escrito ya no llega a las boletas.</w:t>
      </w:r>
    </w:p>
    <w:p>
      <w:pPr>
        <w:keepNext/>
        <w:spacing w:after="60" w:before="120"/>
        <w:jc w:val="center"/>
      </w:pPr>
      <w:r>
        <w:drawing>
          <wp:inline distT="0" distB="0" distL="0" distR="0">
            <wp:extent cx="5905500" cy="3324225"/>
            <wp:effectExtent t="0" r="0" b="0" l="0"/>
            <wp:docPr id="1" name="c04_07_valor_rechazado" descr="Escribir «1,230» en la RMV se rechaza: «Use punto decimal y sin separador de miles: «1,230» se leería como (1, 230)». (Se descartó.)" title="Escribir «1,230» en la RMV se rechaza: «Use punto decimal y sin separador de miles: «1,230» se leería como (1, 230)». (Se descart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16. </w:t>
      </w:r>
      <w:r>
        <w:rPr>
          <w:i/>
          <w:iCs/>
          <w:color w:val="555555"/>
          <w:sz w:val="18"/>
          <w:szCs w:val="18"/>
        </w:rPr>
        <w:t xml:space="preserve">Escribir «1,230» en la RMV se rechaza: «Use punto decimal y sin separador de miles: «1,230» se leería como (1, 230)». (Se descartó.)</w:t>
      </w:r>
    </w:p>
    <w:p>
      <w:pPr>
        <w:pStyle w:val="Heading2"/>
      </w:pPr>
      <w:bookmarkStart w:name="t16" w:id="1"/>
      <w:r>
        <w:t xml:space="preserve">4.3 Avisos de vigencias</w:t>
      </w:r>
      <w:bookmarkEnd w:id="1"/>
    </w:p>
    <w:p>
      <w:pPr>
        <w:spacing w:after="120"/>
      </w:pPr>
      <w:r>
        <w:t xml:space="preserve">Dos avisos impiden calcular con un parámetro atrasado:</w:t>
      </w:r>
    </w:p>
    <w:p>
      <w:pPr>
        <w:pStyle w:val="ListParagraph"/>
        <w:numPr>
          <w:ilvl w:val="0"/>
          <w:numId w:val="2"/>
        </w:numPr>
        <w:spacing w:after="60"/>
      </w:pPr>
      <w:r>
        <w:rPr>
          <w:b/>
          <w:bCs/>
        </w:rPr>
        <w:t xml:space="preserve">Banda amarilla de RMA, UIT y feriados</w:t>
      </w:r>
      <w:r>
        <w:t xml:space="preserve"> (V-03, V-05), arriba de las listas de boletas y lotes y en el formulario de la boleta y del lote en borrador. Aparece cuando la RMA vigente a la fecha tiene más de 95 días o falta, cuando la UIT vigente es de un año anterior o cuando no hay ningún feriado registrado en el año. Con todo al día no hay banda: hoy, en FM SYSTEMS, no aparece.</w:t>
      </w:r>
    </w:p>
    <w:p>
      <w:pPr>
        <w:pStyle w:val="ListParagraph"/>
        <w:numPr>
          <w:ilvl w:val="0"/>
          <w:numId w:val="2"/>
        </w:numPr>
        <w:spacing w:after="60"/>
      </w:pPr>
      <w:r>
        <w:rPr>
          <w:b/>
          <w:bCs/>
        </w:rPr>
        <w:t xml:space="preserve">Vigencia faltante</w:t>
      </w:r>
      <w:r>
        <w:t xml:space="preserve"> (V-02): si una regla pide un parámetro sin vigencia a la fecha, la boleta no calcula y el mensaje lo dice en lenguaje funcional: «Falta registrar «AFP - Comisión sobre flujo por administradora» (pe_afp_comision_flujo) vigente al 31/07/2026. Regístrelo en Nómina › Nómina PE › Parámetros de Nómina PE. Boleta: …, regla AFP - Comisión (AFP_COM_001)». Si la fecha es anterior a la primera vigencia, también lo dice.</w:t>
      </w:r>
    </w:p>
    <w:p>
      <w:pPr>
        <w:keepNext/>
        <w:spacing w:after="60" w:before="120"/>
        <w:jc w:val="center"/>
      </w:pPr>
      <w:r>
        <w:drawing>
          <wp:inline distT="0" distB="0" distL="0" distR="0">
            <wp:extent cx="5905500" cy="3324225"/>
            <wp:effectExtent t="0" r="0" b="0" l="0"/>
            <wp:docPr id="1" name="c04_08_boleta_2027_alertas_rma_uit" descr="Boleta de enero de 2027 en borrador (no se guardó): la banda avisa que la RMA es del 01/10/2026, que faltan los feriados de 2027 y que falta la UIT de 2027, con lo que se usaría la de 2026 (5 500)." title="Boleta de enero de 2027 en borrador (no se guardó): la banda avisa que la RMA es del 01/10/2026, que faltan los feriados de 2027 y que falta la UIT de 2027, con lo que se usaría la de 2026 (5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17. </w:t>
      </w:r>
      <w:r>
        <w:rPr>
          <w:i/>
          <w:iCs/>
          <w:color w:val="555555"/>
          <w:sz w:val="18"/>
          <w:szCs w:val="18"/>
        </w:rPr>
        <w:t xml:space="preserve">Boleta de enero de 2027 en borrador (no se guardó): la banda avisa que la RMA es del 01/10/2026, que faltan los feriados de 2027 y que falta la UIT de 2027, con lo que se usaría la de 2026 (5 500).</w:t>
      </w:r>
    </w:p>
    <w:p>
      <w:pPr>
        <w:pBdr>
          <w:left w:val="single" w:color="714B67" w:sz="18" w:space="8"/>
        </w:pBdr>
        <w:shd w:fill="F3EEF2" w:color="auto" w:val="clear"/>
        <w:spacing w:after="160" w:before="120"/>
        <w:ind w:left="120" w:right="120"/>
      </w:pPr>
      <w:r>
        <w:rPr>
          <w:b/>
          <w:bCs/>
          <w:color w:val="714B67"/>
        </w:rPr>
        <w:t xml:space="preserve">Para implementadores: </w:t>
      </w:r>
      <w:r>
        <w:t xml:space="preserve">Revise los parámetros al inicio de cada trimestre (RMA de la SBS), cada 1 de enero (UIT) y cuando cambie la RMV. La banda le recuerda la RMA y la UIT, pero no la RMV ni las comisiones AFP.</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C-02, U-08, V-01, V-02, V-03.</w:t>
      </w:r>
    </w:p>
    <w:p>
      <w:pPr>
        <w:pStyle w:val="Heading1"/>
        <w:pageBreakBefore/>
      </w:pPr>
      <w:bookmarkStart w:name="t17" w:id="1"/>
      <w:r>
        <w:t xml:space="preserve">5. Maestros SUNAT y tablas del T-Registro</w:t>
      </w:r>
      <w:bookmarkEnd w:id="1"/>
    </w:p>
    <w:p>
      <w:pPr>
        <w:spacing w:after="120"/>
      </w:pPr>
      <w:r>
        <w:t xml:space="preserve">Las tablas de la Planilla Electrónica se cargan con el módulo y las usan la ficha del trabajador, el contrato, el PLAME y el T-Registro. En la versión 2 cada maestro se muestra como </w:t>
      </w:r>
      <w:r>
        <w:rPr>
          <w:b/>
          <w:bCs/>
        </w:rPr>
        <w:t xml:space="preserve">«[código] descripción»</w:t>
      </w:r>
      <w:r>
        <w:t xml:space="preserve"> y se busca por código, abreviatura o descripción (U-04).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400"/>
        <w:gridCol w:w="28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Tabla</w:t>
            </w:r>
          </w:p>
        </w:tc>
        <w:tc>
          <w:tcPr>
            <w:tcW w:type="dxa" w:w="2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Menú (Nómina PE › Maestros SUNAT)</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Registros</w:t>
            </w:r>
          </w:p>
        </w:tc>
        <w:tc>
          <w:tcPr>
            <w:tcW w:type="dxa" w:w="2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Dónde se usa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T11 Sistemas pensionarios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Sistemas pensionarios (T11)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Ficha: sistema pensionario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T33 Regímenes laborales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Regímenes laborales (T33)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 régimen laboral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T12 Tipo de contrato / condición laboral</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Tipos de contrato (T12)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 activos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 Ahora con los datos del Anexo 2 de SUNAT del 07/10/2026 (Q-02); el 20 (agrario) está archivado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T30 Ocupaciones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Ocupaciones (T30)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4 644</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 ocupación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T17 Motivos de baja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Motivos de baja (T17)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 motivo del cese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T9 Situación educativa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Situación educativa (T9)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Ficha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T34</w:t>
            </w:r>
            <w:r>
              <w:rPr>
                <w:sz w:val="19"/>
                <w:szCs w:val="19"/>
              </w:rPr>
              <w:t xml:space="preserve"> Instituciones y carreras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Instituciones y carreras (T34)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5 925</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Ficha: estudios superiores (T-Registro)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T28</w:t>
            </w:r>
            <w:r>
              <w:rPr>
                <w:sz w:val="19"/>
                <w:szCs w:val="19"/>
              </w:rPr>
              <w:t xml:space="preserve"> Ubigeo RENIEC</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Ubigeo RENIEC (T28)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1 892</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Ficha: distrito del domicilio (T-Registro)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T35 Situaciones especiales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Situaciones especiales (T35)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T19</w:t>
            </w:r>
            <w:r>
              <w:rPr>
                <w:sz w:val="19"/>
                <w:szCs w:val="19"/>
              </w:rPr>
              <w:t xml:space="preserve"> Vínculo familiar</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Vínculos familiares (T19)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parentescos, 4 con código</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Derechohabientes (T-Registro)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T22 Conceptos PLAME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Conceptos PLAME (T22)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293</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Reglas salariales y PLAME</w:t>
            </w:r>
          </w:p>
        </w:tc>
      </w:tr>
    </w:tbl>
    <w:p>
      <w:pPr>
        <w:spacing w:after="120"/>
      </w:pPr>
      <w:r>
        <w:t xml:space="preserve">Otras tablas son listas de selección dentro del formulario, sin menú propio: </w:t>
      </w:r>
      <w:r>
        <w:rPr>
          <w:b/>
          <w:bCs/>
        </w:rPr>
        <w:t xml:space="preserve">T3</w:t>
      </w:r>
      <w:r>
        <w:t xml:space="preserve"> tipo de documento (ficha), </w:t>
      </w:r>
      <w:r>
        <w:rPr>
          <w:b/>
          <w:bCs/>
        </w:rPr>
        <w:t xml:space="preserve">T8</w:t>
      </w:r>
      <w:r>
        <w:t xml:space="preserve"> tipo de trabajador y </w:t>
      </w:r>
      <w:r>
        <w:rPr>
          <w:b/>
          <w:bCs/>
        </w:rPr>
        <w:t xml:space="preserve">T24</w:t>
      </w:r>
      <w:r>
        <w:t xml:space="preserve"> categoría ocupacional (contrato), </w:t>
      </w:r>
      <w:r>
        <w:rPr>
          <w:b/>
          <w:bCs/>
        </w:rPr>
        <w:t xml:space="preserve">T14</w:t>
      </w:r>
      <w:r>
        <w:t xml:space="preserve"> código de la EPS (plan EPS), </w:t>
      </w:r>
      <w:r>
        <w:rPr>
          <w:b/>
          <w:bCs/>
        </w:rPr>
        <w:t xml:space="preserve">T20</w:t>
      </w:r>
      <w:r>
        <w:t xml:space="preserve"> motivo de baja del derechohabiente y </w:t>
      </w:r>
      <w:r>
        <w:rPr>
          <w:b/>
          <w:bCs/>
        </w:rPr>
        <w:t xml:space="preserve">T27</w:t>
      </w:r>
      <w:r>
        <w:t xml:space="preserve"> documento que acredita el vínculo.</w:t>
      </w:r>
    </w:p>
    <w:p>
      <w:pPr>
        <w:keepNext/>
        <w:spacing w:after="60" w:before="120"/>
        <w:jc w:val="center"/>
      </w:pPr>
      <w:r>
        <w:drawing>
          <wp:inline distT="0" distB="0" distL="0" distR="0">
            <wp:extent cx="5905500" cy="3324225"/>
            <wp:effectExtent t="0" r="0" b="0" l="0"/>
            <wp:docPr id="1" name="c05_01_t22_conceptos_plame" descr="Conceptos PLAME (T22): código, descripción y a qué tributos o aportes está afecto cada concepto." title="Conceptos PLAME (T22): código, descripción y a qué tributos o aportes está afecto cada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18. </w:t>
      </w:r>
      <w:r>
        <w:rPr>
          <w:i/>
          <w:iCs/>
          <w:color w:val="555555"/>
          <w:sz w:val="18"/>
          <w:szCs w:val="18"/>
        </w:rPr>
        <w:t xml:space="preserve">Conceptos PLAME (T22): código, descripción y a qué tributos o aportes está afecto cada concepto.</w:t>
      </w:r>
    </w:p>
    <w:p>
      <w:pPr>
        <w:keepNext/>
        <w:spacing w:after="60" w:before="120"/>
        <w:jc w:val="center"/>
      </w:pPr>
      <w:r>
        <w:drawing>
          <wp:inline distT="0" distB="0" distL="0" distR="0">
            <wp:extent cx="5905500" cy="3324225"/>
            <wp:effectExtent t="0" r="0" b="0" l="0"/>
            <wp:docPr id="1" name="c05_03_busqueda_por_codigo" descr="Búsqueda por código: «0121» encuentra «Remuneración o jornal básico»." title="Búsqueda por código: «0121» encuentra «Remuneración o jornal bá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19. </w:t>
      </w:r>
      <w:r>
        <w:rPr>
          <w:i/>
          <w:iCs/>
          <w:color w:val="555555"/>
          <w:sz w:val="18"/>
          <w:szCs w:val="18"/>
        </w:rPr>
        <w:t xml:space="preserve">Búsqueda por código: «0121» encuentra «Remuneración o jornal básico».</w:t>
      </w:r>
    </w:p>
    <w:p>
      <w:pPr>
        <w:keepNext/>
        <w:spacing w:after="60" w:before="120"/>
        <w:jc w:val="center"/>
      </w:pPr>
      <w:r>
        <w:drawing>
          <wp:inline distT="0" distB="0" distL="0" distR="0">
            <wp:extent cx="5905500" cy="3324225"/>
            <wp:effectExtent t="0" r="0" b="0" l="0"/>
            <wp:docPr id="1" name="c05_02_t11_sistemas_pensionarios" descr="Sistemas pensionarios (T11): el 02 es la ONP; las AFP llevan su clave para la comisión." title="Sistemas pensionarios (T11): el 02 es la ONP; las AFP llevan su clave para la com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20. </w:t>
      </w:r>
      <w:r>
        <w:rPr>
          <w:i/>
          <w:iCs/>
          <w:color w:val="555555"/>
          <w:sz w:val="18"/>
          <w:szCs w:val="18"/>
        </w:rPr>
        <w:t xml:space="preserve">Sistemas pensionarios (T11): el 02 es la ONP; las AFP llevan su clave para la comisión.</w:t>
      </w:r>
    </w:p>
    <w:p>
      <w:pPr>
        <w:keepNext/>
        <w:spacing w:after="60" w:before="120"/>
        <w:jc w:val="center"/>
      </w:pPr>
      <w:r>
        <w:drawing>
          <wp:inline distT="0" distB="0" distL="0" distR="0">
            <wp:extent cx="5905500" cy="3324225"/>
            <wp:effectExtent t="0" r="0" b="0" l="0"/>
            <wp:docPr id="1" name="c05_04_t12_tipos_contrato" descr="Tipos de contrato (T12): código, abreviatura y descripción del Anexo 2." title="Tipos de contrato (T12): código, abreviatura y descripción del Anex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21. </w:t>
      </w:r>
      <w:r>
        <w:rPr>
          <w:i/>
          <w:iCs/>
          <w:color w:val="555555"/>
          <w:sz w:val="18"/>
          <w:szCs w:val="18"/>
        </w:rPr>
        <w:t xml:space="preserve">Tipos de contrato (T12): código, abreviatura y descripción del Anexo 2.</w:t>
      </w:r>
    </w:p>
    <w:p>
      <w:pPr>
        <w:keepNext/>
        <w:spacing w:after="60" w:before="120"/>
        <w:jc w:val="center"/>
      </w:pPr>
      <w:r>
        <w:drawing>
          <wp:inline distT="0" distB="0" distL="0" distR="0">
            <wp:extent cx="5905500" cy="3324225"/>
            <wp:effectExtent t="0" r="0" b="0" l="0"/>
            <wp:docPr id="1" name="c05_08_t33_regimenes" descr="Regímenes laborales (T33)." title="Regímenes laborales (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22. </w:t>
      </w:r>
      <w:r>
        <w:rPr>
          <w:i/>
          <w:iCs/>
          <w:color w:val="555555"/>
          <w:sz w:val="18"/>
          <w:szCs w:val="18"/>
        </w:rPr>
        <w:t xml:space="preserve">Regímenes laborales (T33).</w:t>
      </w:r>
    </w:p>
    <w:p>
      <w:pPr>
        <w:pStyle w:val="Heading2"/>
      </w:pPr>
      <w:bookmarkStart w:name="t18" w:id="1"/>
      <w:r>
        <w:t xml:space="preserve">5.1 Tablas nuevas del T-Registro</w:t>
      </w:r>
      <w:bookmarkEnd w:id="1"/>
    </w:p>
    <w:p>
      <w:pPr>
        <w:keepNext/>
        <w:spacing w:after="60" w:before="120"/>
        <w:jc w:val="center"/>
      </w:pPr>
      <w:r>
        <w:drawing>
          <wp:inline distT="0" distB="0" distL="0" distR="0">
            <wp:extent cx="5905500" cy="3324225"/>
            <wp:effectExtent t="0" r="0" b="0" l="0"/>
            <wp:docPr id="1" name="c05_05_t19_vinculos" descr="Vínculos familiares (T19): Cónyuge 02, Pareja (concubina) 03, Hijo(a) 05 y Gestante 04. Padre, Hermano(a), Primo(a), Abuelo(a) y Nieto(a) no son derechohabientes de EsSalud y no tienen código." title="Vínculos familiares (T19): Cónyuge 02, Pareja (concubina) 03, Hijo(a) 05 y Gestante 04. Padre, Hermano(a), Primo(a), Abuelo(a) y Nieto(a) no son derechohabientes de EsSalud y no tienen cód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23. </w:t>
      </w:r>
      <w:r>
        <w:rPr>
          <w:i/>
          <w:iCs/>
          <w:color w:val="555555"/>
          <w:sz w:val="18"/>
          <w:szCs w:val="18"/>
        </w:rPr>
        <w:t xml:space="preserve">Vínculos familiares (T19): Cónyuge 02, Pareja (concubina) 03, Hijo(a) 05 y Gestante 04. Padre, Hermano(a), Primo(a), Abuelo(a) y Nieto(a) no son derechohabientes de EsSalud y no tienen código.</w:t>
      </w:r>
    </w:p>
    <w:p>
      <w:pPr>
        <w:keepNext/>
        <w:spacing w:after="60" w:before="120"/>
        <w:jc w:val="center"/>
      </w:pPr>
      <w:r>
        <w:drawing>
          <wp:inline distT="0" distB="0" distL="0" distR="0">
            <wp:extent cx="5905500" cy="3324225"/>
            <wp:effectExtent t="0" r="0" b="0" l="0"/>
            <wp:docPr id="1" name="c05_06_t28_ubigeo" descr="Ubigeo RENIEC (T28): 1 892 distritos con su departamento y provincia." title="Ubigeo RENIEC (T28): 1 892 distritos con su departamento y provi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24. </w:t>
      </w:r>
      <w:r>
        <w:rPr>
          <w:i/>
          <w:iCs/>
          <w:color w:val="555555"/>
          <w:sz w:val="18"/>
          <w:szCs w:val="18"/>
        </w:rPr>
        <w:t xml:space="preserve">Ubigeo RENIEC (T28): 1 892 distritos con su departamento y provincia.</w:t>
      </w:r>
    </w:p>
    <w:p>
      <w:pPr>
        <w:keepNext/>
        <w:spacing w:after="60" w:before="120"/>
        <w:jc w:val="center"/>
      </w:pPr>
      <w:r>
        <w:drawing>
          <wp:inline distT="0" distB="0" distL="0" distR="0">
            <wp:extent cx="5905500" cy="3324225"/>
            <wp:effectExtent t="0" r="0" b="0" l="0"/>
            <wp:docPr id="1" name="c05_07_t34_carreras" descr="Instituciones y carreras (T34): 5 925 combinaciones de institución y carrera." title="Instituciones y carreras (T34): 5 925 combinaciones de institución y carr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25. </w:t>
      </w:r>
      <w:r>
        <w:rPr>
          <w:i/>
          <w:iCs/>
          <w:color w:val="555555"/>
          <w:sz w:val="18"/>
          <w:szCs w:val="18"/>
        </w:rPr>
        <w:t xml:space="preserve">Instituciones y carreras (T34): 5 925 combinaciones de institución y carrera.</w:t>
      </w:r>
    </w:p>
    <w:p>
      <w:pPr>
        <w:pBdr>
          <w:left w:val="single" w:color="E08A1E" w:sz="18" w:space="8"/>
        </w:pBdr>
        <w:shd w:fill="FDF2E6" w:color="auto" w:val="clear"/>
        <w:spacing w:after="160" w:before="120"/>
        <w:ind w:left="120" w:right="120"/>
      </w:pPr>
      <w:r>
        <w:rPr>
          <w:b/>
          <w:bCs/>
          <w:color w:val="E08A1E"/>
        </w:rPr>
        <w:t xml:space="preserve">Importante: </w:t>
      </w:r>
      <w:r>
        <w:t xml:space="preserve">Un parentesco sin código de la Tabla 19 no se exporta como derechohabiente: el asistente del T-Registro lo excluye (capítulo 29). Si crea un parentesco propio, póngale el código que corresponda.</w:t>
      </w:r>
    </w:p>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U-04, U-05, Q-02, N-02.</w:t>
      </w:r>
    </w:p>
    <w:p>
      <w:pPr>
        <w:pStyle w:val="Heading1"/>
        <w:pageBreakBefore/>
      </w:pPr>
      <w:bookmarkStart w:name="t19" w:id="1"/>
      <w:r>
        <w:t xml:space="preserve">6. Seguros: EPS, SCTR y Vida Ley</w:t>
      </w:r>
      <w:bookmarkEnd w:id="1"/>
    </w:p>
    <w:p>
      <w:pPr>
        <w:pStyle w:val="Heading2"/>
      </w:pPr>
      <w:bookmarkStart w:name="t20" w:id="1"/>
      <w:r>
        <w:t xml:space="preserve">6.1 Planes EPS</w:t>
      </w:r>
      <w:bookmarkEnd w:id="1"/>
    </w:p>
    <w:p>
      <w:pPr>
        <w:spacing w:after="120"/>
      </w:pPr>
      <w:r>
        <w:rPr>
          <w:b/>
          <w:bCs/>
        </w:rPr>
        <w:t xml:space="preserve">Nómina PE › Seguros y EPS › Planes EPS.</w:t>
      </w:r>
      <w:r>
        <w:t xml:space="preserve"> Cada plan tiene entidad, código de la Tabla 14, vigencia y las tasas del empleador y del trabajador. La lista y la ficha del trabajador muestran el nombre de la entidad (U-01). La regla </w:t>
      </w:r>
      <w:r>
        <w:rPr>
          <w:rFonts w:ascii="Consolas" w:cs="Consolas" w:eastAsia="Consolas" w:hAnsi="Consolas"/>
          <w:color w:val="444444"/>
          <w:sz w:val="20"/>
          <w:szCs w:val="20"/>
        </w:rPr>
        <w:t xml:space="preserve">EPS_CRED_001</w:t>
      </w:r>
      <w:r>
        <w:t xml:space="preserve"> aplica el crédito contra EsSalud, con tope del 25 % del aporte (parámetro </w:t>
      </w:r>
      <w:r>
        <w:rPr>
          <w:rFonts w:ascii="Consolas" w:cs="Consolas" w:eastAsia="Consolas" w:hAnsi="Consolas"/>
          <w:color w:val="444444"/>
          <w:sz w:val="20"/>
          <w:szCs w:val="20"/>
        </w:rPr>
        <w:t xml:space="preserve">pe_eps_credito_max</w:t>
      </w:r>
      <w:r>
        <w:t xml:space="preserve">).</w:t>
      </w:r>
    </w:p>
    <w:p>
      <w:pPr>
        <w:keepNext/>
        <w:spacing w:after="60" w:before="120"/>
        <w:jc w:val="center"/>
      </w:pPr>
      <w:r>
        <w:drawing>
          <wp:inline distT="0" distB="0" distL="0" distR="0">
            <wp:extent cx="5905500" cy="3324225"/>
            <wp:effectExtent t="0" r="0" b="0" l="0"/>
            <wp:docPr id="1" name="c06_01_planes_eps" descr="Planes EPS: «PACIFICO EPS (DEMO)», con tasa del empleador 4,5 % y del trabajador 2 %, y el plan del caso TREGISTRO con su código T14 «2 · Pacífico S.A. EPS»." title="Planes EPS: «PACIFICO EPS (DEMO)», con tasa del empleador 4,5 % y del trabajador 2 %, y el plan del caso TREGISTRO con su código T14 «2 · Pacífico S.A.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26. </w:t>
      </w:r>
      <w:r>
        <w:rPr>
          <w:i/>
          <w:iCs/>
          <w:color w:val="555555"/>
          <w:sz w:val="18"/>
          <w:szCs w:val="18"/>
        </w:rPr>
        <w:t xml:space="preserve">Planes EPS: «PACIFICO EPS (DEMO)», con tasa del empleador 4,5 % y del trabajador 2 %, y el plan del caso TREGISTRO con su código T14 «2 · Pacífico S.A. EPS».</w:t>
      </w:r>
    </w:p>
    <w:p>
      <w:pPr>
        <w:pStyle w:val="Heading2"/>
      </w:pPr>
      <w:bookmarkStart w:name="t21" w:id="1"/>
      <w:r>
        <w:t xml:space="preserve">6.2 SCTR</w:t>
      </w:r>
      <w:bookmarkEnd w:id="1"/>
    </w:p>
    <w:p>
      <w:pPr>
        <w:spacing w:after="120"/>
      </w:pPr>
      <w:r>
        <w:t xml:space="preserve">El SCTR se indica en la ficha del trabajador (pestaña Nómina PE, grupo Salud). Marque </w:t>
      </w:r>
      <w:r>
        <w:rPr>
          <w:b/>
          <w:bCs/>
        </w:rPr>
        <w:t xml:space="preserve">SCTR Pensión</w:t>
      </w:r>
      <w:r>
        <w:t xml:space="preserve"> si el trabajador hace una actividad de riesgo (Anexo 5 del D.S. 009-97-SA). Al marcarla aparecen las entidades: </w:t>
      </w:r>
      <w:r>
        <w:rPr>
          <w:b/>
          <w:bCs/>
        </w:rPr>
        <w:t xml:space="preserve">SCTR salud</w:t>
      </w:r>
      <w:r>
        <w:t xml:space="preserve"> (EsSalud o EPS) y </w:t>
      </w:r>
      <w:r>
        <w:rPr>
          <w:b/>
          <w:bCs/>
        </w:rPr>
        <w:t xml:space="preserve">SCTR pensión (entidad)</w:t>
      </w:r>
      <w:r>
        <w:t xml:space="preserve"> (ONP o compañía de seguros privada). Las dos entidades van al T-Registro. Las tasas son parámetros referenciales que hay que ajustar a la póliza del cliente: 1,30 % salud y 1,70 % pensión.</w:t>
      </w:r>
    </w:p>
    <w:p>
      <w:pPr>
        <w:keepNext/>
        <w:spacing w:after="60" w:before="120"/>
        <w:jc w:val="center"/>
      </w:pPr>
      <w:r>
        <w:drawing>
          <wp:inline distT="0" distB="0" distL="0" distR="0">
            <wp:extent cx="5905500" cy="3324225"/>
            <wp:effectExtent t="0" r="0" b="0" l="0"/>
            <wp:docPr id="1" name="c06_04_sctr_en_la_ficha" descr="Trabajador del caso TREGISTRO con «SCTR Pensión» marcada: SCTR salud EsSalud y SCTR pensión con compañía de seguros privada." title="Trabajador del caso TREGISTRO con «SCTR Pensión» marcada: SCTR salud EsSalud y SCTR pensión con compañía de seguros priv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27. </w:t>
      </w:r>
      <w:r>
        <w:rPr>
          <w:i/>
          <w:iCs/>
          <w:color w:val="555555"/>
          <w:sz w:val="18"/>
          <w:szCs w:val="18"/>
        </w:rPr>
        <w:t xml:space="preserve">Trabajador del caso TREGISTRO con «SCTR Pensión» marcada: SCTR salud EsSalud y SCTR pensión con compañía de seguros privada.</w:t>
      </w:r>
    </w:p>
    <w:p>
      <w:pPr>
        <w:pStyle w:val="Heading2"/>
      </w:pPr>
      <w:bookmarkStart w:name="t22" w:id="1"/>
      <w:r>
        <w:t xml:space="preserve">6.3 Vida Ley</w:t>
      </w:r>
      <w:bookmarkEnd w:id="1"/>
    </w:p>
    <w:p>
      <w:pPr>
        <w:spacing w:after="120"/>
      </w:pPr>
      <w:r>
        <w:t xml:space="preserve">En la versión 2 la prima de Vida Ley </w:t>
      </w:r>
      <w:r>
        <w:rPr>
          <w:b/>
          <w:bCs/>
        </w:rPr>
        <w:t xml:space="preserve">se calcula en la planilla</w:t>
      </w:r>
      <w:r>
        <w:t xml:space="preserve"> (N-05). Cada póliza (</w:t>
      </w:r>
      <w:r>
        <w:rPr>
          <w:b/>
          <w:bCs/>
        </w:rPr>
        <w:t xml:space="preserve">Nómina PE › Seguros y EPS › Vida Ley</w:t>
      </w:r>
      <w:r>
        <w:t xml:space="preserve">) tiene: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Campo</w:t>
            </w:r>
          </w:p>
        </w:tc>
        <w:tc>
          <w:tcPr>
            <w:tcW w:type="dxa" w:w="6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Entidad, N.° de póliza y vigencia</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Identificación. Una póliza vencida no cobra prima y avisa.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de la póliza en porcentaje, de 0,05 a 5 (0,53 = 0,53 %). «0.0053» se rechaza.</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Importe por trabajador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Alternativa a la tasa: un importe fijo una vez al mes.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Calcular la prima en la planilla</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Activa el cálculo. Las pólizas existentes antes de la versión 2 quedan sin marcar: nada cambia hasta que el usuario lo decide.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Compañía y Empleados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se cobra a los trabajadores de la póliza y de su compañía.</w:t>
            </w:r>
          </w:p>
        </w:tc>
      </w:tr>
    </w:tbl>
    <w:p>
      <w:pPr>
        <w:keepNext/>
        <w:spacing w:after="60" w:before="120"/>
        <w:jc w:val="center"/>
      </w:pPr>
      <w:r>
        <w:drawing>
          <wp:inline distT="0" distB="0" distL="0" distR="0">
            <wp:extent cx="5905500" cy="3324225"/>
            <wp:effectExtent t="0" r="0" b="0" l="0"/>
            <wp:docPr id="1" name="c06_02_polizas_vida_ley" descr="Pólizas del caso VIDALEY: por tasa (0,53 %, 6 trabajadores), por importe fijo y vencida." title="Pólizas del caso VIDALEY: por tasa (0,53 %, 6 trabajadores), por importe fijo y venc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28. </w:t>
      </w:r>
      <w:r>
        <w:rPr>
          <w:i/>
          <w:iCs/>
          <w:color w:val="555555"/>
          <w:sz w:val="18"/>
          <w:szCs w:val="18"/>
        </w:rPr>
        <w:t xml:space="preserve">Pólizas del caso VIDALEY: por tasa (0,53 %, 6 trabajadores), por importe fijo y vencida.</w:t>
      </w:r>
    </w:p>
    <w:p>
      <w:pPr>
        <w:keepNext/>
        <w:spacing w:after="60" w:before="120"/>
        <w:jc w:val="center"/>
      </w:pPr>
      <w:r>
        <w:drawing>
          <wp:inline distT="0" distB="0" distL="0" distR="0">
            <wp:extent cx="5905500" cy="3324225"/>
            <wp:effectExtent t="0" r="0" b="0" l="0"/>
            <wp:docPr id="1" name="c06_03_poliza_vida_ley" descr="Póliza por tasa con «Calcular la prima en la planilla» marcada y sus trabajadores." title="Póliza por tasa con «Calcular la prima en la planilla» marcada y sus trabaj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29. </w:t>
      </w:r>
      <w:r>
        <w:rPr>
          <w:i/>
          <w:iCs/>
          <w:color w:val="555555"/>
          <w:sz w:val="18"/>
          <w:szCs w:val="18"/>
        </w:rPr>
        <w:t xml:space="preserve">Póliza por tasa con «Calcular la prima en la planilla» marcada y sus trabajadores.</w:t>
      </w:r>
    </w:p>
    <w:p>
      <w:pPr>
        <w:spacing w:after="120"/>
      </w:pPr>
      <w:r>
        <w:t xml:space="preserve">La regla </w:t>
      </w:r>
      <w:r>
        <w:rPr>
          <w:rFonts w:ascii="Consolas" w:cs="Consolas" w:eastAsia="Consolas" w:hAnsi="Consolas"/>
          <w:color w:val="444444"/>
          <w:sz w:val="20"/>
          <w:szCs w:val="20"/>
        </w:rPr>
        <w:t xml:space="preserve">VIDA_001</w:t>
      </w:r>
      <w:r>
        <w:t xml:space="preserve"> es un aporte del empleador: tasa × remuneración asegurable del mes, con el tope de la RMA, menos lo que ya cargaron las demás boletas del mes. El neto del trabajador no cambia. Va al PLAME en el concepto 0803 y al asiento en 6274 / 4699. Las cifras están en el capítulo 12.</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VIDALEY (58 celdas): con tasa 0,53 % y sueldo 3 000, la prima es </w:t>
      </w:r>
      <w:r>
        <w:rPr>
          <w:b/>
          <w:bCs/>
        </w:rPr>
        <w:t xml:space="preserve">15,90</w:t>
      </w:r>
      <w:r>
        <w:t xml:space="preserve">; con sueldo 15 000 se topa en la RMA y es </w:t>
      </w:r>
      <w:r>
        <w:rPr>
          <w:b/>
          <w:bCs/>
        </w:rPr>
        <w:t xml:space="preserve">66,77</w:t>
      </w:r>
      <w:r>
        <w:t xml:space="preserve">.</w:t>
      </w:r>
    </w:p>
    <w:p>
      <w:pPr>
        <w:pBdr>
          <w:left w:val="single" w:color="B23B3B" w:sz="18" w:space="8"/>
        </w:pBdr>
        <w:shd w:fill="F7EEEE" w:color="auto" w:val="clear"/>
        <w:spacing w:after="160" w:before="120"/>
        <w:ind w:left="120" w:right="120"/>
      </w:pPr>
      <w:r>
        <w:rPr>
          <w:b/>
          <w:bCs/>
          <w:color w:val="B23B3B"/>
        </w:rPr>
        <w:t xml:space="preserve">Límite: </w:t>
      </w:r>
      <w:r>
        <w:t xml:space="preserve">Una sola póliza por trabajador y sin historia de pólizas anteriores. El control «Trabajador sin póliza Vida Ley» de la compañía (capítulo 26) viene en «No controlar» hasta registrar las pólizas.</w:t>
      </w:r>
    </w:p>
    <w:p>
      <w:pPr>
        <w:pBdr>
          <w:top w:val="single" w:color="BFBFBF" w:sz="4" w:space="4"/>
        </w:pBdr>
        <w:spacing w:before="240"/>
      </w:pPr>
      <w:r>
        <w:rPr>
          <w:color w:val="777777"/>
          <w:sz w:val="16"/>
          <w:szCs w:val="16"/>
        </w:rPr>
        <w:t xml:space="preserve">Versiones mostradas: ce 19.0.1.27.1 · ce_demo 19.0.2.25.1.</w:t>
      </w:r>
      <w:r>
        <w:rPr>
          <w:color w:val="777777"/>
          <w:sz w:val="16"/>
          <w:szCs w:val="16"/>
        </w:rPr>
        <w:t xml:space="preserve">  Ítems de la versión 2: U-01, N-05.</w:t>
      </w:r>
    </w:p>
    <w:p>
      <w:pPr>
        <w:pStyle w:val="Heading1"/>
        <w:pageBreakBefore/>
      </w:pPr>
      <w:bookmarkStart w:name="t23" w:id="1"/>
      <w:r>
        <w:t xml:space="preserve">7. Contabilidad de nómina</w:t>
      </w:r>
      <w:bookmarkEnd w:id="1"/>
    </w:p>
    <w:p>
      <w:pPr>
        <w:spacing w:after="120"/>
      </w:pPr>
      <w:r>
        <w:t xml:space="preserve">Cada regla salarial lleva su cuenta al debe y al haber </w:t>
      </w:r>
      <w:r>
        <w:rPr>
          <w:b/>
          <w:bCs/>
        </w:rPr>
        <w:t xml:space="preserve">por compañía</w:t>
      </w:r>
      <w:r>
        <w:t xml:space="preserve">. El </w:t>
      </w:r>
      <w:r>
        <w:rPr>
          <w:b/>
          <w:bCs/>
        </w:rPr>
        <w:t xml:space="preserve">Mapeo contable PCGE</w:t>
      </w:r>
      <w:r>
        <w:t xml:space="preserve"> define los prefijos y el inicializador asigna la primera cuenta del plan que empieza con ese prefijo. El asistente </w:t>
      </w:r>
      <w:r>
        <w:rPr>
          <w:b/>
          <w:bCs/>
        </w:rPr>
        <w:t xml:space="preserve">Asignar cuentas contables</w:t>
      </w:r>
      <w:r>
        <w:t xml:space="preserve"> vuelve a aplicar el mapeo a la compañía elegida y crea el diario Planillas si falta.</w:t>
      </w:r>
    </w:p>
    <w:p>
      <w:pPr>
        <w:keepNext/>
        <w:spacing w:after="60" w:before="120"/>
        <w:jc w:val="center"/>
      </w:pPr>
      <w:r>
        <w:drawing>
          <wp:inline distT="0" distB="0" distL="0" distR="0">
            <wp:extent cx="5905500" cy="3324225"/>
            <wp:effectExtent t="0" r="0" b="0" l="0"/>
            <wp:docPr id="1" name="c07_01_mapeo_pcge" descr="Mapeo contable PCGE: 45 reglas con su prefijo de débito y de crédito. Cada fila se nombra «RB_001 → 6211 / 4111» (U-05)." title="Mapeo contable PCGE: 45 reglas con su prefijo de débito y de crédito. Cada fila se nombra «RB_001 → 6211 / 4111» (U-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30. </w:t>
      </w:r>
      <w:r>
        <w:rPr>
          <w:i/>
          <w:iCs/>
          <w:color w:val="555555"/>
          <w:sz w:val="18"/>
          <w:szCs w:val="18"/>
        </w:rPr>
        <w:t xml:space="preserve">Mapeo contable PCGE: 45 reglas con su prefijo de débito y de crédito. Cada fila se nombra «RB_001 → 6211 / 4111» (U-05).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500"/>
        <w:gridCol w:w="1538"/>
      </w:tblGrid>
      <w:tr>
        <w:trPr>
          <w:tblHeader/>
        </w:trPr>
        <w:tc>
          <w:tcPr>
            <w:tcW w:type="dxa" w:w="3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Regla</w:t>
            </w:r>
          </w:p>
        </w:tc>
        <w:tc>
          <w:tcPr>
            <w:tcW w:type="dxa" w:w="1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Debe</w:t>
            </w:r>
          </w:p>
        </w:tc>
        <w:tc>
          <w:tcPr>
            <w:tcW w:type="dxa" w:w="15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Haber</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básica, asignación familiar, horas extra, nocturnidad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RB_001, ASF_001, HE25_001, HE35_001, BNOC_001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6211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vacacional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6215</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Gratificación y bonificación extraordinaria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GRATI_001, BONO_GRATI_001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6214</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4114</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 del periodo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6291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4151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Subsidios (incapacidad y maternidad)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SUB_INC_001, SUB_MAT_001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1629</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Adelanto de remuneración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ADEL_001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1411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Movilidad de libre disposición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6220</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Participación en las utilidades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UTIL_001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6221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4111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Prima de Vida Ley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VIDA_001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6274</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4699</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 de la microempresa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SIS_MICRO_001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6271</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4039</w:t>
            </w:r>
          </w:p>
        </w:tc>
      </w:tr>
    </w:tbl>
    <w:p>
      <w:pPr>
        <w:keepNext/>
        <w:spacing w:after="60" w:before="120"/>
        <w:jc w:val="center"/>
      </w:pPr>
      <w:r>
        <w:drawing>
          <wp:inline distT="0" distB="0" distL="0" distR="0">
            <wp:extent cx="5905500" cy="3324225"/>
            <wp:effectExtent t="0" r="0" b="0" l="0"/>
            <wp:docPr id="1" name="c07_02_asignar_cuentas" descr="Asistente «Asignar cuentas contables»: se elige la compañía." title="Asistente «Asignar cuentas contables»: se elige la compañ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31. </w:t>
      </w:r>
      <w:r>
        <w:rPr>
          <w:i/>
          <w:iCs/>
          <w:color w:val="555555"/>
          <w:sz w:val="18"/>
          <w:szCs w:val="18"/>
        </w:rPr>
        <w:t xml:space="preserve">Asistente «Asignar cuentas contables»: se elige la compañía.</w:t>
      </w:r>
    </w:p>
    <w:p>
      <w:pPr>
        <w:pStyle w:val="Heading2"/>
      </w:pPr>
      <w:bookmarkStart w:name="t24" w:id="1"/>
      <w:r>
        <w:t xml:space="preserve">7.1 Diario de planillas</w:t>
      </w:r>
      <w:bookmarkEnd w:id="1"/>
    </w:p>
    <w:p>
      <w:pPr>
        <w:spacing w:after="120"/>
      </w:pPr>
      <w:r>
        <w:t xml:space="preserve">La boleta toma el diario en este orden (C-06): el del contrato → el valor por defecto del usuario → el de la estructura → </w:t>
      </w:r>
      <w:r>
        <w:rPr>
          <w:b/>
          <w:bCs/>
        </w:rPr>
        <w:t xml:space="preserve">Planillas (PLLA)</w:t>
      </w:r>
      <w:r>
        <w:t xml:space="preserve"> de la compañía. El lote nace con PLLA. En la práctica, una boleta nueva se asienta en PLLA sin tocar nada (en el v1 caía en «Operaciones varias»).</w:t>
      </w:r>
    </w:p>
    <w:p>
      <w:pPr>
        <w:keepNext/>
        <w:spacing w:after="60" w:before="120"/>
        <w:jc w:val="center"/>
      </w:pPr>
      <w:r>
        <w:drawing>
          <wp:inline distT="0" distB="0" distL="0" distR="0">
            <wp:extent cx="5905500" cy="3324225"/>
            <wp:effectExtent t="0" r="0" b="0" l="0"/>
            <wp:docPr id="1" name="c07_03_diario_planillas" descr="Diario Planillas (PLLA), tipo misceláneo, cuenta predeterminada 4111000." title="Diario Planillas (PLLA), tipo misceláneo, cuenta predeterminada 411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32. </w:t>
      </w:r>
      <w:r>
        <w:rPr>
          <w:i/>
          <w:iCs/>
          <w:color w:val="555555"/>
          <w:sz w:val="18"/>
          <w:szCs w:val="18"/>
        </w:rPr>
        <w:t xml:space="preserve">Diario Planillas (PLLA), tipo misceláneo, cuenta predeterminada 4111000.</w:t>
      </w:r>
    </w:p>
    <w:p>
      <w:pPr>
        <w:pStyle w:val="Heading2"/>
      </w:pPr>
      <w:bookmarkStart w:name="t25" w:id="1"/>
      <w:r>
        <w:t xml:space="preserve">7.2 Cuentas cambiadas a mano</w:t>
      </w:r>
      <w:bookmarkEnd w:id="1"/>
    </w:p>
    <w:p>
      <w:pPr>
        <w:spacing w:after="120"/>
      </w:pPr>
      <w:r>
        <w:t xml:space="preserve">Si el cliente usa subcuentas, por ejemplo una 4111 por sede, cámbielas en la pestaña </w:t>
      </w:r>
      <w:r>
        <w:rPr>
          <w:b/>
          <w:bCs/>
        </w:rPr>
        <w:t xml:space="preserve">Contabilidad</w:t>
      </w:r>
      <w:r>
        <w:t xml:space="preserve"> de la regla. Las actualizaciones </w:t>
      </w:r>
      <w:r>
        <w:rPr>
          <w:b/>
          <w:bCs/>
        </w:rPr>
        <w:t xml:space="preserve">las conservan</w:t>
      </w:r>
      <w:r>
        <w:t xml:space="preserve"> (C-21): el inicializador solo asigna la cuenta donde falta o es inválida.</w:t>
      </w:r>
    </w:p>
    <w:p>
      <w:pPr>
        <w:keepNext/>
        <w:spacing w:after="60" w:before="120"/>
        <w:jc w:val="center"/>
      </w:pPr>
      <w:r>
        <w:drawing>
          <wp:inline distT="0" distB="0" distL="0" distR="0">
            <wp:extent cx="5905500" cy="3324225"/>
            <wp:effectExtent t="0" r="0" b="0" l="0"/>
            <wp:docPr id="1" name="c07_04_regla_cuentas" descr="Regla RB_001 de la estructura mensual: cuenta deudora 6211000 y acreedora 4111000 en FM SYSTEMS." title="Regla RB_001 de la estructura mensual: cuenta deudora 6211000 y acreedora 4111000 en FM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33. </w:t>
      </w:r>
      <w:r>
        <w:rPr>
          <w:i/>
          <w:iCs/>
          <w:color w:val="555555"/>
          <w:sz w:val="18"/>
          <w:szCs w:val="18"/>
        </w:rPr>
        <w:t xml:space="preserve">Regla RB_001 de la estructura mensual: cuenta deudora 6211000 y acreedora 4111000 en FM SYSTEMS.</w:t>
      </w:r>
    </w:p>
    <w:p>
      <w:pPr>
        <w:pBdr>
          <w:left w:val="single" w:color="2E86AB" w:sz="18" w:space="8"/>
        </w:pBdr>
        <w:shd w:fill="EAF4F8" w:color="auto" w:val="clear"/>
        <w:spacing w:after="160" w:before="120"/>
        <w:ind w:left="120" w:right="120"/>
      </w:pPr>
      <w:r>
        <w:rPr>
          <w:b/>
          <w:bCs/>
          <w:color w:val="2E86AB"/>
        </w:rPr>
        <w:t xml:space="preserve">Nota: </w:t>
      </w:r>
      <w:r>
        <w:t xml:space="preserve">La boleta validada genera el asiento en PLLA y cuadra al centavo con la boleta impresa (capítulo 10). Con «Registrar pago» (capítulo 28), el trabajador figura como socio en las líneas de las cuentas 41x y el pago concilia el neto.</w:t>
      </w:r>
    </w:p>
    <w:p>
      <w:pPr>
        <w:pBdr>
          <w:top w:val="single" w:color="BFBFBF" w:sz="4" w:space="4"/>
        </w:pBdr>
        <w:spacing w:before="240"/>
      </w:pPr>
      <w:r>
        <w:rPr>
          <w:color w:val="777777"/>
          <w:sz w:val="16"/>
          <w:szCs w:val="16"/>
        </w:rPr>
        <w:t xml:space="preserve">Versiones mostradas: ce 19.0.1.27.1 · om_account 19.0.0.0.</w:t>
      </w:r>
      <w:r>
        <w:rPr>
          <w:color w:val="777777"/>
          <w:sz w:val="16"/>
          <w:szCs w:val="16"/>
        </w:rPr>
        <w:t xml:space="preserve">  Ítems de la versión 2: C-06, C-15, C-21, U-05.</w:t>
      </w:r>
    </w:p>
    <w:p>
      <w:pPr>
        <w:pStyle w:val="Heading1"/>
        <w:pageBreakBefore/>
      </w:pPr>
      <w:bookmarkStart w:name="t26" w:id="1"/>
      <w:r>
        <w:t xml:space="preserve">8. Alta de un trabajador</w:t>
      </w:r>
      <w:bookmarkEnd w:id="1"/>
    </w:p>
    <w:p>
      <w:pPr>
        <w:spacing w:after="120"/>
      </w:pPr>
      <w:r>
        <w:t xml:space="preserve">Ejemplo del recorrido: </w:t>
      </w:r>
      <w:r>
        <w:rPr>
          <w:b/>
          <w:bCs/>
        </w:rPr>
        <w:t xml:space="preserve">Lucía Fernanda Ramos Ticona</w:t>
      </w:r>
      <w:r>
        <w:t xml:space="preserve">, DNI sintético </w:t>
      </w:r>
      <w:r>
        <w:rPr>
          <w:rFonts w:ascii="Consolas" w:cs="Consolas" w:eastAsia="Consolas" w:hAnsi="Consolas"/>
          <w:color w:val="444444"/>
          <w:sz w:val="20"/>
          <w:szCs w:val="20"/>
        </w:rPr>
        <w:t xml:space="preserve">99999901</w:t>
      </w:r>
      <w:r>
        <w:t xml:space="preserve">, analista contable, ingreso el 01/01/2025, sueldo 4 500, SPP Integra con comisión sobre flujo, EsSalud regular y un hijo menor, que da derecho a la asignación familiar. Para los datos del T-Registro se usa además una trabajadora del caso TREGISTRO.</w:t>
      </w:r>
    </w:p>
    <w:p>
      <w:pPr>
        <w:pStyle w:val="Heading2"/>
      </w:pPr>
      <w:bookmarkStart w:name="t27" w:id="1"/>
      <w:r>
        <w:t xml:space="preserve">8.1 Ficha: datos principales y personales</w:t>
      </w:r>
      <w:bookmarkEnd w:id="1"/>
    </w:p>
    <w:p>
      <w:pPr>
        <w:pStyle w:val="ListParagraph"/>
        <w:numPr>
          <w:ilvl w:val="0"/>
          <w:numId w:val="6"/>
        </w:numPr>
        <w:spacing w:after="80"/>
      </w:pPr>
      <w:r>
        <w:rPr>
          <w:b/>
          <w:bCs/>
        </w:rPr>
        <w:t xml:space="preserve">Empleados › Nuevo</w:t>
      </w:r>
      <w:r>
        <w:t xml:space="preserve">: nombre completo y puesto.</w:t>
      </w:r>
    </w:p>
    <w:p>
      <w:pPr>
        <w:pStyle w:val="ListParagraph"/>
        <w:numPr>
          <w:ilvl w:val="0"/>
          <w:numId w:val="6"/>
        </w:numPr>
        <w:spacing w:after="80"/>
      </w:pPr>
      <w:r>
        <w:t xml:space="preserve">Pestaña </w:t>
      </w:r>
      <w:r>
        <w:rPr>
          <w:b/>
          <w:bCs/>
        </w:rPr>
        <w:t xml:space="preserve">Personal</w:t>
      </w:r>
      <w:r>
        <w:t xml:space="preserve">: </w:t>
      </w:r>
      <w:r>
        <w:rPr>
          <w:b/>
          <w:bCs/>
        </w:rPr>
        <w:t xml:space="preserve">Número de identificación</w:t>
      </w:r>
      <w:r>
        <w:t xml:space="preserve"> (el DNI u otro documento) y </w:t>
      </w:r>
      <w:r>
        <w:rPr>
          <w:b/>
          <w:bCs/>
        </w:rPr>
        <w:t xml:space="preserve">Cumpleaños</w:t>
      </w:r>
      <w:r>
        <w:t xml:space="preserve">.</w:t>
      </w:r>
    </w:p>
    <w:p>
      <w:pPr>
        <w:keepNext/>
        <w:spacing w:after="60" w:before="120"/>
        <w:jc w:val="center"/>
      </w:pPr>
      <w:r>
        <w:drawing>
          <wp:inline distT="0" distB="0" distL="0" distR="0">
            <wp:extent cx="5905500" cy="3324225"/>
            <wp:effectExtent t="0" r="0" b="0" l="0"/>
            <wp:docPr id="1" name="c08_01_ficha_lucia" descr="Ficha de Lucía Fernanda Ramos Ticona." title="Ficha de Lucía Fernanda Ramos Tic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34. </w:t>
      </w:r>
      <w:r>
        <w:rPr>
          <w:i/>
          <w:iCs/>
          <w:color w:val="555555"/>
          <w:sz w:val="18"/>
          <w:szCs w:val="18"/>
        </w:rPr>
        <w:t xml:space="preserve">Ficha de Lucía Fernanda Ramos Ticona.</w:t>
      </w:r>
    </w:p>
    <w:p>
      <w:pPr>
        <w:keepNext/>
        <w:spacing w:after="60" w:before="120"/>
        <w:jc w:val="center"/>
      </w:pPr>
      <w:r>
        <w:drawing>
          <wp:inline distT="0" distB="0" distL="0" distR="0">
            <wp:extent cx="5905500" cy="3324225"/>
            <wp:effectExtent t="0" r="0" b="0" l="0"/>
            <wp:docPr id="1" name="c08_02_personal" descr="Pestaña Personal: documento y fecha de nacimiento." title="Pestaña Personal: documento y fecha de na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35. </w:t>
      </w:r>
      <w:r>
        <w:rPr>
          <w:i/>
          <w:iCs/>
          <w:color w:val="555555"/>
          <w:sz w:val="18"/>
          <w:szCs w:val="18"/>
        </w:rPr>
        <w:t xml:space="preserve">Pestaña Personal: documento y fecha de nacimiento.</w:t>
      </w:r>
    </w:p>
    <w:p>
      <w:pPr>
        <w:pStyle w:val="Heading2"/>
      </w:pPr>
      <w:bookmarkStart w:name="t28" w:id="1"/>
      <w:r>
        <w:t xml:space="preserve">8.2 Pestaña Nómina PE</w:t>
      </w:r>
      <w:bookmarkEnd w:id="1"/>
    </w:p>
    <w:p>
      <w:pPr>
        <w:spacing w:after="120"/>
      </w:pPr>
      <w:r>
        <w:t xml:space="preserve">La pestaña </w:t>
      </w:r>
      <w:r>
        <w:rPr>
          <w:b/>
          <w:bCs/>
        </w:rPr>
        <w:t xml:space="preserve">Nómina PE</w:t>
      </w:r>
      <w:r>
        <w:t xml:space="preserve"> reúne todo lo que piden la boleta, el PLAME y el T-Registro: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100"/>
        <w:gridCol w:w="3238"/>
      </w:tblGrid>
      <w:tr>
        <w:trPr>
          <w:tblHeader/>
        </w:trPr>
        <w:tc>
          <w:tcPr>
            <w:tcW w:type="dxa" w:w="2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Grupo</w:t>
            </w:r>
          </w:p>
        </w:tc>
        <w:tc>
          <w:tcPr>
            <w:tcW w:type="dxa" w:w="4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Campos</w:t>
            </w:r>
          </w:p>
        </w:tc>
        <w:tc>
          <w:tcPr>
            <w:tcW w:type="dxa" w:w="3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Identificación T-Registro</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Tipo de documento (T3)</w:t>
            </w:r>
            <w:r>
              <w:rPr>
                <w:sz w:val="19"/>
                <w:szCs w:val="19"/>
              </w:rPr>
              <w:t xml:space="preserve">, nombres, apellido paterno y materno por separado, situación educativa, discapacidad, rentas de 5.ª exoneradas, </w:t>
            </w:r>
            <w:r>
              <w:rPr>
                <w:b/>
                <w:bCs/>
                <w:sz w:val="19"/>
                <w:szCs w:val="19"/>
              </w:rPr>
              <w:t xml:space="preserve">edad</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PLAME y el T-Registro toman el tipo de documento de aquí. Si es pasaporte (07) o documento extranjero (24), se pide el país emisor (T26). La edad sale en </w:t>
            </w:r>
            <w:r>
              <w:rPr>
                <w:b/>
                <w:bCs/>
                <w:sz w:val="19"/>
                <w:szCs w:val="19"/>
              </w:rPr>
              <w:t xml:space="preserve">años cumplidos</w:t>
            </w:r>
            <w:r>
              <w:rPr>
                <w:sz w:val="19"/>
                <w:szCs w:val="19"/>
              </w:rPr>
              <w:t xml:space="preserve">, como entero (U-11)</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Sistema pensionario</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Sistema (T11), CUSPP, tipo de comisión AFP (flujo o mixta), «No aplica prima de seguro AFP», «No aporta pensión»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Aportes de pensión (capítulo 12)</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Salud</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Régimen de salud, plan EPS, casilla </w:t>
            </w:r>
            <w:r>
              <w:rPr>
                <w:b/>
                <w:bCs/>
                <w:sz w:val="19"/>
                <w:szCs w:val="19"/>
              </w:rPr>
              <w:t xml:space="preserve">SCTR Pensión</w:t>
            </w:r>
            <w:r>
              <w:rPr>
                <w:sz w:val="19"/>
                <w:szCs w:val="19"/>
              </w:rPr>
              <w:t xml:space="preserve"> y, si está marcada, las entidades de </w:t>
            </w:r>
            <w:r>
              <w:rPr>
                <w:b/>
                <w:bCs/>
                <w:sz w:val="19"/>
                <w:szCs w:val="19"/>
              </w:rPr>
              <w:t xml:space="preserve">SCTR salud</w:t>
            </w:r>
            <w:r>
              <w:rPr>
                <w:sz w:val="19"/>
                <w:szCs w:val="19"/>
              </w:rPr>
              <w:t xml:space="preserve"> (EsSalud o EPS) y </w:t>
            </w:r>
            <w:r>
              <w:rPr>
                <w:b/>
                <w:bCs/>
                <w:sz w:val="19"/>
                <w:szCs w:val="19"/>
              </w:rPr>
              <w:t xml:space="preserve">SCTR pensión</w:t>
            </w:r>
            <w:r>
              <w:rPr>
                <w:sz w:val="19"/>
                <w:szCs w:val="19"/>
              </w:rPr>
              <w:t xml:space="preserve"> (ONP o privada); póliza de </w:t>
            </w:r>
            <w:r>
              <w:rPr>
                <w:b/>
                <w:bCs/>
                <w:sz w:val="19"/>
                <w:szCs w:val="19"/>
              </w:rPr>
              <w:t xml:space="preserve">Vida Ley</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Aportes del empleador y T-Registro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Cuentas bancarias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Cuenta y banco de sueldo; cuenta y banco de CTS</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TXT bancarios (capítulo 27)</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Descuento judicial</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¿Tiene beneficiario?</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Retención judicial</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Firma de boletas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Firma como empleador</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Marca al representante del empleador: su firma aparece en las boletas (N-08)</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Entrega de la boleta</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Boleta por correo</w:t>
            </w:r>
            <w:r>
              <w:rPr>
                <w:sz w:val="19"/>
                <w:szCs w:val="19"/>
              </w:rPr>
              <w:t xml:space="preserve">, fecha del acuerdo y correo para la boleta</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Entrega electrónica (D.S. 001-98-TR, art. 19): solo con el acuerdo del trabajador (capítulo 28)</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Domicilio para el T-Registro</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 y nombre de vía, número, dpto., interior, manzana, lote, km, block, etapa, tipo y nombre de zona, referencia y </w:t>
            </w:r>
            <w:r>
              <w:rPr>
                <w:b/>
                <w:bCs/>
                <w:sz w:val="19"/>
                <w:szCs w:val="19"/>
              </w:rPr>
              <w:t xml:space="preserve">distrito (T28)</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 en el T-Registro. «SN» si no tiene número (entonces la referencia es obligatoria)</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Estudios superiores (T-Registro)</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Estudios concluidos en el Perú, </w:t>
            </w:r>
            <w:r>
              <w:rPr>
                <w:b/>
                <w:bCs/>
                <w:sz w:val="19"/>
                <w:szCs w:val="19"/>
              </w:rPr>
              <w:t xml:space="preserve">institución y carrera (T34)</w:t>
            </w:r>
            <w:r>
              <w:rPr>
                <w:sz w:val="19"/>
                <w:szCs w:val="19"/>
              </w:rPr>
              <w:t xml:space="preserve">, año de egreso</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 en el T-Registro (archivo </w:t>
            </w:r>
            <w:r>
              <w:rPr>
                <w:rFonts w:ascii="Consolas" w:cs="Consolas" w:eastAsia="Consolas" w:hAnsi="Consolas"/>
                <w:color w:val="444444"/>
                <w:sz w:val="20"/>
                <w:szCs w:val="20"/>
              </w:rPr>
              <w:t xml:space="preserve">.edu</w:t>
            </w:r>
            <w:r>
              <w:rPr>
                <w:sz w:val="19"/>
                <w:szCs w:val="19"/>
              </w:rPr>
              <w:t xml:space="preserve">)</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Derechohabientes</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Parentesco, nombre, género, nacimiento, </w:t>
            </w:r>
            <w:r>
              <w:rPr>
                <w:b/>
                <w:bCs/>
                <w:sz w:val="19"/>
                <w:szCs w:val="19"/>
              </w:rPr>
              <w:t xml:space="preserve">tipo y número de documento, apellidos, nombres, alta como derechohabiente</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Asignación familiar y registro de derechohabientes (capítulo 29)</w:t>
            </w:r>
          </w:p>
        </w:tc>
      </w:tr>
    </w:tbl>
    <w:p>
      <w:pPr>
        <w:keepNext/>
        <w:spacing w:after="60" w:before="120"/>
        <w:jc w:val="center"/>
      </w:pPr>
      <w:r>
        <w:drawing>
          <wp:inline distT="0" distB="0" distL="0" distR="0">
            <wp:extent cx="5905500" cy="3324225"/>
            <wp:effectExtent t="0" r="0" b="0" l="0"/>
            <wp:docPr id="1" name="c08_03_nomina_pe_1" descr="Nómina PE de Lucía: Identificación T-Registro (DNI, nombres y apellidos separados, situación educativa, edad 35) y sistema pensionario SPP Integra con comisión por flujo." title="Nómina PE de Lucía: Identificación T-Registro (DNI, nombres y apellidos separados, situación educativa, edad 35) y sistema pensionario SPP Integra con comisión por fl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36. </w:t>
      </w:r>
      <w:r>
        <w:rPr>
          <w:i/>
          <w:iCs/>
          <w:color w:val="555555"/>
          <w:sz w:val="18"/>
          <w:szCs w:val="18"/>
        </w:rPr>
        <w:t xml:space="preserve">Nómina PE de Lucía: Identificación T-Registro (DNI, nombres y apellidos separados, situación educativa, edad 35) y sistema pensionario SPP Integra con comisión por flujo.</w:t>
      </w:r>
    </w:p>
    <w:p>
      <w:pPr>
        <w:keepNext/>
        <w:spacing w:after="60" w:before="120"/>
        <w:jc w:val="center"/>
      </w:pPr>
      <w:r>
        <w:drawing>
          <wp:inline distT="0" distB="0" distL="0" distR="0">
            <wp:extent cx="5905500" cy="3324225"/>
            <wp:effectExtent t="0" r="0" b="0" l="0"/>
            <wp:docPr id="1" name="c08_17_salud_cuentas_firma" descr="Salud (régimen, EPS, SCTR, Vida Ley), cuentas bancarias, descuento judicial, firma de boletas y entrega de la boleta." title="Salud (régimen, EPS, SCTR, Vida Ley), cuentas bancarias, descuento judicial, firma de boletas y entrega de la bo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37. </w:t>
      </w:r>
      <w:r>
        <w:rPr>
          <w:i/>
          <w:iCs/>
          <w:color w:val="555555"/>
          <w:sz w:val="18"/>
          <w:szCs w:val="18"/>
        </w:rPr>
        <w:t xml:space="preserve">Salud (régimen, EPS, SCTR, Vida Ley), cuentas bancarias, descuento judicial, firma de boletas y entrega de la boleta.</w:t>
      </w:r>
    </w:p>
    <w:p>
      <w:pPr>
        <w:pBdr>
          <w:left w:val="single" w:color="E08A1E" w:sz="18" w:space="8"/>
        </w:pBdr>
        <w:shd w:fill="FDF2E6" w:color="auto" w:val="clear"/>
        <w:spacing w:after="160" w:before="120"/>
        <w:ind w:left="120" w:right="120"/>
      </w:pPr>
      <w:r>
        <w:rPr>
          <w:b/>
          <w:bCs/>
          <w:color w:val="E08A1E"/>
        </w:rPr>
        <w:t xml:space="preserve">Importante: </w:t>
      </w:r>
      <w:r>
        <w:t xml:space="preserve">El recorrido de FM SYSTEMS se cargó para el manual v1: Lucía no tiene domicilio, estudios ni tipo de trabajador (T8) para el T-Registro, y su hijo no tiene documento. Calcula bien su planilla, pero </w:t>
      </w:r>
      <w:r>
        <w:rPr>
          <w:b/>
          <w:bCs/>
        </w:rPr>
        <w:t xml:space="preserve">no podría exportarse al T-Registro</w:t>
      </w:r>
      <w:r>
        <w:t xml:space="preserve">: el asistente la marcaría «NO SE EXPORTA» con la lista de lo que falta. Las pantallas del T-Registro de este capítulo son de una trabajadora del caso TREGISTRO, que tiene todo completo.</w:t>
      </w:r>
    </w:p>
    <w:p>
      <w:pPr>
        <w:pStyle w:val="Heading3"/>
      </w:pPr>
      <w:r>
        <w:t xml:space="preserve">Datos del T-Registro completos (caso TREGISTRO)</w:t>
      </w:r>
    </w:p>
    <w:p>
      <w:pPr>
        <w:keepNext/>
        <w:spacing w:after="60" w:before="120"/>
        <w:jc w:val="center"/>
      </w:pPr>
      <w:r>
        <w:drawing>
          <wp:inline distT="0" distB="0" distL="0" distR="0">
            <wp:extent cx="5905500" cy="3324225"/>
            <wp:effectExtent t="0" r="0" b="0" l="0"/>
            <wp:docPr id="1" name="c08_07_tregistro_identificacion" descr="Trabajadora del caso TREGISTRO (DNI 70001501): tipo de documento 01 · DNI, nombres y apellidos separados, situación educativa [15] Titulado, edad 36 (entero)." title="Trabajadora del caso TREGISTRO (DNI 70001501): tipo de documento 01 · DNI, nombres y apellidos separados, situación educativa [15] Titulado, edad 36 (ent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38. </w:t>
      </w:r>
      <w:r>
        <w:rPr>
          <w:i/>
          <w:iCs/>
          <w:color w:val="555555"/>
          <w:sz w:val="18"/>
          <w:szCs w:val="18"/>
        </w:rPr>
        <w:t xml:space="preserve">Trabajadora del caso TREGISTRO (DNI 70001501): tipo de documento 01 · DNI, nombres y apellidos separados, situación educativa [15] Titulado, edad 36 (entero).</w:t>
      </w:r>
    </w:p>
    <w:p>
      <w:pPr>
        <w:keepNext/>
        <w:spacing w:after="60" w:before="120"/>
        <w:jc w:val="center"/>
      </w:pPr>
      <w:r>
        <w:drawing>
          <wp:inline distT="0" distB="0" distL="0" distR="0">
            <wp:extent cx="5905500" cy="3324225"/>
            <wp:effectExtent t="0" r="0" b="0" l="0"/>
            <wp:docPr id="1" name="c08_08_tregistro_domicilio" descr="Domicilio para el T-Registro con el distrito del ubigeo RENIEC (LIMA - LIMA - LIMA [140101]) y su derechohabiente." title="Domicilio para el T-Registro con el distrito del ubigeo RENIEC (LIMA - LIMA - LIMA [140101]) y su derechohab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39. </w:t>
      </w:r>
      <w:r>
        <w:rPr>
          <w:i/>
          <w:iCs/>
          <w:color w:val="555555"/>
          <w:sz w:val="18"/>
          <w:szCs w:val="18"/>
        </w:rPr>
        <w:t xml:space="preserve">Domicilio para el T-Registro con el distrito del ubigeo RENIEC (LIMA - LIMA - LIMA [140101]) y su derechohabiente.</w:t>
      </w:r>
    </w:p>
    <w:p>
      <w:pPr>
        <w:keepNext/>
        <w:spacing w:after="60" w:before="120"/>
        <w:jc w:val="center"/>
      </w:pPr>
      <w:r>
        <w:drawing>
          <wp:inline distT="0" distB="0" distL="0" distR="0">
            <wp:extent cx="5905500" cy="3324225"/>
            <wp:effectExtent t="0" r="0" b="0" l="0"/>
            <wp:docPr id="1" name="c08_09_tregistro_estudios" descr="Estudios superiores concluidos en el Perú: institución y carrera de la T34 y año de egreso." title="Estudios superiores concluidos en el Perú: institución y carrera de la T34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40. </w:t>
      </w:r>
      <w:r>
        <w:rPr>
          <w:i/>
          <w:iCs/>
          <w:color w:val="555555"/>
          <w:sz w:val="18"/>
          <w:szCs w:val="18"/>
        </w:rPr>
        <w:t xml:space="preserve">Estudios superiores concluidos en el Perú: institución y carrera de la T34 y año de egreso.</w:t>
      </w:r>
    </w:p>
    <w:p>
      <w:pPr>
        <w:keepNext/>
        <w:spacing w:after="60" w:before="120"/>
        <w:jc w:val="center"/>
      </w:pPr>
      <w:r>
        <w:drawing>
          <wp:inline distT="0" distB="0" distL="0" distR="0">
            <wp:extent cx="5905500" cy="3324225"/>
            <wp:effectExtent t="0" r="0" b="0" l="0"/>
            <wp:docPr id="1" name="c08_10_entrega_electronica" descr="Entrega de la boleta: «Boleta por correo» y, al marcarla, la fecha del acuerdo y el correo." title="Entrega de la boleta: «Boleta por correo» y, al marcarla, la fecha del acuerdo y el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41. </w:t>
      </w:r>
      <w:r>
        <w:rPr>
          <w:i/>
          <w:iCs/>
          <w:color w:val="555555"/>
          <w:sz w:val="18"/>
          <w:szCs w:val="18"/>
        </w:rPr>
        <w:t xml:space="preserve">Entrega de la boleta: «Boleta por correo» y, al marcarla, la fecha del acuerdo y el correo.</w:t>
      </w:r>
    </w:p>
    <w:p>
      <w:pPr>
        <w:pStyle w:val="Heading2"/>
      </w:pPr>
      <w:bookmarkStart w:name="t29" w:id="1"/>
      <w:r>
        <w:t xml:space="preserve">8.3 Derechohabientes</w:t>
      </w:r>
      <w:bookmarkEnd w:id="1"/>
    </w:p>
    <w:p>
      <w:pPr>
        <w:spacing w:after="120"/>
      </w:pPr>
      <w:r>
        <w:t xml:space="preserve">Los derechohabientes se registran en la misma pestaña. Para la </w:t>
      </w:r>
      <w:r>
        <w:rPr>
          <w:b/>
          <w:bCs/>
        </w:rPr>
        <w:t xml:space="preserve">asignación familiar</w:t>
      </w:r>
      <w:r>
        <w:t xml:space="preserve"> basta el parentesco </w:t>
      </w:r>
      <w:r>
        <w:rPr>
          <w:b/>
          <w:bCs/>
        </w:rPr>
        <w:t xml:space="preserve">Hijo(a)</w:t>
      </w:r>
      <w:r>
        <w:t xml:space="preserve"> y la fecha de nacimiento: se paga mientras sea menor de 18 años o tenga discapacidad. Para el </w:t>
      </w:r>
      <w:r>
        <w:rPr>
          <w:b/>
          <w:bCs/>
        </w:rPr>
        <w:t xml:space="preserve">registro de derechohabientes del T-Registro</w:t>
      </w:r>
      <w:r>
        <w:t xml:space="preserve"> se agregan el tipo y número de documento, los apellidos y nombres separados y la fecha de </w:t>
      </w:r>
      <w:r>
        <w:rPr>
          <w:b/>
          <w:bCs/>
        </w:rPr>
        <w:t xml:space="preserve">Alta como derechohabiente</w:t>
      </w:r>
      <w:r>
        <w:t xml:space="preserve">. Una línea nueva trae la fecha de hoy.</w:t>
      </w:r>
    </w:p>
    <w:p>
      <w:pPr>
        <w:keepNext/>
        <w:spacing w:after="60" w:before="120"/>
        <w:jc w:val="center"/>
      </w:pPr>
      <w:r>
        <w:drawing>
          <wp:inline distT="0" distB="0" distL="0" distR="0">
            <wp:extent cx="5905500" cy="3324225"/>
            <wp:effectExtent t="0" r="0" b="0" l="0"/>
            <wp:docPr id="1" name="c08_06_derechohabientes" descr="Derechohabiente de Lucía: Hijo(a), nacido el 20/06/2019. Da derecho a la asignación familiar." title="Derechohabiente de Lucía: Hijo(a), nacido el 20/06/2019. Da derecho a la asignación famil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42. </w:t>
      </w:r>
      <w:r>
        <w:rPr>
          <w:i/>
          <w:iCs/>
          <w:color w:val="555555"/>
          <w:sz w:val="18"/>
          <w:szCs w:val="18"/>
        </w:rPr>
        <w:t xml:space="preserve">Derechohabiente de Lucía: Hijo(a), nacido el 20/06/2019. Da derecho a la asignación familiar.</w:t>
      </w:r>
    </w:p>
    <w:p>
      <w:pPr>
        <w:keepNext/>
        <w:spacing w:after="60" w:before="120"/>
        <w:jc w:val="center"/>
      </w:pPr>
      <w:r>
        <w:drawing>
          <wp:inline distT="0" distB="0" distL="0" distR="0">
            <wp:extent cx="5905500" cy="3324225"/>
            <wp:effectExtent t="0" r="0" b="0" l="0"/>
            <wp:docPr id="1" name="c08_11_tregistro_derechohabientes" descr="Derechohabiente completo del caso TREGISTRO: DNI 78001501, apellidos, nombres y alta el 16 de octubre." title="Derechohabiente completo del caso TREGISTRO: DNI 78001501, apellidos, nombres y alta el 16 de octu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43. </w:t>
      </w:r>
      <w:r>
        <w:rPr>
          <w:i/>
          <w:iCs/>
          <w:color w:val="555555"/>
          <w:sz w:val="18"/>
          <w:szCs w:val="18"/>
        </w:rPr>
        <w:t xml:space="preserve">Derechohabiente completo del caso TREGISTRO: DNI 78001501, apellidos, nombres y alta el 16 de octubre.</w:t>
      </w:r>
    </w:p>
    <w:p>
      <w:pPr>
        <w:pBdr>
          <w:left w:val="single" w:color="2E86AB" w:sz="18" w:space="8"/>
        </w:pBdr>
        <w:shd w:fill="EAF4F8" w:color="auto" w:val="clear"/>
        <w:spacing w:after="160" w:before="120"/>
        <w:ind w:left="120" w:right="120"/>
      </w:pPr>
      <w:r>
        <w:rPr>
          <w:b/>
          <w:bCs/>
          <w:color w:val="2E86AB"/>
        </w:rPr>
        <w:t xml:space="preserve">Nota: </w:t>
      </w:r>
      <w:r>
        <w:t xml:space="preserve">La edad del </w:t>
      </w:r>
      <w:r>
        <w:rPr>
          <w:b/>
          <w:bCs/>
        </w:rPr>
        <w:t xml:space="preserve">derechohabiente</w:t>
      </w:r>
      <w:r>
        <w:t xml:space="preserve"> se calcula a hoy y con decimales: un hijo de 17 años y 11 meses tiene 17,92 (menor de 18), y así lo lee la regla de la asignación familiar. La del </w:t>
      </w:r>
      <w:r>
        <w:rPr>
          <w:b/>
          <w:bCs/>
        </w:rPr>
        <w:t xml:space="preserve">trabajador</w:t>
      </w:r>
      <w:r>
        <w:t xml:space="preserve"> es entera. El parentesco debe tener código de la Tabla 19 para exportarse (capítulo 5).</w:t>
      </w:r>
    </w:p>
    <w:p>
      <w:pPr>
        <w:pStyle w:val="Heading2"/>
      </w:pPr>
      <w:bookmarkStart w:name="t30" w:id="1"/>
      <w:r>
        <w:t xml:space="preserve">8.4 Contrato (versión del empleado)</w:t>
      </w:r>
      <w:bookmarkEnd w:id="1"/>
    </w:p>
    <w:p>
      <w:pPr>
        <w:spacing w:after="120"/>
      </w:pPr>
      <w:r>
        <w:t xml:space="preserve">En Odoo 19 el contrato es una </w:t>
      </w:r>
      <w:r>
        <w:rPr>
          <w:b/>
          <w:bCs/>
        </w:rPr>
        <w:t xml:space="preserve">versión</w:t>
      </w:r>
      <w:r>
        <w:t xml:space="preserve"> del empleado (</w:t>
      </w:r>
      <w:r>
        <w:rPr>
          <w:rFonts w:ascii="Consolas" w:cs="Consolas" w:eastAsia="Consolas" w:hAnsi="Consolas"/>
          <w:color w:val="444444"/>
          <w:sz w:val="20"/>
          <w:szCs w:val="20"/>
        </w:rPr>
        <w:t xml:space="preserve">hr.version</w:t>
      </w:r>
      <w:r>
        <w:t xml:space="preserve">). La lista </w:t>
      </w:r>
      <w:r>
        <w:rPr>
          <w:b/>
          <w:bCs/>
        </w:rPr>
        <w:t xml:space="preserve">Nómina › Empleados › Contratos</w:t>
      </w:r>
      <w:r>
        <w:t xml:space="preserve"> muestra el trabajador en la primera columna, con fechas, estructura, régimen y sueldo (U-02).</w:t>
      </w:r>
    </w:p>
    <w:p>
      <w:pPr>
        <w:keepNext/>
        <w:spacing w:after="60" w:before="120"/>
        <w:jc w:val="center"/>
      </w:pPr>
      <w:r>
        <w:drawing>
          <wp:inline distT="0" distB="0" distL="0" distR="0">
            <wp:extent cx="5905500" cy="3324225"/>
            <wp:effectExtent t="0" r="0" b="0" l="0"/>
            <wp:docPr id="1" name="c08_12_lista_contratos" descr="Lista de contratos con el trabajador, la fecha efectiva, el inicio y fin, la estructura, el régimen laboral y el sueldo." title="Lista de contratos con el trabajador, la fecha efectiva, el inicio y fin, la estructura, el régimen laboral y el suel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44. </w:t>
      </w:r>
      <w:r>
        <w:rPr>
          <w:i/>
          <w:iCs/>
          <w:color w:val="555555"/>
          <w:sz w:val="18"/>
          <w:szCs w:val="18"/>
        </w:rPr>
        <w:t xml:space="preserve">Lista de contratos con el trabajador, la fecha efectiva, el inicio y fin, la estructura, el régimen laboral y el sueldo.</w:t>
      </w:r>
    </w:p>
    <w:p>
      <w:pPr>
        <w:pStyle w:val="ListParagraph"/>
        <w:numPr>
          <w:ilvl w:val="0"/>
          <w:numId w:val="7"/>
        </w:numPr>
        <w:spacing w:after="80"/>
      </w:pPr>
      <w:r>
        <w:t xml:space="preserve">Abra el contrato desde la ficha (botón con la fecha) o desde la lista.</w:t>
      </w:r>
    </w:p>
    <w:p>
      <w:pPr>
        <w:pStyle w:val="ListParagraph"/>
        <w:numPr>
          <w:ilvl w:val="0"/>
          <w:numId w:val="7"/>
        </w:numPr>
        <w:spacing w:after="80"/>
      </w:pPr>
      <w:r>
        <w:t xml:space="preserve">Fecha de inicio, </w:t>
      </w:r>
      <w:r>
        <w:rPr>
          <w:b/>
          <w:bCs/>
        </w:rPr>
        <w:t xml:space="preserve">Estructura salarial</w:t>
      </w:r>
      <w:r>
        <w:t xml:space="preserve"> y </w:t>
      </w:r>
      <w:r>
        <w:rPr>
          <w:b/>
          <w:bCs/>
        </w:rPr>
        <w:t xml:space="preserve">Diario de planillas</w:t>
      </w:r>
      <w:r>
        <w:t xml:space="preserve">. Un contrato nuevo nace con «Régimen General» y su estructura (C-07): Régimen General y Quincenal → NME; Obreros - Semanal → NSO.</w:t>
      </w:r>
    </w:p>
    <w:p>
      <w:pPr>
        <w:pStyle w:val="ListParagraph"/>
        <w:numPr>
          <w:ilvl w:val="0"/>
          <w:numId w:val="7"/>
        </w:numPr>
        <w:spacing w:after="80"/>
      </w:pPr>
      <w:r>
        <w:t xml:space="preserve">Pestaña </w:t>
      </w:r>
      <w:r>
        <w:rPr>
          <w:b/>
          <w:bCs/>
        </w:rPr>
        <w:t xml:space="preserve">Información salarial</w:t>
      </w:r>
      <w:r>
        <w:t xml:space="preserve">: salario, tipo de contrato, </w:t>
      </w:r>
      <w:r>
        <w:rPr>
          <w:b/>
          <w:bCs/>
        </w:rPr>
        <w:t xml:space="preserve">Categoría del pago</w:t>
      </w:r>
      <w:r>
        <w:t xml:space="preserve"> y horario.</w:t>
      </w:r>
    </w:p>
    <w:p>
      <w:pPr>
        <w:pStyle w:val="ListParagraph"/>
        <w:numPr>
          <w:ilvl w:val="0"/>
          <w:numId w:val="7"/>
        </w:numPr>
        <w:spacing w:after="80"/>
      </w:pPr>
      <w:r>
        <w:t xml:space="preserve">Grupo </w:t>
      </w:r>
      <w:r>
        <w:rPr>
          <w:b/>
          <w:bCs/>
        </w:rPr>
        <w:t xml:space="preserve">Perú - Datos laborales (T-Registro / PLAME)</w:t>
      </w:r>
      <w:r>
        <w:t xml:space="preserve">: régimen laboral (T33), </w:t>
      </w:r>
      <w:r>
        <w:rPr>
          <w:b/>
          <w:bCs/>
        </w:rPr>
        <w:t xml:space="preserve">tipo de trabajador (T8)</w:t>
      </w:r>
      <w:r>
        <w:t xml:space="preserve">, </w:t>
      </w:r>
      <w:r>
        <w:rPr>
          <w:b/>
          <w:bCs/>
        </w:rPr>
        <w:t xml:space="preserve">categoría ocupacional (T24)</w:t>
      </w:r>
      <w:r>
        <w:t xml:space="preserve">, tipo de contrato (T12), ocupación (T30), situación especial, tipo de pago y, al cesar, </w:t>
      </w:r>
      <w:r>
        <w:rPr>
          <w:b/>
          <w:bCs/>
        </w:rPr>
        <w:t xml:space="preserve">motivo de baja</w:t>
      </w:r>
      <w:r>
        <w:t xml:space="preserve"> (T17), </w:t>
      </w:r>
      <w:r>
        <w:rPr>
          <w:b/>
          <w:bCs/>
        </w:rPr>
        <w:t xml:space="preserve">despido arbitrario</w:t>
      </w:r>
      <w:r>
        <w:t xml:space="preserve"> y </w:t>
      </w:r>
      <w:r>
        <w:rPr>
          <w:b/>
          <w:bCs/>
        </w:rPr>
        <w:t xml:space="preserve">fin pactado del contrato modal</w:t>
      </w:r>
      <w:r>
        <w:t xml:space="preserve"> (capítulo 16).</w:t>
      </w:r>
    </w:p>
    <w:p>
      <w:pPr>
        <w:keepNext/>
        <w:spacing w:after="60" w:before="120"/>
        <w:jc w:val="center"/>
      </w:pPr>
      <w:r>
        <w:drawing>
          <wp:inline distT="0" distB="0" distL="0" distR="0">
            <wp:extent cx="5905500" cy="3324225"/>
            <wp:effectExtent t="0" r="0" b="0" l="0"/>
            <wp:docPr id="1" name="c08_13_contrato_lucia" descr="Contrato de Lucía: estructura «Nómina Mensual Empleados», diario Planillas, salario 4 500 y categoría del pago «Régimen General»." title="Contrato de Lucía: estructura «Nómina Mensual Empleados», diario Planillas, salario 4 500 y categoría del pago «Régimen 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45. </w:t>
      </w:r>
      <w:r>
        <w:rPr>
          <w:i/>
          <w:iCs/>
          <w:color w:val="555555"/>
          <w:sz w:val="18"/>
          <w:szCs w:val="18"/>
        </w:rPr>
        <w:t xml:space="preserve">Contrato de Lucía: estructura «Nómina Mensual Empleados», diario Planillas, salario 4 500 y categoría del pago «Régimen General».</w:t>
      </w:r>
    </w:p>
    <w:p>
      <w:pPr>
        <w:keepNext/>
        <w:spacing w:after="60" w:before="120"/>
        <w:jc w:val="center"/>
      </w:pPr>
      <w:r>
        <w:drawing>
          <wp:inline distT="0" distB="0" distL="0" distR="0">
            <wp:extent cx="5905500" cy="3324225"/>
            <wp:effectExtent t="0" r="0" b="0" l="0"/>
            <wp:docPr id="1" name="c08_15_categoria_del_pago" descr="«Categoría del pago»: los tipos peruanos primero; los genéricos de Odoo, al final y en español (U-10). (Se descartó.)" title="«Categoría del pago»: los tipos peruanos primero; los genéricos de Odoo, al final y en español (U-10). (Se descart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46. </w:t>
      </w:r>
      <w:r>
        <w:rPr>
          <w:i/>
          <w:iCs/>
          <w:color w:val="555555"/>
          <w:sz w:val="18"/>
          <w:szCs w:val="18"/>
        </w:rPr>
        <w:t xml:space="preserve">«Categoría del pago»: los tipos peruanos primero; los genéricos de Odoo, al final y en español (U-10). (Se descartó.)</w:t>
      </w:r>
    </w:p>
    <w:p>
      <w:pPr>
        <w:keepNext/>
        <w:spacing w:after="60" w:before="120"/>
        <w:jc w:val="center"/>
      </w:pPr>
      <w:r>
        <w:drawing>
          <wp:inline distT="0" distB="0" distL="0" distR="0">
            <wp:extent cx="5905500" cy="3324225"/>
            <wp:effectExtent t="0" r="0" b="0" l="0"/>
            <wp:docPr id="1" name="c08_16_contrato_t8_t24" descr="Datos laborales completos (caso TREGISTRO): régimen D.LEG N.° 728, tipo de trabajador 21 · Empleado, tipo de contrato [01] plazo indeterminado, tipo de pago [2] depósito en cuenta." title="Datos laborales completos (caso TREGISTRO): régimen D.LEG N.° 728, tipo de trabajador 21 · Empleado, tipo de contrato [01] plazo indeterminado, tipo de pago [2] depósito en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47. </w:t>
      </w:r>
      <w:r>
        <w:rPr>
          <w:i/>
          <w:iCs/>
          <w:color w:val="555555"/>
          <w:sz w:val="18"/>
          <w:szCs w:val="18"/>
        </w:rPr>
        <w:t xml:space="preserve">Datos laborales completos (caso TREGISTRO): régimen D.LEG N.° 728, tipo de trabajador 21 · Empleado, tipo de contrato [01] plazo indeterminado, tipo de pago [2] depósito en cuenta.</w:t>
      </w:r>
    </w:p>
    <w:p>
      <w:pPr>
        <w:pBdr>
          <w:left w:val="single" w:color="2E86AB" w:sz="18" w:space="8"/>
        </w:pBdr>
        <w:shd w:fill="EAF4F8" w:color="auto" w:val="clear"/>
        <w:spacing w:after="160" w:before="120"/>
        <w:ind w:left="120" w:right="120"/>
      </w:pPr>
      <w:r>
        <w:rPr>
          <w:b/>
          <w:bCs/>
          <w:color w:val="2E86AB"/>
        </w:rPr>
        <w:t xml:space="preserve">Nota: </w:t>
      </w:r>
      <w:r>
        <w:t xml:space="preserve">El contrato ya no muestra los beneficios de India de </w:t>
      </w:r>
      <w:r>
        <w:rPr>
          <w:rFonts w:ascii="Consolas" w:cs="Consolas" w:eastAsia="Consolas" w:hAnsi="Consolas"/>
          <w:color w:val="444444"/>
          <w:sz w:val="20"/>
          <w:szCs w:val="20"/>
        </w:rPr>
        <w:t xml:space="preserve">om_hr_payroll</w:t>
      </w:r>
      <w:r>
        <w:t xml:space="preserve"> (HRA, DA, viajes, comidas, gastos médicos) (U-07). La categoría ocupacional (T24) es obligatoria salvo para los tipos de trabajador 19, 20, 21, 23, 66, 71 y 98.</w:t>
      </w:r>
    </w:p>
    <w:p>
      <w:pPr>
        <w:pBdr>
          <w:top w:val="single" w:color="BFBFBF" w:sz="4" w:space="4"/>
        </w:pBdr>
        <w:spacing w:before="240"/>
      </w:pPr>
      <w:r>
        <w:rPr>
          <w:color w:val="777777"/>
          <w:sz w:val="16"/>
          <w:szCs w:val="16"/>
        </w:rPr>
        <w:t xml:space="preserve">Versiones mostradas: ce 19.0.1.27.1 · om 19.0.1.0.</w:t>
      </w:r>
      <w:r>
        <w:rPr>
          <w:color w:val="777777"/>
          <w:sz w:val="16"/>
          <w:szCs w:val="16"/>
        </w:rPr>
        <w:t xml:space="preserve">  Ítems de la versión 2: C-07, U-02, U-07, U-10, U-11, N-02, N-08.</w:t>
      </w:r>
    </w:p>
    <w:p>
      <w:pPr>
        <w:pStyle w:val="Heading1"/>
        <w:pageBreakBefore/>
      </w:pPr>
      <w:bookmarkStart w:name="t31" w:id="1"/>
      <w:r>
        <w:t xml:space="preserve">9. Estructuras salariales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1000"/>
        <w:gridCol w:w="4138"/>
      </w:tblGrid>
      <w:tr>
        <w:trPr>
          <w:tblHeader/>
        </w:trPr>
        <w:tc>
          <w:tcPr>
            <w:tcW w:type="dxa" w:w="1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Código</w:t>
            </w:r>
          </w:p>
        </w:tc>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Estructura</w:t>
            </w:r>
          </w:p>
        </w:tc>
        <w:tc>
          <w:tcPr>
            <w:tcW w:type="dxa" w:w="1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Reglas</w:t>
            </w:r>
          </w:p>
        </w:tc>
        <w:tc>
          <w:tcPr>
            <w:tcW w:type="dxa" w:w="41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Uso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NME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Mensual Empleados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mensual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NSO</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Semanal Obreros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semanal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NQA</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Quincenal / Adelanto</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Adelanto quincenal (porcentaje del contrato)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Gratificaciones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y diciembre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Mayo y noviembre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Vacaciones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23</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Goce de vacaciones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LIQ</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Liquidación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Cese: truncas, indemnización y 5.ª del cese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0001 / BASE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Reglas Básicas / Base for new structures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 / 3</w:t>
            </w:r>
          </w:p>
        </w:tc>
        <w:tc>
          <w:tcPr>
            <w:tcW w:type="dxa" w:w="4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Plantillas de Odoo Mates: no se usan para la planilla peruana</w:t>
            </w:r>
          </w:p>
        </w:tc>
      </w:tr>
    </w:tbl>
    <w:p>
      <w:pPr>
        <w:keepNext/>
        <w:spacing w:after="60" w:before="120"/>
        <w:jc w:val="center"/>
      </w:pPr>
      <w:r>
        <w:drawing>
          <wp:inline distT="0" distB="0" distL="0" distR="0">
            <wp:extent cx="5905500" cy="3324225"/>
            <wp:effectExtent t="0" r="0" b="0" l="0"/>
            <wp:docPr id="1" name="c09_01_estructuras" descr="Las 9 estructuras con el número de reglas de cada una." title="Las 9 estructuras con el número de reglas de cada 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48. </w:t>
      </w:r>
      <w:r>
        <w:rPr>
          <w:i/>
          <w:iCs/>
          <w:color w:val="555555"/>
          <w:sz w:val="18"/>
          <w:szCs w:val="18"/>
        </w:rPr>
        <w:t xml:space="preserve">Las 9 estructuras con el número de reglas de cada una.</w:t>
      </w:r>
    </w:p>
    <w:p>
      <w:pPr>
        <w:keepNext/>
        <w:spacing w:after="60" w:before="120"/>
        <w:jc w:val="center"/>
      </w:pPr>
      <w:r>
        <w:drawing>
          <wp:inline distT="0" distB="0" distL="0" distR="0">
            <wp:extent cx="5905500" cy="3324225"/>
            <wp:effectExtent t="0" r="0" b="0" l="0"/>
            <wp:docPr id="1" name="c09_02_estructura_nme" descr="Estructura NME: reglas con código y categoría; la pestaña «Ausencias no pagadas» define qué ausencias descuentan." title="Estructura NME: reglas con código y categoría; la pestaña «Ausencias no pagadas» define qué ausencias descu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49. </w:t>
      </w:r>
      <w:r>
        <w:rPr>
          <w:i/>
          <w:iCs/>
          <w:color w:val="555555"/>
          <w:sz w:val="18"/>
          <w:szCs w:val="18"/>
        </w:rPr>
        <w:t xml:space="preserve">Estructura NME: reglas con código y categoría; la pestaña «Ausencias no pagadas» define qué ausencias descuentan.</w:t>
      </w:r>
    </w:p>
    <w:p>
      <w:pPr>
        <w:spacing w:after="120"/>
      </w:pPr>
      <w:r>
        <w:t xml:space="preserve">La lista </w:t>
      </w:r>
      <w:r>
        <w:rPr>
          <w:b/>
          <w:bCs/>
        </w:rPr>
        <w:t xml:space="preserve">Configuración › Reglas salariales</w:t>
      </w:r>
      <w:r>
        <w:t xml:space="preserve"> abre </w:t>
      </w:r>
      <w:r>
        <w:rPr>
          <w:b/>
          <w:bCs/>
        </w:rPr>
        <w:t xml:space="preserve">agrupada por estructura</w:t>
      </w:r>
      <w:r>
        <w:t xml:space="preserve"> y filtrada en «Estructuras peruanas» (U-03). La misma regla aparece una vez por estructura que la usa, con su propia configuración: la asignación familiar </w:t>
      </w:r>
      <w:r>
        <w:rPr>
          <w:rFonts w:ascii="Consolas" w:cs="Consolas" w:eastAsia="Consolas" w:hAnsi="Consolas"/>
          <w:color w:val="444444"/>
          <w:sz w:val="20"/>
          <w:szCs w:val="20"/>
        </w:rPr>
        <w:t xml:space="preserve">ASF_001</w:t>
      </w:r>
      <w:r>
        <w:t xml:space="preserve"> está en la mensual (NME) y en la semanal (NSO).</w:t>
      </w:r>
    </w:p>
    <w:p>
      <w:pPr>
        <w:keepNext/>
        <w:spacing w:after="60" w:before="120"/>
        <w:jc w:val="center"/>
      </w:pPr>
      <w:r>
        <w:drawing>
          <wp:inline distT="0" distB="0" distL="0" distR="0">
            <wp:extent cx="5905500" cy="3324225"/>
            <wp:effectExtent t="0" r="0" b="0" l="0"/>
            <wp:docPr id="1" name="c09_03_reglas_agrupadas" descr="Reglas salariales agrupadas por estructura, con la mensual abierta." title="Reglas salariales agrupadas por estructura, con la mensual 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50. </w:t>
      </w:r>
      <w:r>
        <w:rPr>
          <w:i/>
          <w:iCs/>
          <w:color w:val="555555"/>
          <w:sz w:val="18"/>
          <w:szCs w:val="18"/>
        </w:rPr>
        <w:t xml:space="preserve">Reglas salariales agrupadas por estructura, con la mensual abierta.</w:t>
      </w:r>
    </w:p>
    <w:p>
      <w:pPr>
        <w:pStyle w:val="Heading2"/>
      </w:pPr>
      <w:bookmarkStart w:name="t32" w:id="1"/>
      <w:r>
        <w:t xml:space="preserve">9.1 Régimen de la microempresa</w:t>
      </w:r>
      <w:bookmarkEnd w:id="1"/>
    </w:p>
    <w:p>
      <w:pPr>
        <w:spacing w:after="120"/>
      </w:pPr>
      <w:r>
        <w:t xml:space="preserve">El régimen laboral del contrato decide los factores del parámetro </w:t>
      </w:r>
      <w:r>
        <w:rPr>
          <w:rFonts w:ascii="Consolas" w:cs="Consolas" w:eastAsia="Consolas" w:hAnsi="Consolas"/>
          <w:color w:val="444444"/>
          <w:sz w:val="20"/>
          <w:szCs w:val="20"/>
        </w:rPr>
        <w:t xml:space="preserve">pe_regimen_factores</w:t>
      </w:r>
      <w:r>
        <w:t xml:space="preserve"> (gratificación, días de CTS y días de vacaciones). Para la </w:t>
      </w:r>
      <w:r>
        <w:rPr>
          <w:b/>
          <w:bCs/>
        </w:rPr>
        <w:t xml:space="preserve">microempresa</w:t>
      </w:r>
      <w:r>
        <w:t xml:space="preserve"> (REMYPE) la compañía define además, en </w:t>
      </w:r>
      <w:r>
        <w:rPr>
          <w:b/>
          <w:bCs/>
        </w:rPr>
        <w:t xml:space="preserve">Ajustes de la compañía › Nómina PE - Controles</w:t>
      </w:r>
      <w:r>
        <w:t xml:space="preserve"> (C-25):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838"/>
        <w:gridCol w:w="1600"/>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Opción</w:t>
            </w:r>
          </w:p>
        </w:tc>
        <w:tc>
          <w:tcPr>
            <w:tcW w:type="dxa" w:w="4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Valores</w:t>
            </w:r>
          </w:p>
        </w:tc>
        <w:tc>
          <w:tcPr>
            <w:tcW w:type="dxa" w:w="1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Por defecto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Microempresa: régimen de salud</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 semicontributivo (S/ 15 al mes por trabajador, sin EsSalud) · EsSalud 9 %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Microempresa: asignación familiar</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pagar (no es obligatoria) · Pagar (voluntario)</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pagar</w:t>
            </w:r>
          </w:p>
        </w:tc>
      </w:tr>
    </w:tbl>
    <w:p>
      <w:pPr>
        <w:keepNext/>
        <w:spacing w:after="60" w:before="120"/>
        <w:jc w:val="center"/>
      </w:pPr>
      <w:r>
        <w:drawing>
          <wp:inline distT="0" distB="0" distL="0" distR="0">
            <wp:extent cx="5905500" cy="3324225"/>
            <wp:effectExtent t="0" r="0" b="0" l="0"/>
            <wp:docPr id="1" name="c09_04_compania_controles" descr="Nómina PE - Controles de la compañía: controles al validar, T-Registro, pago a bancos y microempresa." title="Nómina PE - Controles de la compañía: controles al validar, T-Registro, pago a bancos y micro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51. </w:t>
      </w:r>
      <w:r>
        <w:rPr>
          <w:i/>
          <w:iCs/>
          <w:color w:val="555555"/>
          <w:sz w:val="18"/>
          <w:szCs w:val="18"/>
        </w:rPr>
        <w:t xml:space="preserve">Nómina PE - Controles de la compañía: controles al validar, T-Registro, pago a bancos y microempresa.</w:t>
      </w:r>
    </w:p>
    <w:p>
      <w:pPr>
        <w:spacing w:after="120"/>
      </w:pPr>
      <w:r>
        <w:t xml:space="preserve">Si el trabajador tiene su propio </w:t>
      </w:r>
      <w:r>
        <w:rPr>
          <w:b/>
          <w:bCs/>
        </w:rPr>
        <w:t xml:space="preserve">régimen de salud</w:t>
      </w:r>
      <w:r>
        <w:t xml:space="preserve"> (T32) en la ficha, ese manda: 21 = SIS microempresa. El detalle, con el caso MICRO, está en el capítulo 24.</w:t>
      </w:r>
    </w:p>
    <w:p>
      <w:pPr>
        <w:pBdr>
          <w:left w:val="single" w:color="714B67" w:sz="18" w:space="8"/>
        </w:pBdr>
        <w:shd w:fill="F3EEF2" w:color="auto" w:val="clear"/>
        <w:spacing w:after="160" w:before="120"/>
        <w:ind w:left="120" w:right="120"/>
      </w:pPr>
      <w:r>
        <w:rPr>
          <w:b/>
          <w:bCs/>
          <w:color w:val="714B67"/>
        </w:rPr>
        <w:t xml:space="preserve">Para implementadores: </w:t>
      </w:r>
      <w:r>
        <w:t xml:space="preserve">Las estructuras pertenecen a la compañía 1 y las usan también las demás compañías. Se comprobó que un usuario de otra compañía calcula sus boletas sin error de acceso (Q-03, cerrado sin cambio).</w:t>
      </w:r>
    </w:p>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U-03, C-25, Q-03.</w:t>
      </w:r>
    </w:p>
    <w:p>
      <w:pPr>
        <w:pStyle w:val="Heading1"/>
        <w:pageBreakBefore/>
      </w:pPr>
      <w:bookmarkStart w:name="t33" w:id="1"/>
      <w:r>
        <w:t xml:space="preserve">10. Boleta de pago individual</w:t>
      </w:r>
      <w:bookmarkEnd w:id="1"/>
    </w:p>
    <w:p>
      <w:pPr>
        <w:spacing w:after="120"/>
      </w:pPr>
      <w:r>
        <w:t xml:space="preserve">La boleta se crea en </w:t>
      </w:r>
      <w:r>
        <w:rPr>
          <w:b/>
          <w:bCs/>
        </w:rPr>
        <w:t xml:space="preserve">Nómina › Nóminas del empleado › Nuevo</w:t>
      </w:r>
      <w:r>
        <w:t xml:space="preserve">. Este capítulo usa la boleta de diciembre de 2026 de la trabajadora del </w:t>
      </w:r>
      <w:r>
        <w:rPr>
          <w:b/>
          <w:bCs/>
        </w:rPr>
        <w:t xml:space="preserve">caso BOLETA</w:t>
      </w:r>
      <w:r>
        <w:t xml:space="preserve"> (DNI 70000501, sueldo 4 500, AFP Integra y un hijo), calculada con las versiones de este manual.</w:t>
      </w:r>
    </w:p>
    <w:p>
      <w:pPr>
        <w:pStyle w:val="Heading2"/>
      </w:pPr>
      <w:bookmarkStart w:name="t34" w:id="1"/>
      <w:r>
        <w:t xml:space="preserve">10.1 Crear y calcular</w:t>
      </w:r>
      <w:bookmarkEnd w:id="1"/>
    </w:p>
    <w:p>
      <w:pPr>
        <w:pStyle w:val="ListParagraph"/>
        <w:numPr>
          <w:ilvl w:val="0"/>
          <w:numId w:val="8"/>
        </w:numPr>
        <w:spacing w:after="80"/>
      </w:pPr>
      <w:r>
        <w:t xml:space="preserve">Elija el </w:t>
      </w:r>
      <w:r>
        <w:rPr>
          <w:b/>
          <w:bCs/>
        </w:rPr>
        <w:t xml:space="preserve">Empleado</w:t>
      </w:r>
      <w:r>
        <w:t xml:space="preserve">. La boleta toma su contrato vigente y la </w:t>
      </w:r>
      <w:r>
        <w:rPr>
          <w:b/>
          <w:bCs/>
        </w:rPr>
        <w:t xml:space="preserve">Estructura</w:t>
      </w:r>
      <w:r>
        <w:t xml:space="preserve"> del contrato (C-07).</w:t>
      </w:r>
    </w:p>
    <w:p>
      <w:pPr>
        <w:pStyle w:val="ListParagraph"/>
        <w:numPr>
          <w:ilvl w:val="0"/>
          <w:numId w:val="8"/>
        </w:numPr>
        <w:spacing w:after="80"/>
      </w:pPr>
      <w:r>
        <w:t xml:space="preserve">Elija el </w:t>
      </w:r>
      <w:r>
        <w:rPr>
          <w:b/>
          <w:bCs/>
        </w:rPr>
        <w:t xml:space="preserve">Periodo</w:t>
      </w:r>
      <w:r>
        <w:t xml:space="preserve">. Al cambiarlo se recalculan los días trabajados y el nombre: «Boleta de &lt;trabajador&gt; – &lt;mes año&gt;» (U-06).</w:t>
      </w:r>
    </w:p>
    <w:p>
      <w:pPr>
        <w:pStyle w:val="ListParagraph"/>
        <w:numPr>
          <w:ilvl w:val="0"/>
          <w:numId w:val="8"/>
        </w:numPr>
        <w:spacing w:after="80"/>
      </w:pPr>
      <w:r>
        <w:t xml:space="preserve">Revise la pestaña </w:t>
      </w:r>
      <w:r>
        <w:rPr>
          <w:b/>
          <w:bCs/>
        </w:rPr>
        <w:t xml:space="preserve">Días trabajados y entradas</w:t>
      </w:r>
      <w:r>
        <w:t xml:space="preserve"> y agregue las </w:t>
      </w:r>
      <w:r>
        <w:rPr>
          <w:b/>
          <w:bCs/>
        </w:rPr>
        <w:t xml:space="preserve">Otras entradas</w:t>
      </w:r>
      <w:r>
        <w:t xml:space="preserve"> del mes (horas extra, movilidad, tardanzas…: capítulo 20).</w:t>
      </w:r>
    </w:p>
    <w:p>
      <w:pPr>
        <w:pStyle w:val="ListParagraph"/>
        <w:numPr>
          <w:ilvl w:val="0"/>
          <w:numId w:val="8"/>
        </w:numPr>
        <w:spacing w:after="80"/>
      </w:pPr>
      <w:r>
        <w:t xml:space="preserve">Pulse </w:t>
      </w:r>
      <w:r>
        <w:rPr>
          <w:b/>
          <w:bCs/>
        </w:rPr>
        <w:t xml:space="preserve">Calcular hoja</w:t>
      </w:r>
      <w:r>
        <w:t xml:space="preserve">. Si la compañía tiene asistencias, </w:t>
      </w:r>
      <w:r>
        <w:rPr>
          <w:b/>
          <w:bCs/>
        </w:rPr>
        <w:t xml:space="preserve">Cargar asistencias</w:t>
      </w:r>
      <w:r>
        <w:t xml:space="preserve"> concilia las marcaciones antes (capítulo 19).</w:t>
      </w:r>
    </w:p>
    <w:p>
      <w:pPr>
        <w:pStyle w:val="ListParagraph"/>
        <w:numPr>
          <w:ilvl w:val="0"/>
          <w:numId w:val="8"/>
        </w:numPr>
        <w:spacing w:after="80"/>
      </w:pPr>
      <w:r>
        <w:t xml:space="preserve">Revise </w:t>
      </w:r>
      <w:r>
        <w:rPr>
          <w:b/>
          <w:bCs/>
        </w:rPr>
        <w:t xml:space="preserve">Cálculo de la nómina</w:t>
      </w:r>
      <w:r>
        <w:t xml:space="preserve"> y pulse </w:t>
      </w:r>
      <w:r>
        <w:rPr>
          <w:b/>
          <w:bCs/>
        </w:rPr>
        <w:t xml:space="preserve">Confirmar</w:t>
      </w:r>
      <w:r>
        <w:t xml:space="preserve"> para validarla: se genera el asiento en el diario Planillas.</w:t>
      </w:r>
    </w:p>
    <w:p>
      <w:pPr>
        <w:keepNext/>
        <w:spacing w:after="60" w:before="120"/>
        <w:jc w:val="center"/>
      </w:pPr>
      <w:r>
        <w:drawing>
          <wp:inline distT="0" distB="0" distL="0" distR="0">
            <wp:extent cx="5905500" cy="5114925"/>
            <wp:effectExtent t="0" r="0" b="0" l="0"/>
            <wp:docPr id="1" name="c10_04_boleta_nueva" descr="Boleta nueva de diciembre de 2026 (sin guardar): estructura del contrato, nombre en español y días laborados 23 / 184 h. La banda avisa que la compañía de laboratorio no tiene feriados de 2026." title="Boleta nueva de diciembre de 2026 (sin guardar): estructura del contrato, nombre en español y días laborados 23 / 184 h. La banda avisa que la compañía de laboratorio no tiene feriados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52. </w:t>
      </w:r>
      <w:r>
        <w:rPr>
          <w:i/>
          <w:iCs/>
          <w:color w:val="555555"/>
          <w:sz w:val="18"/>
          <w:szCs w:val="18"/>
        </w:rPr>
        <w:t xml:space="preserve">Boleta nueva de diciembre de 2026 (sin guardar): estructura del contrato, nombre en español y días laborados 23 / 184 h. La banda avisa que la compañía de laboratorio no tiene feriados de 2026.</w:t>
      </w:r>
    </w:p>
    <w:p>
      <w:pPr>
        <w:spacing w:after="120"/>
      </w:pPr>
      <w:r>
        <w:t xml:space="preserve">Los botones cambian con el estado: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3238"/>
      </w:tblGrid>
      <w:tr>
        <w:trPr>
          <w:tblHeader/>
        </w:trPr>
        <w:tc>
          <w:tcPr>
            <w:tcW w:type="dxa" w:w="1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Estado</w:t>
            </w:r>
          </w:p>
        </w:tc>
        <w:tc>
          <w:tcPr>
            <w:tcW w:type="dxa" w:w="4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Botones</w:t>
            </w:r>
          </w:p>
        </w:tc>
        <w:tc>
          <w:tcPr>
            <w:tcW w:type="dxa" w:w="3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Para qué</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Borrador</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Confirmar · Calcular hoja · Cargar asistencias · Cancelar nómina</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Calcular y validar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Hecho</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Rectificar · Cancelar nómina · </w:t>
            </w:r>
            <w:r>
              <w:rPr>
                <w:b/>
                <w:bCs/>
                <w:sz w:val="19"/>
                <w:szCs w:val="19"/>
              </w:rPr>
              <w:t xml:space="preserve">Enviar por correo</w:t>
            </w:r>
            <w:r>
              <w:rPr>
                <w:sz w:val="19"/>
                <w:szCs w:val="19"/>
              </w:rPr>
              <w:t xml:space="preserve"> · </w:t>
            </w:r>
            <w:r>
              <w:rPr>
                <w:b/>
                <w:bCs/>
                <w:sz w:val="19"/>
                <w:szCs w:val="19"/>
              </w:rPr>
              <w:t xml:space="preserve">Confirmar recepción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rectificativa (capítulo 25); envío y constancia de entrega (capítulo 28)</w:t>
            </w:r>
          </w:p>
        </w:tc>
      </w:tr>
    </w:tbl>
    <w:p>
      <w:pPr>
        <w:spacing w:after="120"/>
      </w:pPr>
      <w:r>
        <w:t xml:space="preserve">La boleta validada muestra además </w:t>
      </w:r>
      <w:r>
        <w:rPr>
          <w:b/>
          <w:bCs/>
        </w:rPr>
        <w:t xml:space="preserve">Por pagar</w:t>
      </w:r>
      <w:r>
        <w:t xml:space="preserve"> (el neto pendiente), </w:t>
      </w:r>
      <w:r>
        <w:rPr>
          <w:b/>
          <w:bCs/>
        </w:rPr>
        <w:t xml:space="preserve">Fecha de pago</w:t>
      </w:r>
      <w:r>
        <w:t xml:space="preserve"> y </w:t>
      </w:r>
      <w:r>
        <w:rPr>
          <w:b/>
          <w:bCs/>
        </w:rPr>
        <w:t xml:space="preserve">N.° de operación</w:t>
      </w:r>
      <w:r>
        <w:t xml:space="preserve">, que se llenan al registrar el pago (capítulo 28).</w:t>
      </w:r>
    </w:p>
    <w:p>
      <w:pPr>
        <w:pStyle w:val="Heading2"/>
      </w:pPr>
      <w:bookmarkStart w:name="t35" w:id="1"/>
      <w:r>
        <w:t xml:space="preserve">10.2 Días trabajados</w:t>
      </w:r>
      <w:bookmarkEnd w:id="1"/>
    </w:p>
    <w:p>
      <w:pPr>
        <w:keepNext/>
        <w:spacing w:after="60" w:before="120"/>
        <w:jc w:val="center"/>
      </w:pPr>
      <w:r>
        <w:drawing>
          <wp:inline distT="0" distB="0" distL="0" distR="0">
            <wp:extent cx="5905500" cy="5114925"/>
            <wp:effectExtent t="0" r="0" b="0" l="0"/>
            <wp:docPr id="1" name="c10_01_dias" descr="Días trabajados de diciembre de 2026: «Días laborados (100 %)» 23 días y 184 horas, con «¿Pagado?» visible." title="Días trabajados de diciembre de 2026: «Días laborados (100 %)» 23 días y 184 horas, con «¿Pagado?»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53. </w:t>
      </w:r>
      <w:r>
        <w:rPr>
          <w:i/>
          <w:iCs/>
          <w:color w:val="555555"/>
          <w:sz w:val="18"/>
          <w:szCs w:val="18"/>
        </w:rPr>
        <w:t xml:space="preserve">Días trabajados de diciembre de 2026: «Días laborados (100 %)» 23 días y 184 horas, con «¿Pagado?» visible.</w:t>
      </w:r>
    </w:p>
    <w:p>
      <w:pPr>
        <w:spacing w:after="120"/>
      </w:pPr>
      <w:r>
        <w:t xml:space="preserve">La lista de días trabajados trae los días </w:t>
      </w:r>
      <w:r>
        <w:rPr>
          <w:b/>
          <w:bCs/>
        </w:rPr>
        <w:t xml:space="preserve">hábiles</w:t>
      </w:r>
      <w:r>
        <w:t xml:space="preserve"> del calendario del contrato y sus horas, con una línea por tipo de ausencia. Desde la versión 2 tiene la columna </w:t>
      </w:r>
      <w:r>
        <w:rPr>
          <w:b/>
          <w:bCs/>
        </w:rPr>
        <w:t xml:space="preserve">¿Pagado?</w:t>
      </w:r>
      <w:r>
        <w:t xml:space="preserve"> y lo que se marca se guarda (C-16). Cuando la estructura no paga una ausencia, por ejemplo las vacaciones en la mensual, la línea queda sin marcar.</w:t>
      </w:r>
    </w:p>
    <w:p>
      <w:pPr>
        <w:spacing w:after="120"/>
      </w:pPr>
      <w:r>
        <w:t xml:space="preserve">Los </w:t>
      </w:r>
      <w:r>
        <w:rPr>
          <w:b/>
          <w:bCs/>
        </w:rPr>
        <w:t xml:space="preserve">días que se declaran</w:t>
      </w:r>
      <w:r>
        <w:t xml:space="preserve"> (boleta impresa y PLAME) siguen la norma (C-09): días calendario del periodo dentro del vínculo menos los días de suspensión. Los feriados y el descanso semanal </w:t>
      </w:r>
      <w:r>
        <w:rPr>
          <w:b/>
          <w:bCs/>
        </w:rPr>
        <w:t xml:space="preserve">cuentan como laborados</w:t>
      </w:r>
      <w:r>
        <w:t xml:space="preserve">. Las horas son las de la jornada cumplida. Por eso la boleta impresa de diciembre dice «Días laborados: 31 · Días no laborados: 0 · Horas: 184».</w:t>
      </w:r>
    </w:p>
    <w:p>
      <w:pPr>
        <w:pStyle w:val="Heading2"/>
      </w:pPr>
      <w:bookmarkStart w:name="t36" w:id="1"/>
      <w:r>
        <w:t xml:space="preserve">10.3 Cálculo</w:t>
      </w:r>
      <w:bookmarkEnd w:id="1"/>
    </w:p>
    <w:p>
      <w:pPr>
        <w:keepNext/>
        <w:spacing w:after="60" w:before="120"/>
        <w:jc w:val="center"/>
      </w:pPr>
      <w:r>
        <w:drawing>
          <wp:inline distT="0" distB="0" distL="0" distR="0">
            <wp:extent cx="5905500" cy="7743825"/>
            <wp:effectExtent t="0" r="0" b="0" l="0"/>
            <wp:docPr id="1" name="c10_01_calculo" descr="Cálculo de la boleta de diciembre de 2026 (caso BOLETA): remuneración 4 500, asignación familiar 123, AFP, EsSalud, SENATI y neto 4 025,70." title="Cálculo de la boleta de diciembre de 2026 (caso BOLETA): remuneración 4 500, asignación familiar 123, AFP, EsSalud, SENATI y neto 4 0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05500" cy="7743825"/>
                    </a:xfrm>
                    <a:prstGeom prst="rect">
                      <a:avLst/>
                    </a:prstGeom>
                  </pic:spPr>
                </pic:pic>
              </a:graphicData>
            </a:graphic>
          </wp:inline>
        </w:drawing>
      </w:r>
    </w:p>
    <w:p>
      <w:pPr>
        <w:spacing w:after="200"/>
        <w:jc w:val="center"/>
      </w:pPr>
      <w:r>
        <w:rPr>
          <w:b/>
          <w:bCs/>
          <w:color w:val="714B67"/>
          <w:sz w:val="18"/>
          <w:szCs w:val="18"/>
        </w:rPr>
        <w:t xml:space="preserve">Figura 54. </w:t>
      </w:r>
      <w:r>
        <w:rPr>
          <w:i/>
          <w:iCs/>
          <w:color w:val="555555"/>
          <w:sz w:val="18"/>
          <w:szCs w:val="18"/>
        </w:rPr>
        <w:t xml:space="preserve">Cálculo de la boleta de diciembre de 2026 (caso BOLETA): remuneración 4 500, asignación familiar 123, AFP, EsSalud, SENATI y neto 4 025,70.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400"/>
        <w:gridCol w:w="33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1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Código</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Importe</w:t>
            </w:r>
          </w:p>
        </w:tc>
        <w:tc>
          <w:tcPr>
            <w:tcW w:type="dxa" w:w="33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Cómo se calcula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básica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4 500,00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del contrato</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Asignación familiar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ASF_001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123,00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 de la RMV vigente (1 230 desde octubre de 2026)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Total ingresos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GROSS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4 623,00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aporte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AFP_APO_001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462,30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 de 4 623,00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comisión (Integra, flujo)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AFP_COM_001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71,66</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1,55 %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prima de seguro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AFP_PRI_001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63,34</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1,37 % (hasta la RMA)</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Neto a pagar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4 025,70</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4 623,00 − 597,30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 (empleador)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416,07</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 (empleador)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SENATI_001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34,67</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0,75 %</w:t>
            </w:r>
          </w:p>
        </w:tc>
      </w:tr>
    </w:tbl>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BOLETA (166 celdas): las 6 boletas de la trabajadora 70000501 (agosto a diciembre de 2026 y la gratificación de diciembre) cuadran al centavo: ingresos − descuentos = neto, y la suma de las líneas impresas es igual al total.</w:t>
      </w:r>
    </w:p>
    <w:p>
      <w:pPr>
        <w:pStyle w:val="Heading2"/>
      </w:pPr>
      <w:bookmarkStart w:name="t37" w:id="1"/>
      <w:r>
        <w:t xml:space="preserve">10.4 Boleta impresa (D.S. 001-98-TR)</w:t>
      </w:r>
      <w:bookmarkEnd w:id="1"/>
    </w:p>
    <w:p>
      <w:pPr>
        <w:spacing w:after="120"/>
      </w:pPr>
      <w:r>
        <w:t xml:space="preserve">Desde la boleta, </w:t>
      </w:r>
      <w:r>
        <w:rPr>
          <w:b/>
          <w:bCs/>
        </w:rPr>
        <w:t xml:space="preserve">Imprimir › Boleta de Pago (PE)</w:t>
      </w:r>
      <w:r>
        <w:t xml:space="preserve">. Ahora cuadra al centavo con el asiento (C-05): se imprimen los importes redondeados de cada línea.</w:t>
      </w:r>
    </w:p>
    <w:p>
      <w:pPr>
        <w:keepNext/>
        <w:spacing w:after="60" w:before="120"/>
        <w:jc w:val="center"/>
      </w:pPr>
      <w:r>
        <w:drawing>
          <wp:inline distT="0" distB="0" distL="0" distR="0">
            <wp:extent cx="5905500" cy="2466975"/>
            <wp:effectExtent t="0" r="0" b="0" l="0"/>
            <wp:docPr id="1" name="c10_02_boleta_impresa" descr="Boleta de diciembre de 2026: días laborados 31, no laborados 0, horas 184; ingresos 4 623,00, descuentos 597,30, aportes del empleador 450,74 y neto 4 025,70." title="Boleta de diciembre de 2026: días laborados 31, no laborados 0, horas 184; ingresos 4 623,00, descuentos 597,30, aportes del empleador 450,74 y neto 4 0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2466975"/>
                    </a:xfrm>
                    <a:prstGeom prst="rect">
                      <a:avLst/>
                    </a:prstGeom>
                  </pic:spPr>
                </pic:pic>
              </a:graphicData>
            </a:graphic>
          </wp:inline>
        </w:drawing>
      </w:r>
    </w:p>
    <w:p>
      <w:pPr>
        <w:spacing w:after="200"/>
        <w:jc w:val="center"/>
      </w:pPr>
      <w:r>
        <w:rPr>
          <w:b/>
          <w:bCs/>
          <w:color w:val="714B67"/>
          <w:sz w:val="18"/>
          <w:szCs w:val="18"/>
        </w:rPr>
        <w:t xml:space="preserve">Figura 55. </w:t>
      </w:r>
      <w:r>
        <w:rPr>
          <w:i/>
          <w:iCs/>
          <w:color w:val="555555"/>
          <w:sz w:val="18"/>
          <w:szCs w:val="18"/>
        </w:rPr>
        <w:t xml:space="preserve">Boleta de diciembre de 2026: días laborados 31, no laborados 0, horas 184; ingresos 4 623,00, descuentos 597,30, aportes del empleador 450,74 y neto 4 025,70.</w:t>
      </w:r>
    </w:p>
    <w:p>
      <w:pPr>
        <w:pStyle w:val="Heading2"/>
      </w:pPr>
      <w:bookmarkStart w:name="t38" w:id="1"/>
      <w:r>
        <w:t xml:space="preserve">10.5 Asiento contable</w:t>
      </w:r>
      <w:bookmarkEnd w:id="1"/>
    </w:p>
    <w:p>
      <w:pPr>
        <w:keepNext/>
        <w:spacing w:after="60" w:before="120"/>
        <w:jc w:val="center"/>
      </w:pPr>
      <w:r>
        <w:drawing>
          <wp:inline distT="0" distB="0" distL="0" distR="0">
            <wp:extent cx="5905500" cy="5114925"/>
            <wp:effectExtent t="0" r="0" b="0" l="0"/>
            <wp:docPr id="1" name="c10_01_contable" descr="Información contable: diario Planillas y asiento PLLA/2026/12/0022." title="Información contable: diario Planillas y asiento PLLA/2026/12/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56. </w:t>
      </w:r>
      <w:r>
        <w:rPr>
          <w:i/>
          <w:iCs/>
          <w:color w:val="555555"/>
          <w:sz w:val="18"/>
          <w:szCs w:val="18"/>
        </w:rPr>
        <w:t xml:space="preserve">Información contable: diario Planillas y asiento PLLA/2026/12/0022.</w:t>
      </w:r>
    </w:p>
    <w:p>
      <w:pPr>
        <w:keepNext/>
        <w:spacing w:after="60" w:before="120"/>
        <w:jc w:val="center"/>
      </w:pPr>
      <w:r>
        <w:drawing>
          <wp:inline distT="0" distB="0" distL="0" distR="0">
            <wp:extent cx="5905500" cy="3324225"/>
            <wp:effectExtent t="0" r="0" b="0" l="0"/>
            <wp:docPr id="1" name="c10_03_asiento" descr="Asiento PLLA/2026/12/0022: 5 671,04 al debe y al haber. El trabajador figura como socio en las líneas de la cuenta 4111." title="Asiento PLLA/2026/12/0022: 5 671,04 al debe y al haber. El trabajador figura como socio en las líneas de la cuenta 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57. </w:t>
      </w:r>
      <w:r>
        <w:rPr>
          <w:i/>
          <w:iCs/>
          <w:color w:val="555555"/>
          <w:sz w:val="18"/>
          <w:szCs w:val="18"/>
        </w:rPr>
        <w:t xml:space="preserve">Asiento PLLA/2026/12/0022: 5 671,04 al debe y al haber. El trabajador figura como socio en las líneas de la cuenta 4111.</w:t>
      </w:r>
    </w:p>
    <w:p>
      <w:pPr>
        <w:spacing w:after="120"/>
      </w:pPr>
      <w:r>
        <w:t xml:space="preserve">El asiento suma </w:t>
      </w:r>
      <w:r>
        <w:rPr>
          <w:b/>
          <w:bCs/>
        </w:rPr>
        <w:t xml:space="preserve">5 671,04</w:t>
      </w:r>
      <w:r>
        <w:t xml:space="preserve">: remuneraciones 4 623,00 (6211 / 4111), descuentos 597,30 (4111 / 4170), EsSalud 416,07 (6271 / 4031) y SENATI 34,67 (6277 / 4033). El saldo de la 4111 del trabajador es </w:t>
      </w:r>
      <w:r>
        <w:rPr>
          <w:b/>
          <w:bCs/>
        </w:rPr>
        <w:t xml:space="preserve">4 025,70</w:t>
      </w:r>
      <w:r>
        <w:t xml:space="preserve">, igual al neto.</w:t>
      </w:r>
    </w:p>
    <w:p>
      <w:pPr>
        <w:pStyle w:val="Heading2"/>
      </w:pPr>
      <w:bookmarkStart w:name="t39" w:id="1"/>
      <w:r>
        <w:t xml:space="preserve">10.6 Una boleta sin importes no se valida</w:t>
      </w:r>
      <w:bookmarkEnd w:id="1"/>
    </w:p>
    <w:p>
      <w:pPr>
        <w:spacing w:after="120"/>
      </w:pPr>
      <w:r>
        <w:t xml:space="preserve">Una boleta en la que todas las líneas salen en 0,00 no tiene nada que pagar ni que contabilizar: por ejemplo, la CTS o la gratificación de un trabajador de microempresa. Al confirmarla, la localización lo explica y ofrece </w:t>
      </w:r>
      <w:r>
        <w:rPr>
          <w:b/>
          <w:bCs/>
        </w:rPr>
        <w:t xml:space="preserve">Eliminar la boleta sin importes</w:t>
      </w:r>
      <w:r>
        <w:t xml:space="preserve"> (C-18). Desde un lote, el aviso lista todas las vacías y el botón las elimina y valida el resto.</w:t>
      </w:r>
    </w:p>
    <w:p>
      <w:pPr>
        <w:keepNext/>
        <w:spacing w:after="60" w:before="120"/>
        <w:jc w:val="center"/>
      </w:pPr>
      <w:r>
        <w:drawing>
          <wp:inline distT="0" distB="0" distL="0" distR="0">
            <wp:extent cx="5905500" cy="5114925"/>
            <wp:effectExtent t="0" r="0" b="0" l="0"/>
            <wp:docPr id="1" name="c10_05_boleta_sin_importes" descr="CTS de noviembre de 2026 del trabajador del caso MICRO: «La boleta no tiene importes… no se valida», con el botón para eliminarla. (Se cerró sin eliminar.)" title="CTS de noviembre de 2026 del trabajador del caso MICRO: «La boleta no tiene importes… no se valida», con el botón para eliminarla. (Se cerró sin elimi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58. </w:t>
      </w:r>
      <w:r>
        <w:rPr>
          <w:i/>
          <w:iCs/>
          <w:color w:val="555555"/>
          <w:sz w:val="18"/>
          <w:szCs w:val="18"/>
        </w:rPr>
        <w:t xml:space="preserve">CTS de noviembre de 2026 del trabajador del caso MICRO: «La boleta no tiene importes… no se valida», con el botón para eliminarla. (Se cerró sin eliminar.)</w:t>
      </w:r>
    </w:p>
    <w:p>
      <w:pPr>
        <w:pBdr>
          <w:left w:val="single" w:color="714B67" w:sz="18" w:space="8"/>
        </w:pBdr>
        <w:shd w:fill="F3EEF2" w:color="auto" w:val="clear"/>
        <w:spacing w:after="160" w:before="120"/>
        <w:ind w:left="120" w:right="120"/>
      </w:pPr>
      <w:r>
        <w:rPr>
          <w:b/>
          <w:bCs/>
          <w:color w:val="714B67"/>
        </w:rPr>
        <w:t xml:space="preserve">Para implementadores: </w:t>
      </w:r>
      <w:r>
        <w:t xml:space="preserve">Las 64 boletas del recorrido de FM SYSTEMS se validaron antes de la versión 2, y una boleta validada no se recalcula. Sus </w:t>
      </w:r>
      <w:r>
        <w:rPr>
          <w:b/>
          <w:bCs/>
        </w:rPr>
        <w:t xml:space="preserve">importes</w:t>
      </w:r>
      <w:r>
        <w:t xml:space="preserve"> coinciden con los del código actual (la renta de 5.ª de Lucía da 2 309,73 en 2025 y 2 160,78 en 2026), pero su pestaña de días conserva los textos y las líneas del v1: «Normal Working Days paid at 100%» y «Global Leaves» (la línea negativa de feriados que se usaba antes de C-09). Por eso las pantallas de días de este manual son del laboratorio (observación O-63, Anexo A).</w:t>
      </w:r>
    </w:p>
    <w:p>
      <w:pPr>
        <w:pBdr>
          <w:top w:val="single" w:color="BFBFBF" w:sz="4" w:space="4"/>
        </w:pBdr>
        <w:spacing w:before="240"/>
      </w:pPr>
      <w:r>
        <w:rPr>
          <w:color w:val="777777"/>
          <w:sz w:val="16"/>
          <w:szCs w:val="16"/>
        </w:rPr>
        <w:t xml:space="preserve">Versiones mostradas: base 19.0.1.20.1 · ce 19.0.1.27.1 · ce_demo 19.0.2.25.1.</w:t>
      </w:r>
      <w:r>
        <w:rPr>
          <w:color w:val="777777"/>
          <w:sz w:val="16"/>
          <w:szCs w:val="16"/>
        </w:rPr>
        <w:t xml:space="preserve">  Ítems de la versión 2: C-05, C-07, C-09, C-16, C-18, U-06, N-07, N-08.</w:t>
      </w:r>
    </w:p>
    <w:p>
      <w:pPr>
        <w:pStyle w:val="Heading1"/>
        <w:pageBreakBefore/>
      </w:pPr>
      <w:bookmarkStart w:name="t40" w:id="1"/>
      <w:r>
        <w:t xml:space="preserve">11. Lote mensual y orden del proceso</w:t>
      </w:r>
      <w:bookmarkEnd w:id="1"/>
    </w:p>
    <w:p>
      <w:pPr>
        <w:spacing w:after="120"/>
      </w:pPr>
      <w:r>
        <w:rPr>
          <w:b/>
          <w:bCs/>
        </w:rPr>
        <w:t xml:space="preserve">Nómina › Procesamientos de nóminas</w:t>
      </w:r>
      <w:r>
        <w:t xml:space="preserve"> agrupa las boletas de un periodo. El lote nace con el diario </w:t>
      </w:r>
      <w:r>
        <w:rPr>
          <w:b/>
          <w:bCs/>
        </w:rPr>
        <w:t xml:space="preserve">Planillas</w:t>
      </w:r>
      <w:r>
        <w:t xml:space="preserve"> (C-06).</w:t>
      </w:r>
    </w:p>
    <w:p>
      <w:pPr>
        <w:keepNext/>
        <w:spacing w:after="60" w:before="120"/>
        <w:jc w:val="center"/>
      </w:pPr>
      <w:r>
        <w:drawing>
          <wp:inline distT="0" distB="0" distL="0" distR="0">
            <wp:extent cx="5905500" cy="3324225"/>
            <wp:effectExtent t="0" r="0" b="0" l="0"/>
            <wp:docPr id="1" name="c11_01_lotes" descr="Lista de lotes." title="Lista de l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59. </w:t>
      </w:r>
      <w:r>
        <w:rPr>
          <w:i/>
          <w:iCs/>
          <w:color w:val="555555"/>
          <w:sz w:val="18"/>
          <w:szCs w:val="18"/>
        </w:rPr>
        <w:t xml:space="preserve">Lista de lotes.</w:t>
      </w:r>
    </w:p>
    <w:p>
      <w:pPr>
        <w:pStyle w:val="Heading2"/>
      </w:pPr>
      <w:bookmarkStart w:name="t41" w:id="1"/>
      <w:r>
        <w:t xml:space="preserve">11.1 Generar el lote</w:t>
      </w:r>
      <w:bookmarkEnd w:id="1"/>
    </w:p>
    <w:p>
      <w:pPr>
        <w:pStyle w:val="ListParagraph"/>
        <w:numPr>
          <w:ilvl w:val="0"/>
          <w:numId w:val="9"/>
        </w:numPr>
        <w:spacing w:after="80"/>
      </w:pPr>
      <w:r>
        <w:rPr>
          <w:b/>
          <w:bCs/>
        </w:rPr>
        <w:t xml:space="preserve">Nuevo</w:t>
      </w:r>
      <w:r>
        <w:t xml:space="preserve">: nombre y periodo. El diario Planillas viene por defecto.</w:t>
      </w:r>
    </w:p>
    <w:p>
      <w:pPr>
        <w:pStyle w:val="ListParagraph"/>
        <w:numPr>
          <w:ilvl w:val="0"/>
          <w:numId w:val="9"/>
        </w:numPr>
        <w:spacing w:after="80"/>
      </w:pPr>
      <w:r>
        <w:t xml:space="preserve">Guarde y pulse </w:t>
      </w:r>
      <w:r>
        <w:rPr>
          <w:b/>
          <w:bCs/>
        </w:rPr>
        <w:t xml:space="preserve">Generar nóminas</w:t>
      </w:r>
      <w:r>
        <w:t xml:space="preserve">. En el asistente, </w:t>
      </w:r>
      <w:r>
        <w:rPr>
          <w:b/>
          <w:bCs/>
        </w:rPr>
        <w:t xml:space="preserve">Agregar una línea</w:t>
      </w:r>
      <w:r>
        <w:t xml:space="preserve"> para elegir a los trabajadores y pulse </w:t>
      </w:r>
      <w:r>
        <w:rPr>
          <w:b/>
          <w:bCs/>
        </w:rPr>
        <w:t xml:space="preserve">Generar</w:t>
      </w:r>
      <w:r>
        <w:t xml:space="preserve">.</w:t>
      </w:r>
    </w:p>
    <w:p>
      <w:pPr>
        <w:pStyle w:val="ListParagraph"/>
        <w:numPr>
          <w:ilvl w:val="0"/>
          <w:numId w:val="9"/>
        </w:numPr>
        <w:spacing w:after="80"/>
      </w:pPr>
      <w:r>
        <w:t xml:space="preserve">El lote crea una boleta por trabajador, con la estructura de su contrato, y las calcula.</w:t>
      </w:r>
    </w:p>
    <w:p>
      <w:pPr>
        <w:pStyle w:val="ListParagraph"/>
        <w:numPr>
          <w:ilvl w:val="0"/>
          <w:numId w:val="9"/>
        </w:numPr>
        <w:spacing w:after="80"/>
      </w:pPr>
      <w:r>
        <w:t xml:space="preserve">Revise las boletas y valide con </w:t>
      </w:r>
      <w:r>
        <w:rPr>
          <w:b/>
          <w:bCs/>
        </w:rPr>
        <w:t xml:space="preserve">Marcar como hecho</w:t>
      </w:r>
      <w:r>
        <w:t xml:space="preserve">, que confirma todas las boletas del lote.</w:t>
      </w:r>
    </w:p>
    <w:p>
      <w:pPr>
        <w:keepNext/>
        <w:spacing w:after="60" w:before="120"/>
        <w:jc w:val="center"/>
      </w:pPr>
      <w:r>
        <w:drawing>
          <wp:inline distT="0" distB="0" distL="0" distR="0">
            <wp:extent cx="5905500" cy="3324225"/>
            <wp:effectExtent t="0" r="0" b="0" l="0"/>
            <wp:docPr id="1" name="c11_03_lote_nuevo" descr="Lote nuevo de noviembre de 2026 en la compañía de laboratorio." title="Lote nuevo de noviembre de 2026 en la compañía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60. </w:t>
      </w:r>
      <w:r>
        <w:rPr>
          <w:i/>
          <w:iCs/>
          <w:color w:val="555555"/>
          <w:sz w:val="18"/>
          <w:szCs w:val="18"/>
        </w:rPr>
        <w:t xml:space="preserve">Lote nuevo de noviembre de 2026 en la compañía de laboratorio.</w:t>
      </w:r>
    </w:p>
    <w:p>
      <w:pPr>
        <w:keepNext/>
        <w:spacing w:after="60" w:before="120"/>
        <w:jc w:val="center"/>
      </w:pPr>
      <w:r>
        <w:drawing>
          <wp:inline distT="0" distB="0" distL="0" distR="0">
            <wp:extent cx="5905500" cy="3324225"/>
            <wp:effectExtent t="0" r="0" b="0" l="0"/>
            <wp:docPr id="1" name="c11_04_generar_nominas" descr="Asistente «Generar nóminas» con el trabajador elegido." title="Asistente «Generar nóminas» con el trabajador ele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61. </w:t>
      </w:r>
      <w:r>
        <w:rPr>
          <w:i/>
          <w:iCs/>
          <w:color w:val="555555"/>
          <w:sz w:val="18"/>
          <w:szCs w:val="18"/>
        </w:rPr>
        <w:t xml:space="preserve">Asistente «Generar nóminas» con el trabajador elegido.</w:t>
      </w:r>
    </w:p>
    <w:p>
      <w:pPr>
        <w:keepNext/>
        <w:spacing w:after="60" w:before="120"/>
        <w:jc w:val="center"/>
      </w:pPr>
      <w:r>
        <w:drawing>
          <wp:inline distT="0" distB="0" distL="0" distR="0">
            <wp:extent cx="5905500" cy="3324225"/>
            <wp:effectExtent t="0" r="0" b="0" l="0"/>
            <wp:docPr id="1" name="c11_05_lote_generado" descr="Lote con la boleta generada: «Boleta de Trabajador HORAS EXTRA (manual v2) – noviembre 2026», en borrador." title="Lote con la boleta generada: «Boleta de Trabajador HORAS EXTRA (manual v2) – noviembre 2026», en bor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62. </w:t>
      </w:r>
      <w:r>
        <w:rPr>
          <w:i/>
          <w:iCs/>
          <w:color w:val="555555"/>
          <w:sz w:val="18"/>
          <w:szCs w:val="18"/>
        </w:rPr>
        <w:t xml:space="preserve">Lote con la boleta generada: «Boleta de Trabajador HORAS EXTRA (manual v2) – noviembre 2026», en borrador.</w:t>
      </w:r>
    </w:p>
    <w:p>
      <w:pPr>
        <w:pBdr>
          <w:left w:val="single" w:color="E08A1E" w:sz="18" w:space="8"/>
        </w:pBdr>
        <w:shd w:fill="FDF2E6" w:color="auto" w:val="clear"/>
        <w:spacing w:after="160" w:before="120"/>
        <w:ind w:left="120" w:right="120"/>
      </w:pPr>
      <w:r>
        <w:rPr>
          <w:b/>
          <w:bCs/>
          <w:color w:val="E08A1E"/>
        </w:rPr>
        <w:t xml:space="preserve">Importante: </w:t>
      </w:r>
      <w:r>
        <w:t xml:space="preserve">El lote </w:t>
      </w:r>
      <w:r>
        <w:rPr>
          <w:b/>
          <w:bCs/>
        </w:rPr>
        <w:t xml:space="preserve">no vuelve a calcular ni a contabilizar las boletas ya validadas</w:t>
      </w:r>
      <w:r>
        <w:t xml:space="preserve"> (C-17). Antes, generar o marcar como hecho un lote con boletas validadas las recalculaba y duplicaba su asiento. Las boletas que el lote nunca calculó se calculan antes de validar.</w:t>
      </w:r>
    </w:p>
    <w:p>
      <w:pPr>
        <w:keepNext/>
        <w:spacing w:after="60" w:before="120"/>
        <w:jc w:val="center"/>
      </w:pPr>
      <w:r>
        <w:drawing>
          <wp:inline distT="0" distB="0" distL="0" distR="0">
            <wp:extent cx="5905500" cy="3324225"/>
            <wp:effectExtent t="0" r="0" b="0" l="0"/>
            <wp:docPr id="1" name="c11_02_lote_diciembre_fm" descr="Lote «Planilla diciembre 2026» de FM SYSTEMS, en estado Hecho, con los botones «Registrar pago» y «Enviar boletas por correo» (capítulo 28). La boleta conserva el nombre en inglés del v1 porque se validó antes de U-06." title="Lote «Planilla diciembre 2026» de FM SYSTEMS, en estado Hecho, con los botones «Registrar pago» y «Enviar boletas por correo» (capítulo 28). La boleta conserva el nombre en inglés del v1 porque se validó antes de U-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63. </w:t>
      </w:r>
      <w:r>
        <w:rPr>
          <w:i/>
          <w:iCs/>
          <w:color w:val="555555"/>
          <w:sz w:val="18"/>
          <w:szCs w:val="18"/>
        </w:rPr>
        <w:t xml:space="preserve">Lote «Planilla diciembre 2026» de FM SYSTEMS, en estado Hecho, con los botones «Registrar pago» y «Enviar boletas por correo» (capítulo 28). La boleta conserva el nombre en inglés del v1 porque se validó antes de U-06.</w:t>
      </w:r>
    </w:p>
    <w:p>
      <w:pPr>
        <w:pStyle w:val="Heading2"/>
      </w:pPr>
      <w:bookmarkStart w:name="t42" w:id="1"/>
      <w:r>
        <w:t xml:space="preserve">11.2 Orden del mes</w:t>
      </w:r>
      <w:bookmarkEnd w:id="1"/>
    </w:p>
    <w:p>
      <w:pPr>
        <w:spacing w:after="120"/>
      </w:pPr>
      <w:r>
        <w:t xml:space="preserve">Los acumulados leen boletas </w:t>
      </w:r>
      <w:r>
        <w:rPr>
          <w:b/>
          <w:bCs/>
        </w:rPr>
        <w:t xml:space="preserve">validadas</w:t>
      </w:r>
      <w:r>
        <w:t xml:space="preserve"> (1.2). El orden es:</w:t>
      </w:r>
    </w:p>
    <w:p>
      <w:pPr>
        <w:pStyle w:val="ListParagraph"/>
        <w:numPr>
          <w:ilvl w:val="0"/>
          <w:numId w:val="10"/>
        </w:numPr>
        <w:spacing w:after="80"/>
      </w:pPr>
      <w:r>
        <w:rPr>
          <w:b/>
          <w:bCs/>
        </w:rPr>
        <w:t xml:space="preserve">Adelanto quincenal</w:t>
      </w:r>
      <w:r>
        <w:t xml:space="preserve"> (NQA), si lo hay: la mensual lo descuenta.</w:t>
      </w:r>
    </w:p>
    <w:p>
      <w:pPr>
        <w:pStyle w:val="ListParagraph"/>
        <w:numPr>
          <w:ilvl w:val="0"/>
          <w:numId w:val="10"/>
        </w:numPr>
        <w:spacing w:after="80"/>
      </w:pPr>
      <w:r>
        <w:rPr>
          <w:b/>
          <w:bCs/>
        </w:rPr>
        <w:t xml:space="preserve">Gratificación</w:t>
      </w:r>
      <w:r>
        <w:t xml:space="preserve"> (julio y diciembre), </w:t>
      </w:r>
      <w:r>
        <w:rPr>
          <w:b/>
          <w:bCs/>
        </w:rPr>
        <w:t xml:space="preserve">CTS</w:t>
      </w:r>
      <w:r>
        <w:t xml:space="preserve"> (mayo y noviembre) y </w:t>
      </w:r>
      <w:r>
        <w:rPr>
          <w:b/>
          <w:bCs/>
        </w:rPr>
        <w:t xml:space="preserve">vacaciones</w:t>
      </w:r>
      <w:r>
        <w:t xml:space="preserve"> del mes.</w:t>
      </w:r>
    </w:p>
    <w:p>
      <w:pPr>
        <w:pStyle w:val="ListParagraph"/>
        <w:numPr>
          <w:ilvl w:val="0"/>
          <w:numId w:val="10"/>
        </w:numPr>
        <w:spacing w:after="80"/>
      </w:pPr>
      <w:r>
        <w:rPr>
          <w:b/>
          <w:bCs/>
        </w:rPr>
        <w:t xml:space="preserve">Mensual</w:t>
      </w:r>
      <w:r>
        <w:t xml:space="preserve"> (NME) y </w:t>
      </w:r>
      <w:r>
        <w:rPr>
          <w:b/>
          <w:bCs/>
        </w:rPr>
        <w:t xml:space="preserve">semanales</w:t>
      </w:r>
      <w:r>
        <w:t xml:space="preserve"> (NSO). La renta de 5.ª de la mensual cuenta la gratificación y las vacaciones ya validadas.</w:t>
      </w:r>
    </w:p>
    <w:p>
      <w:pPr>
        <w:pStyle w:val="ListParagraph"/>
        <w:numPr>
          <w:ilvl w:val="0"/>
          <w:numId w:val="10"/>
        </w:numPr>
        <w:spacing w:after="80"/>
      </w:pPr>
      <w:r>
        <w:t xml:space="preserve">Si hay un cese: las boletas del año antes que la </w:t>
      </w:r>
      <w:r>
        <w:rPr>
          <w:b/>
          <w:bCs/>
        </w:rPr>
        <w:t xml:space="preserve">liquidación</w:t>
      </w:r>
      <w:r>
        <w:t xml:space="preserve"> (capítulo 16).</w:t>
      </w:r>
    </w:p>
    <w:p>
      <w:pPr>
        <w:pBdr>
          <w:left w:val="single" w:color="E08A1E" w:sz="18" w:space="8"/>
        </w:pBdr>
        <w:shd w:fill="FDF2E6" w:color="auto" w:val="clear"/>
        <w:spacing w:after="160" w:before="120"/>
        <w:ind w:left="120" w:right="120"/>
      </w:pPr>
      <w:r>
        <w:rPr>
          <w:b/>
          <w:bCs/>
          <w:color w:val="E08A1E"/>
        </w:rPr>
        <w:t xml:space="preserve">Importante: </w:t>
      </w:r>
      <w:r>
        <w:t xml:space="preserve">En diciembre no queda mes para corregir la renta de 5.ª. Por eso la compañía tiene el control «Gratificación y vacaciones de diciembre antes que la mensual» (V-04): con «Avisar», la mensual de diciembre muestra una banda si la gratificación o las vacaciones del mes siguen en borrador; con «Bloquear», no deja validarla. Los controles están en el capítulo 26.</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C-06, C-17, V-04, N-07, N-08.</w:t>
      </w:r>
    </w:p>
    <w:p>
      <w:pPr>
        <w:pStyle w:val="Heading1"/>
        <w:pageBreakBefore/>
      </w:pPr>
      <w:bookmarkStart w:name="t43" w:id="1"/>
      <w:r>
        <w:t xml:space="preserve">12. Aportes y retenciones</w:t>
      </w:r>
      <w:bookmarkEnd w:id="1"/>
    </w:p>
    <w:p>
      <w:pPr>
        <w:spacing w:after="120"/>
      </w:pPr>
      <w:r>
        <w:t xml:space="preserve">Las cifras de este capítulo son del </w:t>
      </w:r>
      <w:r>
        <w:rPr>
          <w:b/>
          <w:bCs/>
        </w:rPr>
        <w:t xml:space="preserve">caso NOMINA</w:t>
      </w:r>
      <w:r>
        <w:t xml:space="preserve"> (planilla de julio de 2026, 525 celdas al 100 %) y del </w:t>
      </w:r>
      <w:r>
        <w:rPr>
          <w:b/>
          <w:bCs/>
        </w:rPr>
        <w:t xml:space="preserve">caso VIDALEY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700"/>
        <w:gridCol w:w="2738"/>
      </w:tblGrid>
      <w:tr>
        <w:trPr>
          <w:tblHeader/>
        </w:trPr>
        <w:tc>
          <w:tcPr>
            <w:tcW w:type="dxa" w:w="2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2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Regla</w:t>
            </w:r>
          </w:p>
        </w:tc>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Base y tasa</w:t>
            </w:r>
          </w:p>
        </w:tc>
        <w:tc>
          <w:tcPr>
            <w:tcW w:type="dxa" w:w="27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Ejemplo medido</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ONP_001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13 % de la base afecta</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Jorge, sueldo 1 130: </w:t>
            </w:r>
            <w:r>
              <w:rPr>
                <w:b/>
                <w:bCs/>
                <w:sz w:val="19"/>
                <w:szCs w:val="19"/>
              </w:rPr>
              <w:t xml:space="preserve">146,90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aporte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AFP_APO_001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base 3 613: </w:t>
            </w:r>
            <w:r>
              <w:rPr>
                <w:b/>
                <w:bCs/>
                <w:sz w:val="19"/>
                <w:szCs w:val="19"/>
              </w:rPr>
              <w:t xml:space="preserve">361,30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comisión sobre flujo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AFP_COM_001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de su AFP (Habitat 1,47 %)</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w:t>
            </w:r>
            <w:r>
              <w:rPr>
                <w:b/>
                <w:bCs/>
                <w:sz w:val="19"/>
                <w:szCs w:val="19"/>
              </w:rPr>
              <w:t xml:space="preserve">53,11</w:t>
            </w:r>
            <w:r>
              <w:rPr>
                <w:sz w:val="19"/>
                <w:szCs w:val="19"/>
              </w:rPr>
              <w:t xml:space="preserve">. Con comisión </w:t>
            </w:r>
            <w:r>
              <w:rPr>
                <w:b/>
                <w:bCs/>
                <w:sz w:val="19"/>
                <w:szCs w:val="19"/>
              </w:rPr>
              <w:t xml:space="preserve">mixta</w:t>
            </w:r>
            <w:r>
              <w:rPr>
                <w:sz w:val="19"/>
                <w:szCs w:val="19"/>
              </w:rPr>
              <w:t xml:space="preserve">: 0,00 (María)</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prima de seguro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AFP_PRI_001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1,37 % con tope en la RMA </w:t>
            </w:r>
            <w:r>
              <w:rPr>
                <w:b/>
                <w:bCs/>
                <w:sz w:val="19"/>
                <w:szCs w:val="19"/>
              </w:rPr>
              <w:t xml:space="preserve">del mes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w:t>
            </w:r>
            <w:r>
              <w:rPr>
                <w:b/>
                <w:bCs/>
                <w:sz w:val="19"/>
                <w:szCs w:val="19"/>
              </w:rPr>
              <w:t xml:space="preserve">49,50</w:t>
            </w:r>
            <w:r>
              <w:rPr>
                <w:sz w:val="19"/>
                <w:szCs w:val="19"/>
              </w:rPr>
              <w:t xml:space="preserve">. Ana, sueldo 15 000: </w:t>
            </w:r>
            <w:r>
              <w:rPr>
                <w:b/>
                <w:bCs/>
                <w:sz w:val="19"/>
                <w:szCs w:val="19"/>
              </w:rPr>
              <w:t xml:space="preserve">173,62</w:t>
            </w:r>
            <w:r>
              <w:rPr>
                <w:sz w:val="19"/>
                <w:szCs w:val="19"/>
              </w:rPr>
              <w:t xml:space="preserve"> (topeada en la RMA 12 672,65 de julio–setiembre)</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 con base mínima de la RMV </w:t>
            </w:r>
            <w:r>
              <w:rPr>
                <w:b/>
                <w:bCs/>
                <w:sz w:val="19"/>
                <w:szCs w:val="19"/>
              </w:rPr>
              <w:t xml:space="preserve">del mes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w:t>
            </w:r>
            <w:r>
              <w:rPr>
                <w:b/>
                <w:bCs/>
                <w:sz w:val="19"/>
                <w:szCs w:val="19"/>
              </w:rPr>
              <w:t xml:space="preserve">325,17</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EPS: aporte y crédito</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EPS_APO_001 / EPS_CRED_001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del plan; crédito contra EsSalud hasta 25 %</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w:t>
            </w:r>
            <w:r>
              <w:rPr>
                <w:b/>
                <w:bCs/>
                <w:sz w:val="19"/>
                <w:szCs w:val="19"/>
              </w:rPr>
              <w:t xml:space="preserve">162,59</w:t>
            </w:r>
            <w:r>
              <w:rPr>
                <w:sz w:val="19"/>
                <w:szCs w:val="19"/>
              </w:rPr>
              <w:t xml:space="preserve"> y </w:t>
            </w:r>
            <w:r>
              <w:rPr>
                <w:b/>
                <w:bCs/>
                <w:sz w:val="19"/>
                <w:szCs w:val="19"/>
              </w:rPr>
              <w:t xml:space="preserve">−81,29</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SENATI_001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0,75 % (si la compañía está afecta)</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w:t>
            </w:r>
            <w:r>
              <w:rPr>
                <w:b/>
                <w:bCs/>
                <w:sz w:val="19"/>
                <w:szCs w:val="19"/>
              </w:rPr>
              <w:t xml:space="preserve">27,10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SCTR salud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SCTR_SAL_001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de la póliza</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Rosa (semanal): </w:t>
            </w:r>
            <w:r>
              <w:rPr>
                <w:b/>
                <w:bCs/>
                <w:sz w:val="19"/>
                <w:szCs w:val="19"/>
              </w:rPr>
              <w:t xml:space="preserve">5,46</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Vida Ley (empleador)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VIDA_001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de la póliza con tope de la RMA</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Caso VIDALEY, sueldo 3 000 al 0,53 %: </w:t>
            </w:r>
            <w:r>
              <w:rPr>
                <w:b/>
                <w:bCs/>
                <w:sz w:val="19"/>
                <w:szCs w:val="19"/>
              </w:rPr>
              <w:t xml:space="preserve">15,90</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 de la microempresa</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SIS_MICRO_001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 15 por trabajador</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Capítulo 24</w:t>
            </w:r>
          </w:p>
        </w:tc>
      </w:tr>
    </w:tbl>
    <w:p>
      <w:pPr>
        <w:keepNext/>
        <w:spacing w:after="60" w:before="120"/>
        <w:jc w:val="center"/>
      </w:pPr>
      <w:r>
        <w:drawing>
          <wp:inline distT="0" distB="0" distL="0" distR="0">
            <wp:extent cx="5648325" cy="7810500"/>
            <wp:effectExtent t="0" r="0" b="0" l="0"/>
            <wp:docPr id="1" name="c12_01_carlos_calculo" descr="Carlos, julio de 2026 (caso NOMINA): AFP Habitat, EsSalud, EPS con su crédito, SENATI y neto 3 149,09." title="Carlos, julio de 2026 (caso NOMINA): AFP Habitat, EsSalud, EPS con su crédito, SENATI y neto 3 1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648325" cy="7810500"/>
                    </a:xfrm>
                    <a:prstGeom prst="rect">
                      <a:avLst/>
                    </a:prstGeom>
                  </pic:spPr>
                </pic:pic>
              </a:graphicData>
            </a:graphic>
          </wp:inline>
        </w:drawing>
      </w:r>
    </w:p>
    <w:p>
      <w:pPr>
        <w:spacing w:after="200"/>
        <w:jc w:val="center"/>
      </w:pPr>
      <w:r>
        <w:rPr>
          <w:b/>
          <w:bCs/>
          <w:color w:val="714B67"/>
          <w:sz w:val="18"/>
          <w:szCs w:val="18"/>
        </w:rPr>
        <w:t xml:space="preserve">Figura 64. </w:t>
      </w:r>
      <w:r>
        <w:rPr>
          <w:i/>
          <w:iCs/>
          <w:color w:val="555555"/>
          <w:sz w:val="18"/>
          <w:szCs w:val="18"/>
        </w:rPr>
        <w:t xml:space="preserve">Carlos, julio de 2026 (caso NOMINA): AFP Habitat, EsSalud, EPS con su crédito, SENATI y neto 3 149,09.</w:t>
      </w:r>
    </w:p>
    <w:p>
      <w:pPr>
        <w:keepNext/>
        <w:spacing w:after="60" w:before="120"/>
        <w:jc w:val="center"/>
      </w:pPr>
      <w:r>
        <w:drawing>
          <wp:inline distT="0" distB="0" distL="0" distR="0">
            <wp:extent cx="5905500" cy="7743825"/>
            <wp:effectExtent t="0" r="0" b="0" l="0"/>
            <wp:docPr id="1" name="c12_02_ana_calculo" descr="Ana, sueldo 15 000 (caso NOMINA): la prima de seguro AFP se topa en la RMA y sale 173,62; renta de 5.ª 1 267,25 en dos tramos; neto 11 838,63." title="Ana, sueldo 15 000 (caso NOMINA): la prima de seguro AFP se topa en la RMA y sale 173,62; renta de 5.ª 1 267,25 en dos tramos; neto 11 8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05500" cy="7743825"/>
                    </a:xfrm>
                    <a:prstGeom prst="rect">
                      <a:avLst/>
                    </a:prstGeom>
                  </pic:spPr>
                </pic:pic>
              </a:graphicData>
            </a:graphic>
          </wp:inline>
        </w:drawing>
      </w:r>
    </w:p>
    <w:p>
      <w:pPr>
        <w:spacing w:after="200"/>
        <w:jc w:val="center"/>
      </w:pPr>
      <w:r>
        <w:rPr>
          <w:b/>
          <w:bCs/>
          <w:color w:val="714B67"/>
          <w:sz w:val="18"/>
          <w:szCs w:val="18"/>
        </w:rPr>
        <w:t xml:space="preserve">Figura 65. </w:t>
      </w:r>
      <w:r>
        <w:rPr>
          <w:i/>
          <w:iCs/>
          <w:color w:val="555555"/>
          <w:sz w:val="18"/>
          <w:szCs w:val="18"/>
        </w:rPr>
        <w:t xml:space="preserve">Ana, sueldo 15 000 (caso NOMINA): la prima de seguro AFP se topa en la RMA y sale 173,62; renta de 5.ª 1 267,25 en dos tramos; neto 11 838,63.</w:t>
      </w:r>
    </w:p>
    <w:p>
      <w:pPr>
        <w:pStyle w:val="Heading2"/>
      </w:pPr>
      <w:bookmarkStart w:name="t44" w:id="1"/>
      <w:r>
        <w:t xml:space="preserve">12.1 Topes y bases del mes</w:t>
      </w:r>
      <w:bookmarkEnd w:id="1"/>
    </w:p>
    <w:p>
      <w:pPr>
        <w:spacing w:after="120"/>
      </w:pPr>
      <w:r>
        <w:t xml:space="preserve">La base mínima de EsSalud (la RMV) y el tope de la prima AFP (la RMA) se aplican </w:t>
      </w:r>
      <w:r>
        <w:rPr>
          <w:b/>
          <w:bCs/>
        </w:rPr>
        <w:t xml:space="preserve">al total del mes</w:t>
      </w:r>
      <w:r>
        <w:t xml:space="preserve">, no a cada boleta (C-26). Cuando en el mes hay mensual y vacacional, la segunda boleta paga lo que falta para llegar al importe del mes.</w:t>
      </w:r>
    </w:p>
    <w:p>
      <w:pPr>
        <w:keepNext/>
        <w:spacing w:after="60" w:before="120"/>
        <w:jc w:val="center"/>
      </w:pPr>
      <w:r>
        <w:drawing>
          <wp:inline distT="0" distB="0" distL="0" distR="0">
            <wp:extent cx="5905500" cy="6229350"/>
            <wp:effectExtent t="0" r="0" b="0" l="0"/>
            <wp:docPr id="1" name="c12_03_nilda_vac_calculo" descr="Nilda (caso NOMINA), vacaciones todo julio: la vacacional de 3 000 paga EsSalud 270,00, que es el 9 % del mes. La mensual queda sin importes y no se valida (C-18)." title="Nilda (caso NOMINA), vacaciones todo julio: la vacacional de 3 000 paga EsSalud 270,00, que es el 9 % del mes. La mensual queda sin importes y no se valida (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05500" cy="6229350"/>
                    </a:xfrm>
                    <a:prstGeom prst="rect">
                      <a:avLst/>
                    </a:prstGeom>
                  </pic:spPr>
                </pic:pic>
              </a:graphicData>
            </a:graphic>
          </wp:inline>
        </w:drawing>
      </w:r>
    </w:p>
    <w:p>
      <w:pPr>
        <w:spacing w:after="200"/>
        <w:jc w:val="center"/>
      </w:pPr>
      <w:r>
        <w:rPr>
          <w:b/>
          <w:bCs/>
          <w:color w:val="714B67"/>
          <w:sz w:val="18"/>
          <w:szCs w:val="18"/>
        </w:rPr>
        <w:t xml:space="preserve">Figura 66. </w:t>
      </w:r>
      <w:r>
        <w:rPr>
          <w:i/>
          <w:iCs/>
          <w:color w:val="555555"/>
          <w:sz w:val="18"/>
          <w:szCs w:val="18"/>
        </w:rPr>
        <w:t xml:space="preserve">Nilda (caso NOMINA), vacaciones todo julio: la vacacional de 3 000 paga EsSalud 270,00, que es el 9 % del mes. La mensual queda sin importes y no se valida (C-18).</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NOMINA: «ESSALUD_001 del mes» de Nilda y de Óscar = </w:t>
      </w:r>
      <w:r>
        <w:rPr>
          <w:b/>
          <w:bCs/>
        </w:rPr>
        <w:t xml:space="preserve">270,00</w:t>
      </w:r>
      <w:r>
        <w:t xml:space="preserve">. Óscar, con 11 días de goce, paga 135,00 en la vacacional y 135,00 en la mensual. Antes de C-26, Nilda pagaba 371,70: 270,00 en la vacacional más 101,70 de base mínima en una mensual en cero.</w:t>
      </w:r>
    </w:p>
    <w:p>
      <w:pPr>
        <w:pStyle w:val="Heading2"/>
      </w:pPr>
      <w:bookmarkStart w:name="t45" w:id="1"/>
      <w:r>
        <w:t xml:space="preserve">12.2 La tardanza reduce la base</w:t>
      </w:r>
      <w:bookmarkEnd w:id="1"/>
    </w:p>
    <w:p>
      <w:pPr>
        <w:spacing w:after="120"/>
      </w:pPr>
      <w:r>
        <w:t xml:space="preserve">El descuento por tardanza (</w:t>
      </w:r>
      <w:r>
        <w:rPr>
          <w:rFonts w:ascii="Consolas" w:cs="Consolas" w:eastAsia="Consolas" w:hAnsi="Consolas"/>
          <w:color w:val="444444"/>
          <w:sz w:val="20"/>
          <w:szCs w:val="20"/>
        </w:rPr>
        <w:t xml:space="preserve">TARD_001</w:t>
      </w:r>
      <w:r>
        <w:t xml:space="preserve">) es un «Descuento que reduce la base afecta» (C-10): la base de ONP, AFP, EsSalud y renta de 5.ª es el total de ingresos afectos </w:t>
      </w:r>
      <w:r>
        <w:rPr>
          <w:b/>
          <w:bCs/>
        </w:rPr>
        <w:t xml:space="preserve">menos la tardanza</w:t>
      </w:r>
      <w:r>
        <w:t xml:space="preserve">. En el ejemplo del capítulo 20, 45 minutos (7,50) bajan la base de 2 537,00 a 2 529,50.</w:t>
      </w:r>
    </w:p>
    <w:p>
      <w:pPr>
        <w:pStyle w:val="Heading2"/>
      </w:pPr>
      <w:bookmarkStart w:name="t46" w:id="1"/>
      <w:r>
        <w:t xml:space="preserve">12.3 Prima de Vida Ley</w:t>
      </w:r>
      <w:bookmarkEnd w:id="1"/>
    </w:p>
    <w:p>
      <w:pPr>
        <w:keepNext/>
        <w:spacing w:after="60" w:before="120"/>
        <w:jc w:val="center"/>
      </w:pPr>
      <w:r>
        <w:drawing>
          <wp:inline distT="0" distB="0" distL="0" distR="0">
            <wp:extent cx="5905500" cy="7524750"/>
            <wp:effectExtent t="0" r="0" b="0" l="0"/>
            <wp:docPr id="1" name="c12_04_vidaley_calculo" descr="Caso VIDALEY, junio de 2026: «Seguro Vida Ley (aporte del empleador)» 15,90 con sueldo 3 000 y tasa 0,53 %. El neto no cambia: 2 610,00." title="Caso VIDALEY, junio de 2026: «Seguro Vida Ley (aporte del empleador)» 15,90 con sueldo 3 000 y tasa 0,53 %. El neto no cambia: 2 6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05500" cy="7524750"/>
                    </a:xfrm>
                    <a:prstGeom prst="rect">
                      <a:avLst/>
                    </a:prstGeom>
                  </pic:spPr>
                </pic:pic>
              </a:graphicData>
            </a:graphic>
          </wp:inline>
        </w:drawing>
      </w:r>
    </w:p>
    <w:p>
      <w:pPr>
        <w:spacing w:after="200"/>
        <w:jc w:val="center"/>
      </w:pPr>
      <w:r>
        <w:rPr>
          <w:b/>
          <w:bCs/>
          <w:color w:val="714B67"/>
          <w:sz w:val="18"/>
          <w:szCs w:val="18"/>
        </w:rPr>
        <w:t xml:space="preserve">Figura 67. </w:t>
      </w:r>
      <w:r>
        <w:rPr>
          <w:i/>
          <w:iCs/>
          <w:color w:val="555555"/>
          <w:sz w:val="18"/>
          <w:szCs w:val="18"/>
        </w:rPr>
        <w:t xml:space="preserve">Caso VIDALEY, junio de 2026: «Seguro Vida Ley (aporte del empleador)» 15,90 con sueldo 3 000 y tasa 0,53 %. El neto no cambia: 2 610,00.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tblHeader/>
        </w:trPr>
        <w:tc>
          <w:tcPr>
            <w:tcW w:type="dxa" w:w="6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Escenario del caso VIDALEY</w:t>
            </w:r>
          </w:p>
        </w:tc>
        <w:tc>
          <w:tcPr>
            <w:tcW w:type="dxa" w:w="36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Prima</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Tasa 0,53 %, sueldo 3 000</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15,90</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15 000 (tope de la RMA)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66,77</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Importe fijo de la póliza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25,00 una vez al mes</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Póliza vencida</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prima y con aviso</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Semanal, cuatro semanas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14,84 en el mes</w:t>
            </w:r>
          </w:p>
        </w:tc>
      </w:tr>
      <w:tr>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Vacacional de 7 500 y mensual de 15 000</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39,75 en la vacacional; 66,77 en el mes</w:t>
            </w:r>
          </w:p>
        </w:tc>
      </w:tr>
    </w:tbl>
    <w:p>
      <w:pPr>
        <w:spacing w:after="120"/>
      </w:pPr>
      <w:r>
        <w:t xml:space="preserve">La prima va al PLAME en el concepto </w:t>
      </w:r>
      <w:r>
        <w:rPr>
          <w:b/>
          <w:bCs/>
        </w:rPr>
        <w:t xml:space="preserve">0803</w:t>
      </w:r>
      <w:r>
        <w:t xml:space="preserve"> (informativo) y al asiento en </w:t>
      </w:r>
      <w:r>
        <w:rPr>
          <w:b/>
          <w:bCs/>
        </w:rPr>
        <w:t xml:space="preserve">6274 / 4699</w:t>
      </w:r>
      <w:r>
        <w:t xml:space="preserve">. Las gratificaciones, las utilidades, los subsidios y las vacaciones truncas no son base.</w:t>
      </w:r>
    </w:p>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C-10, C-26, C-32, N-05.</w:t>
      </w:r>
    </w:p>
    <w:p>
      <w:pPr>
        <w:pStyle w:val="Heading1"/>
        <w:pageBreakBefore/>
      </w:pPr>
      <w:bookmarkStart w:name="t47" w:id="1"/>
      <w:r>
        <w:t xml:space="preserve">13. Renta de 5.ª categoría</w:t>
      </w:r>
      <w:bookmarkEnd w:id="1"/>
    </w:p>
    <w:p>
      <w:pPr>
        <w:spacing w:after="120"/>
      </w:pPr>
      <w:r>
        <w:t xml:space="preserve">La regla </w:t>
      </w:r>
      <w:r>
        <w:rPr>
          <w:rFonts w:ascii="Consolas" w:cs="Consolas" w:eastAsia="Consolas" w:hAnsi="Consolas"/>
          <w:color w:val="444444"/>
          <w:sz w:val="20"/>
          <w:szCs w:val="20"/>
        </w:rPr>
        <w:t xml:space="preserve">R5TA_001</w:t>
      </w:r>
      <w:r>
        <w:t xml:space="preserve"> proyecta la renta anual del trabajador y retiene la parte del mes:</w:t>
      </w:r>
    </w:p>
    <w:p>
      <w:pPr>
        <w:pStyle w:val="ListParagraph"/>
        <w:numPr>
          <w:ilvl w:val="0"/>
          <w:numId w:val="11"/>
        </w:numPr>
        <w:spacing w:after="80"/>
      </w:pPr>
      <w:r>
        <w:t xml:space="preserve">Renta proyectada = remuneraciones del año ya validadas + sueldo del mes × meses que faltan + gratificaciones de julio y diciembre proyectadas, </w:t>
      </w:r>
      <w:r>
        <w:rPr>
          <w:b/>
          <w:bCs/>
        </w:rPr>
        <w:t xml:space="preserve">con la asignación familiar</w:t>
      </w:r>
      <w:r>
        <w:t xml:space="preserve"> (C-03).</w:t>
      </w:r>
    </w:p>
    <w:p>
      <w:pPr>
        <w:pStyle w:val="ListParagraph"/>
        <w:numPr>
          <w:ilvl w:val="0"/>
          <w:numId w:val="11"/>
        </w:numPr>
        <w:spacing w:after="80"/>
      </w:pPr>
      <w:r>
        <w:t xml:space="preserve">Menos 7 UIT (37 450 en 2025; 38 500 en 2026).</w:t>
      </w:r>
    </w:p>
    <w:p>
      <w:pPr>
        <w:pStyle w:val="ListParagraph"/>
        <w:numPr>
          <w:ilvl w:val="0"/>
          <w:numId w:val="11"/>
        </w:numPr>
        <w:spacing w:after="80"/>
      </w:pPr>
      <w:r>
        <w:t xml:space="preserve">Impuesto anual con los tramos (8 %, 14 %, 17 %, 20 % y 30 %).</w:t>
      </w:r>
    </w:p>
    <w:p>
      <w:pPr>
        <w:pStyle w:val="ListParagraph"/>
        <w:numPr>
          <w:ilvl w:val="0"/>
          <w:numId w:val="11"/>
        </w:numPr>
        <w:spacing w:after="80"/>
      </w:pPr>
      <w:r>
        <w:t xml:space="preserve">Menos lo ya retenido en el año, dividido entre el divisor del mes (12 en enero a marzo, 9 en abril, 8 en mayo a julio, 5 en agosto, 4 en setiembre a noviembre; en diciembre, el saldo).</w:t>
      </w:r>
    </w:p>
    <w:p>
      <w:pPr>
        <w:keepNext/>
        <w:spacing w:after="60" w:before="120"/>
        <w:jc w:val="center"/>
      </w:pPr>
      <w:r>
        <w:drawing>
          <wp:inline distT="0" distB="0" distL="0" distR="0">
            <wp:extent cx="5905500" cy="7772400"/>
            <wp:effectExtent t="0" r="0" b="0" l="0"/>
            <wp:docPr id="1" name="c13_01_lucia_ene2025_calculo" descr="Lucía, enero de 2025: base afecta 4 613,00 y retención de 5.ª 192,48." title="Lucía, enero de 2025: base afecta 4 613,00 y retención de 5.ª 1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7772400"/>
                    </a:xfrm>
                    <a:prstGeom prst="rect">
                      <a:avLst/>
                    </a:prstGeom>
                  </pic:spPr>
                </pic:pic>
              </a:graphicData>
            </a:graphic>
          </wp:inline>
        </w:drawing>
      </w:r>
    </w:p>
    <w:p>
      <w:pPr>
        <w:spacing w:after="200"/>
        <w:jc w:val="center"/>
      </w:pPr>
      <w:r>
        <w:rPr>
          <w:b/>
          <w:bCs/>
          <w:color w:val="714B67"/>
          <w:sz w:val="18"/>
          <w:szCs w:val="18"/>
        </w:rPr>
        <w:t xml:space="preserve">Figura 68. </w:t>
      </w:r>
      <w:r>
        <w:rPr>
          <w:i/>
          <w:iCs/>
          <w:color w:val="555555"/>
          <w:sz w:val="18"/>
          <w:szCs w:val="18"/>
        </w:rPr>
        <w:t xml:space="preserve">Lucía, enero de 2025: base afecta 4 613,00 y retención de 5.ª 192,48.</w:t>
      </w:r>
    </w:p>
    <w:p>
      <w:pPr>
        <w:pStyle w:val="Heading2"/>
      </w:pPr>
      <w:bookmarkStart w:name="t48" w:id="1"/>
      <w:r>
        <w:t xml:space="preserve">13.1 Retenciones medidas de Lucía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2238"/>
      </w:tblGrid>
      <w:tr>
        <w:trPr>
          <w:tblHeader/>
        </w:trPr>
        <w:tc>
          <w:tcPr>
            <w:tcW w:type="dxa" w:w="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Año</w:t>
            </w:r>
          </w:p>
        </w:tc>
        <w:tc>
          <w:tcPr>
            <w:tcW w:type="dxa" w:w="6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Retención mensual</w:t>
            </w:r>
          </w:p>
        </w:tc>
        <w:tc>
          <w:tcPr>
            <w:tcW w:type="dxa" w:w="2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Total del año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2025</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192,48 (enero a julio), 192,47 (agosto a noviembre), 192,49 (diciembre)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2 309,73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2026</w:t>
            </w:r>
          </w:p>
        </w:tc>
        <w:tc>
          <w:tcPr>
            <w:tcW w:type="dxa" w:w="6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179,42 (enero), 183,73 (febrero, mes de vacaciones), 179,79 (marzo), 179,39 a 179,40 (abril a setiembre), 180,21 (octubre y noviembre), 181,04 (diciembre)</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2 160,78</w:t>
            </w:r>
          </w:p>
        </w:tc>
      </w:tr>
    </w:tbl>
    <w:p>
      <w:pPr>
        <w:spacing w:after="120"/>
      </w:pPr>
      <w:r>
        <w:t xml:space="preserve">Desde octubre de 2026 la asignación familiar es 123 (RMV 1 230) y la retención sube a 180,21. En febrero de 2026, el mes de vacaciones, la 5.ª se calcula en la mensual sumando la vacacional ya validada (C-11).</w:t>
      </w:r>
    </w:p>
    <w:p>
      <w:pPr>
        <w:pStyle w:val="Heading2"/>
      </w:pPr>
      <w:bookmarkStart w:name="t49" w:id="1"/>
      <w:r>
        <w:t xml:space="preserve">13.2 Certificado de 5.ª categoría</w:t>
      </w:r>
      <w:bookmarkEnd w:id="1"/>
    </w:p>
    <w:p>
      <w:pPr>
        <w:spacing w:after="120"/>
      </w:pPr>
      <w:r>
        <w:rPr>
          <w:b/>
          <w:bCs/>
        </w:rPr>
        <w:t xml:space="preserve">Nómina PE › Certificado de 5.ª categoría</w:t>
      </w:r>
      <w:r>
        <w:t xml:space="preserve"> imprime el certificado anual de rentas y retenciones (R.S. 010-2006/SUNAT, art. 2) de los trabajadores elegidos. Si no se elige ninguno, se imprimen todos los que tuvieron renta de 5.ª en el ejercicio. Opción </w:t>
      </w:r>
      <w:r>
        <w:rPr>
          <w:b/>
          <w:bCs/>
        </w:rPr>
        <w:t xml:space="preserve">Por duplicado</w:t>
      </w:r>
      <w:r>
        <w:t xml:space="preserve"> (N-08).</w:t>
      </w:r>
    </w:p>
    <w:p>
      <w:pPr>
        <w:keepNext/>
        <w:spacing w:after="60" w:before="120"/>
        <w:jc w:val="center"/>
      </w:pPr>
      <w:r>
        <w:drawing>
          <wp:inline distT="0" distB="0" distL="0" distR="0">
            <wp:extent cx="5905500" cy="3324225"/>
            <wp:effectExtent t="0" r="0" b="0" l="0"/>
            <wp:docPr id="1" name="c13_03_certificado_asistente" descr="Asistente del certificado: compañía, ejercicio (por defecto, el año anterior), trabajadores y duplicado." title="Asistente del certificado: compañía, ejercicio (por defecto, el año anterior), trabajadores y dupl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69. </w:t>
      </w:r>
      <w:r>
        <w:rPr>
          <w:i/>
          <w:iCs/>
          <w:color w:val="555555"/>
          <w:sz w:val="18"/>
          <w:szCs w:val="18"/>
        </w:rPr>
        <w:t xml:space="preserve">Asistente del certificado: compañía, ejercicio (por defecto, el año anterior), trabajadores y duplicado.</w:t>
      </w:r>
    </w:p>
    <w:p>
      <w:pPr>
        <w:keepNext/>
        <w:spacing w:after="60" w:before="120"/>
        <w:jc w:val="center"/>
      </w:pPr>
      <w:r>
        <w:drawing>
          <wp:inline distT="0" distB="0" distL="0" distR="0">
            <wp:extent cx="5905500" cy="2619375"/>
            <wp:effectExtent t="0" r="0" b="0" l="0"/>
            <wp:docPr id="1" name="c13_04_certificado_renta5_lucia_2025" descr="Certificado de Lucía, ejercicio 2025: renta bruta 65 412,34; deducción de 7 UIT 37 450,00; renta neta 27 962,34; impuesto y retención 2 309,73." title="Certificado de Lucía, ejercicio 2025: renta bruta 65 412,34; deducción de 7 UIT 37 450,00; renta neta 27 962,34; impuesto y retención 2 30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05500" cy="2619375"/>
                    </a:xfrm>
                    <a:prstGeom prst="rect">
                      <a:avLst/>
                    </a:prstGeom>
                  </pic:spPr>
                </pic:pic>
              </a:graphicData>
            </a:graphic>
          </wp:inline>
        </w:drawing>
      </w:r>
    </w:p>
    <w:p>
      <w:pPr>
        <w:spacing w:after="200"/>
        <w:jc w:val="center"/>
      </w:pPr>
      <w:r>
        <w:rPr>
          <w:b/>
          <w:bCs/>
          <w:color w:val="714B67"/>
          <w:sz w:val="18"/>
          <w:szCs w:val="18"/>
        </w:rPr>
        <w:t xml:space="preserve">Figura 70. </w:t>
      </w:r>
      <w:r>
        <w:rPr>
          <w:i/>
          <w:iCs/>
          <w:color w:val="555555"/>
          <w:sz w:val="18"/>
          <w:szCs w:val="18"/>
        </w:rPr>
        <w:t xml:space="preserve">Certificado de Lucía, ejercicio 2025: renta bruta 65 412,34; deducción de 7 UIT 37 450,00; renta neta 27 962,34; impuesto y retención 2 309,73.</w:t>
      </w:r>
    </w:p>
    <w:p>
      <w:pPr>
        <w:pBdr>
          <w:left w:val="single" w:color="E08A1E" w:sz="18" w:space="8"/>
        </w:pBdr>
        <w:shd w:fill="FDF2E6" w:color="auto" w:val="clear"/>
        <w:spacing w:after="160" w:before="120"/>
        <w:ind w:left="120" w:right="120"/>
      </w:pPr>
      <w:r>
        <w:rPr>
          <w:b/>
          <w:bCs/>
          <w:color w:val="E08A1E"/>
        </w:rPr>
        <w:t xml:space="preserve">Importante: </w:t>
      </w:r>
      <w:r>
        <w:t xml:space="preserve">El certificado lo firma el representante del empleador: el empleado marcado </w:t>
      </w:r>
      <w:r>
        <w:rPr>
          <w:b/>
          <w:bCs/>
        </w:rPr>
        <w:t xml:space="preserve">Firma como empleador</w:t>
      </w:r>
      <w:r>
        <w:t xml:space="preserve"> (capítulo 8). Si la compañía no tiene ninguno, el asistente no imprime y lo dice («… no tiene representante del empleador: marque «Empleador» en la ficha de quien firma el certificado»). FM SYSTEMS no tiene representante: la figura es la vista previa del informe, con el texto de reemplazo en lugar del nombre. Márquelo antes de imprimir.</w:t>
      </w:r>
    </w:p>
    <w:p>
      <w:pPr>
        <w:pStyle w:val="Heading2"/>
      </w:pPr>
      <w:bookmarkStart w:name="t50" w:id="1"/>
      <w:r>
        <w:t xml:space="preserve">13.3 Regularización al cese y devolución</w:t>
      </w:r>
      <w:bookmarkEnd w:id="1"/>
    </w:p>
    <w:p>
      <w:pPr>
        <w:spacing w:after="120"/>
      </w:pPr>
      <w:r>
        <w:t xml:space="preserve">La liquidación del cese ajusta la renta de 5.ª de todo el ejercicio con las boletas validadas (N-04). Si el trabajador retuvo de más, la liquidación le </w:t>
      </w:r>
      <w:r>
        <w:rPr>
          <w:b/>
          <w:bCs/>
        </w:rPr>
        <w:t xml:space="preserve">devuelve</w:t>
      </w:r>
      <w:r>
        <w:t xml:space="preserve"> el exceso (</w:t>
      </w:r>
      <w:r>
        <w:rPr>
          <w:rFonts w:ascii="Consolas" w:cs="Consolas" w:eastAsia="Consolas" w:hAnsi="Consolas"/>
          <w:color w:val="444444"/>
          <w:sz w:val="20"/>
          <w:szCs w:val="20"/>
        </w:rPr>
        <w:t xml:space="preserve">DEV5_001</w:t>
      </w:r>
      <w:r>
        <w:t xml:space="preserve">, PLAME 0928). Si retuvo de menos, retiene la diferencia.</w:t>
      </w:r>
    </w:p>
    <w:p>
      <w:pPr>
        <w:keepNext/>
        <w:spacing w:after="60" w:before="120"/>
        <w:jc w:val="center"/>
      </w:pPr>
      <w:r>
        <w:drawing>
          <wp:inline distT="0" distB="0" distL="0" distR="0">
            <wp:extent cx="5905500" cy="6858000"/>
            <wp:effectExtent t="0" r="0" b="0" l="0"/>
            <wp:docPr id="1" name="c13_02_cese_devolucion_calculo" descr="Caso CESE, liquidación de abril de 2026: devolución de retención 2 158,67 y neto 13 132,00." title="Caso CESE, liquidación de abril de 2026: devolución de retención 2 158,67 y neto 13 1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05500" cy="6858000"/>
                    </a:xfrm>
                    <a:prstGeom prst="rect">
                      <a:avLst/>
                    </a:prstGeom>
                  </pic:spPr>
                </pic:pic>
              </a:graphicData>
            </a:graphic>
          </wp:inline>
        </w:drawing>
      </w:r>
    </w:p>
    <w:p>
      <w:pPr>
        <w:spacing w:after="200"/>
        <w:jc w:val="center"/>
      </w:pPr>
      <w:r>
        <w:rPr>
          <w:b/>
          <w:bCs/>
          <w:color w:val="714B67"/>
          <w:sz w:val="18"/>
          <w:szCs w:val="18"/>
        </w:rPr>
        <w:t xml:space="preserve">Figura 71. </w:t>
      </w:r>
      <w:r>
        <w:rPr>
          <w:i/>
          <w:iCs/>
          <w:color w:val="555555"/>
          <w:sz w:val="18"/>
          <w:szCs w:val="18"/>
        </w:rPr>
        <w:t xml:space="preserve">Caso CESE, liquidación de abril de 2026: devolución de retención 2 158,67 y neto 13 132,00.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 del caso CESE</w:t>
            </w:r>
          </w:p>
        </w:tc>
        <w:tc>
          <w:tcPr>
            <w:tcW w:type="dxa" w:w="3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pasa</w:t>
            </w:r>
          </w:p>
        </w:tc>
        <w:tc>
          <w:tcPr>
            <w:tcW w:type="dxa" w:w="3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Cifra</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70004501 (devolución)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Retuvo 736,80 en enero, febrero y marzo; cesa el 30/04</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Liquidación: R5TA 0,00 y </w:t>
            </w:r>
            <w:r>
              <w:rPr>
                <w:b/>
                <w:bCs/>
                <w:sz w:val="19"/>
                <w:szCs w:val="19"/>
              </w:rPr>
              <w:t xml:space="preserve">DEV5 2 158,67</w:t>
            </w:r>
            <w:r>
              <w:rPr>
                <w:sz w:val="19"/>
                <w:szCs w:val="19"/>
              </w:rPr>
              <w:t xml:space="preserve">; PLAME de abril 0928 2 158,67</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70004502 (retención)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Utilidades de 50 000 en marzo</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Mensual de marzo: R5TA </w:t>
            </w:r>
            <w:r>
              <w:rPr>
                <w:b/>
                <w:bCs/>
                <w:sz w:val="19"/>
                <w:szCs w:val="19"/>
              </w:rPr>
              <w:t xml:space="preserve">1 586,14</w:t>
            </w:r>
            <w:r>
              <w:rPr>
                <w:sz w:val="19"/>
                <w:szCs w:val="19"/>
              </w:rPr>
              <w:t xml:space="preserve">; liquidación R5TA </w:t>
            </w:r>
            <w:r>
              <w:rPr>
                <w:b/>
                <w:bCs/>
                <w:sz w:val="19"/>
                <w:szCs w:val="19"/>
              </w:rPr>
              <w:t xml:space="preserve">190,80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70004503 (renovación)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Renueva el contrato sin interrupción</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hay cese ni ajuste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70004504 (reingreso)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Cesa en febrero y reingresa en abril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Devolución 736,80 en febrero; abril R5TA 856,09</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70004505 (orden invertido)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Liquidación validada antes que la mensual de marzo</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DEV5 5 257,17 y nota «rectifíquela» en la mensual</w:t>
            </w:r>
          </w:p>
        </w:tc>
      </w:tr>
    </w:tbl>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CESE (149 celdas): las cifras de la tabla, el ajuste final en 0,00 después de la devolución y el asiento de la liquidación con 2 158,67 al debe de la 40173.</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C-03, C-11, N-04, N-08.</w:t>
      </w:r>
    </w:p>
    <w:p>
      <w:pPr>
        <w:pStyle w:val="Heading1"/>
        <w:pageBreakBefore/>
      </w:pPr>
      <w:bookmarkStart w:name="t51" w:id="1"/>
      <w:r>
        <w:t xml:space="preserve">14. Gratificaciones</w:t>
      </w:r>
      <w:bookmarkEnd w:id="1"/>
    </w:p>
    <w:p>
      <w:pPr>
        <w:spacing w:after="120"/>
      </w:pPr>
      <w:r>
        <w:t xml:space="preserve">La estructura </w:t>
      </w:r>
      <w:r>
        <w:rPr>
          <w:b/>
          <w:bCs/>
        </w:rPr>
        <w:t xml:space="preserve">GRAT</w:t>
      </w:r>
      <w:r>
        <w:t xml:space="preserve"> paga la gratificación de julio y diciembre: un sexto por mes completo del semestre, sobre la remuneración computable (sueldo + asignación familiar), más la </w:t>
      </w:r>
      <w:r>
        <w:rPr>
          <w:b/>
          <w:bCs/>
        </w:rPr>
        <w:t xml:space="preserve">bonificación extraordinaria</w:t>
      </w:r>
      <w:r>
        <w:t xml:space="preserve"> (Ley 30334): 9 % (EsSalud) o 6,75 % (EPS). La pequeña empresa paga la mitad (factor 0,5) y la microempresa no paga gratificación.</w:t>
      </w:r>
    </w:p>
    <w:p>
      <w:pPr>
        <w:keepNext/>
        <w:spacing w:after="60" w:before="120"/>
        <w:jc w:val="center"/>
      </w:pPr>
      <w:r>
        <w:drawing>
          <wp:inline distT="0" distB="0" distL="0" distR="0">
            <wp:extent cx="5905500" cy="5181600"/>
            <wp:effectExtent t="0" r="0" b="0" l="0"/>
            <wp:docPr id="1" name="c14_01_lucia_grati_jul2026_calculo" descr="Lucía, gratificación de julio de 2026: 4 613,00 + bonificación 415,17 = 5 028,17." title="Lucía, gratificación de julio de 2026: 4 613,00 + bonificación 415,17 = 5 0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05500" cy="5181600"/>
                    </a:xfrm>
                    <a:prstGeom prst="rect">
                      <a:avLst/>
                    </a:prstGeom>
                  </pic:spPr>
                </pic:pic>
              </a:graphicData>
            </a:graphic>
          </wp:inline>
        </w:drawing>
      </w:r>
    </w:p>
    <w:p>
      <w:pPr>
        <w:spacing w:after="200"/>
        <w:jc w:val="center"/>
      </w:pPr>
      <w:r>
        <w:rPr>
          <w:b/>
          <w:bCs/>
          <w:color w:val="714B67"/>
          <w:sz w:val="18"/>
          <w:szCs w:val="18"/>
        </w:rPr>
        <w:t xml:space="preserve">Figura 72. </w:t>
      </w:r>
      <w:r>
        <w:rPr>
          <w:i/>
          <w:iCs/>
          <w:color w:val="555555"/>
          <w:sz w:val="18"/>
          <w:szCs w:val="18"/>
        </w:rPr>
        <w:t xml:space="preserve">Lucía, gratificación de julio de 2026: 4 613,00 + bonificación 415,17 = 5 028,17.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700"/>
        <w:gridCol w:w="1500"/>
        <w:gridCol w:w="1100"/>
        <w:gridCol w:w="1338"/>
      </w:tblGrid>
      <w:tr>
        <w:trPr>
          <w:tblHeader/>
        </w:trPr>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w:t>
            </w:r>
          </w:p>
        </w:tc>
        <w:tc>
          <w:tcPr>
            <w:tcW w:type="dxa" w:w="1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Periodo</w:t>
            </w:r>
          </w:p>
        </w:tc>
        <w:tc>
          <w:tcPr>
            <w:tcW w:type="dxa" w:w="1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Gratificación</w:t>
            </w:r>
          </w:p>
        </w:tc>
        <w:tc>
          <w:tcPr>
            <w:tcW w:type="dxa" w:w="1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Bonificación</w:t>
            </w:r>
          </w:p>
        </w:tc>
        <w:tc>
          <w:tcPr>
            <w:tcW w:type="dxa" w:w="1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Neto</w:t>
            </w:r>
          </w:p>
        </w:tc>
        <w:tc>
          <w:tcPr>
            <w:tcW w:type="dxa" w:w="13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Fuente</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Lucía (4 500 + AF)</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4 613,00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415,17 (9 %)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5 028,17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Lucía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Diciembre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4 623,00 (AF 123)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416,07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5 039,07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Héctor (2 200), ingresó el 01/03/2025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2025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1 466,67 (4/6)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132,00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1 598,67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María (8 000)</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8 000,00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720,00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NOMINA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Carlos (EPS)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243,88 (6,75 %)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NOMINA</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José (pequeña empresa)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Julio 2026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750,00 (factor 0,5)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NOMINA</w:t>
            </w:r>
          </w:p>
        </w:tc>
      </w:tr>
    </w:tbl>
    <w:p>
      <w:pPr>
        <w:pStyle w:val="Heading2"/>
      </w:pPr>
      <w:bookmarkStart w:name="t52" w:id="1"/>
      <w:r>
        <w:t xml:space="preserve">14.1 Una sola vez por semestre y contrato</w:t>
      </w:r>
      <w:bookmarkEnd w:id="1"/>
    </w:p>
    <w:p>
      <w:pPr>
        <w:spacing w:after="120"/>
      </w:pPr>
      <w:r>
        <w:t xml:space="preserve">El semestre se paga </w:t>
      </w:r>
      <w:r>
        <w:rPr>
          <w:b/>
          <w:bCs/>
        </w:rPr>
        <w:t xml:space="preserve">una sola vez</w:t>
      </w:r>
      <w:r>
        <w:t xml:space="preserve"> por contrato (C-34, Ley 27735): con la gratificación ordinaria validada, la liquidación no paga la trunca de ese semestre (trunca y bonificación 0,00, con aviso); y con la trunca validada, la ordinaria sale en 0,00. El orden no importa: vale en los dos sentidos. La entrada </w:t>
      </w:r>
      <w:r>
        <w:rPr>
          <w:rFonts w:ascii="Consolas" w:cs="Consolas" w:eastAsia="Consolas" w:hAnsi="Consolas"/>
          <w:color w:val="444444"/>
          <w:sz w:val="20"/>
          <w:szCs w:val="20"/>
        </w:rPr>
        <w:t xml:space="preserve">GRATI_TRUNCA_001</w:t>
      </w:r>
      <w:r>
        <w:t xml:space="preserve"> fija el importe, también en 0.</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NOMINA: Carmen cobra la ordinaria de julio (2 500,00 + 225,00) y cesa el 31/08. La liquidación de agosto paga la gratificación trunca de 2/6 (julio y agosto): 833,33 + bonificación 75,00. Ninguna de las 14 liquidaciones del laboratorio repite el semestre ya pagado.</w:t>
      </w:r>
    </w:p>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C-34.</w:t>
      </w:r>
    </w:p>
    <w:p>
      <w:pPr>
        <w:pStyle w:val="Heading1"/>
        <w:pageBreakBefore/>
      </w:pPr>
      <w:bookmarkStart w:name="t53" w:id="1"/>
      <w:r>
        <w:t xml:space="preserve">15. CTS</w:t>
      </w:r>
      <w:bookmarkEnd w:id="1"/>
    </w:p>
    <w:p>
      <w:pPr>
        <w:spacing w:after="120"/>
      </w:pPr>
      <w:r>
        <w:t xml:space="preserve">La estructura </w:t>
      </w:r>
      <w:r>
        <w:rPr>
          <w:b/>
          <w:bCs/>
        </w:rPr>
        <w:t xml:space="preserve">CTS</w:t>
      </w:r>
      <w:r>
        <w:t xml:space="preserve"> calcula el depósito de mayo (noviembre–abril) y noviembre (mayo–octubre): remuneración computable (sueldo + asignación familiar + 1/6 de la gratificación validada del semestre) × meses del periodo / 12. La pequeña empresa deposita 15 días por año (factor del parámetro </w:t>
      </w:r>
      <w:r>
        <w:rPr>
          <w:rFonts w:ascii="Consolas" w:cs="Consolas" w:eastAsia="Consolas" w:hAnsi="Consolas"/>
          <w:color w:val="444444"/>
          <w:sz w:val="20"/>
          <w:szCs w:val="20"/>
        </w:rPr>
        <w:t xml:space="preserve">pe_regimen_factores</w:t>
      </w:r>
      <w:r>
        <w:t xml:space="preserve">) y la microempresa no deposita.</w:t>
      </w:r>
    </w:p>
    <w:p>
      <w:pPr>
        <w:keepNext/>
        <w:spacing w:after="60" w:before="120"/>
        <w:jc w:val="center"/>
      </w:pPr>
      <w:r>
        <w:drawing>
          <wp:inline distT="0" distB="0" distL="0" distR="0">
            <wp:extent cx="5905500" cy="4962525"/>
            <wp:effectExtent t="0" r="0" b="0" l="0"/>
            <wp:docPr id="1" name="c15_01_lucia_cts_nov2026_calculo" descr="Lucía, CTS de noviembre de 2026: 2 695,92." title="Lucía, CTS de noviembre de 2026: 2 6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05500" cy="4962525"/>
                    </a:xfrm>
                    <a:prstGeom prst="rect">
                      <a:avLst/>
                    </a:prstGeom>
                  </pic:spPr>
                </pic:pic>
              </a:graphicData>
            </a:graphic>
          </wp:inline>
        </w:drawing>
      </w:r>
    </w:p>
    <w:p>
      <w:pPr>
        <w:spacing w:after="200"/>
        <w:jc w:val="center"/>
      </w:pPr>
      <w:r>
        <w:rPr>
          <w:b/>
          <w:bCs/>
          <w:color w:val="714B67"/>
          <w:sz w:val="18"/>
          <w:szCs w:val="18"/>
        </w:rPr>
        <w:t xml:space="preserve">Figura 73. </w:t>
      </w:r>
      <w:r>
        <w:rPr>
          <w:i/>
          <w:iCs/>
          <w:color w:val="555555"/>
          <w:sz w:val="18"/>
          <w:szCs w:val="18"/>
        </w:rPr>
        <w:t xml:space="preserve">Lucía, CTS de noviembre de 2026: 2 695,92.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88"/>
      </w:tblGrid>
      <w:tr>
        <w:trPr>
          <w:tblHeader/>
        </w:trPr>
        <w:tc>
          <w:tcPr>
            <w:tcW w:type="dxa" w:w="2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w:t>
            </w:r>
          </w:p>
        </w:tc>
        <w:tc>
          <w:tcPr>
            <w:tcW w:type="dxa" w:w="185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Mayo 2025</w:t>
            </w:r>
          </w:p>
        </w:tc>
        <w:tc>
          <w:tcPr>
            <w:tcW w:type="dxa" w:w="185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Noviembre 2025</w:t>
            </w:r>
          </w:p>
        </w:tc>
        <w:tc>
          <w:tcPr>
            <w:tcW w:type="dxa" w:w="185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Mayo 2026</w:t>
            </w:r>
          </w:p>
        </w:tc>
        <w:tc>
          <w:tcPr>
            <w:tcW w:type="dxa" w:w="188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Noviembre 2026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Lucía</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1 537,67</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2 690,92</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2 690,92</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2 695,92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Héctor</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366,67</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1 222,22</w:t>
            </w:r>
          </w:p>
        </w:tc>
        <w:tc>
          <w:tcPr>
            <w:tcW w:type="dxa" w:w="1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1 283,33</w:t>
            </w:r>
          </w:p>
        </w:tc>
        <w:tc>
          <w:tcPr>
            <w:tcW w:type="dxa" w:w="1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1 283,33</w:t>
            </w:r>
          </w:p>
        </w:tc>
      </w:tr>
    </w:tbl>
    <w:p>
      <w:pPr>
        <w:pStyle w:val="Heading2"/>
      </w:pPr>
      <w:bookmarkStart w:name="t54" w:id="1"/>
      <w:r>
        <w:t xml:space="preserve">15.1 Liquidación del depósito de CTS</w:t>
      </w:r>
      <w:bookmarkEnd w:id="1"/>
    </w:p>
    <w:p>
      <w:pPr>
        <w:spacing w:after="120"/>
      </w:pPr>
      <w:r>
        <w:t xml:space="preserve">Desde la boleta de CTS, </w:t>
      </w:r>
      <w:r>
        <w:rPr>
          <w:b/>
          <w:bCs/>
        </w:rPr>
        <w:t xml:space="preserve">Imprimir › Liquidación de depósito de CTS (PE)</w:t>
      </w:r>
      <w:r>
        <w:t xml:space="preserve"> entrega al trabajador el detalle del depósito: remuneración computable, periodo, tiempo computable, entidad, cuenta y monto (N-08). También se envía por correo con la boleta (capítulo 28).</w:t>
      </w:r>
    </w:p>
    <w:p>
      <w:pPr>
        <w:keepNext/>
        <w:spacing w:after="60" w:before="120"/>
        <w:jc w:val="center"/>
      </w:pPr>
      <w:r>
        <w:drawing>
          <wp:inline distT="0" distB="0" distL="0" distR="0">
            <wp:extent cx="5905500" cy="3295650"/>
            <wp:effectExtent t="0" r="0" b="0" l="0"/>
            <wp:docPr id="1" name="c15_02_liquidacion_deposito_cts" descr="Liquidación del depósito de noviembre de 2026 de Lucía: remuneración computable 5 391,83 (4 500 + 123 + 1/6 de gratificación 768,83), periodo 01/05/2026–31/10/2026 (6 meses), Banco de Crédito, monto depositado 2 695,92." title="Liquidación del depósito de noviembre de 2026 de Lucía: remuneración computable 5 391,83 (4 500 + 123 + 1/6 de gratificación 768,83), periodo 01/05/2026–31/10/2026 (6 meses), Banco de Crédito, monto depositado 2 69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b/>
          <w:bCs/>
          <w:color w:val="714B67"/>
          <w:sz w:val="18"/>
          <w:szCs w:val="18"/>
        </w:rPr>
        <w:t xml:space="preserve">Figura 74. </w:t>
      </w:r>
      <w:r>
        <w:rPr>
          <w:i/>
          <w:iCs/>
          <w:color w:val="555555"/>
          <w:sz w:val="18"/>
          <w:szCs w:val="18"/>
        </w:rPr>
        <w:t xml:space="preserve">Liquidación del depósito de noviembre de 2026 de Lucía: remuneración computable 5 391,83 (4 500 + 123 + 1/6 de gratificación 768,83), periodo 01/05/2026–31/10/2026 (6 meses), Banco de Crédito, monto depositado 2 695,92.</w:t>
      </w:r>
    </w:p>
    <w:p>
      <w:pPr>
        <w:spacing w:after="120"/>
      </w:pPr>
      <w:r>
        <w:t xml:space="preserve">Los TXT de CTS para el banco están en el capítulo 27. La CTS de un trabajador cuya cuenta CTS es de </w:t>
      </w:r>
      <w:r>
        <w:rPr>
          <w:b/>
          <w:bCs/>
        </w:rPr>
        <w:t xml:space="preserve">otro banco</w:t>
      </w:r>
      <w:r>
        <w:t xml:space="preserve"> ya no se abona por CCI en el archivo de Interbank: por defecto va a «Omitidos» y se deposita con el archivo del banco de su cuenta (C-23, opción de la compañía).</w:t>
      </w:r>
    </w:p>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C-01, C-23, N-08.</w:t>
      </w:r>
    </w:p>
    <w:p>
      <w:pPr>
        <w:pStyle w:val="Heading1"/>
        <w:pageBreakBefore/>
      </w:pPr>
      <w:bookmarkStart w:name="t55" w:id="1"/>
      <w:r>
        <w:t xml:space="preserve">16. Liquidación por cese</w:t>
      </w:r>
      <w:bookmarkEnd w:id="1"/>
    </w:p>
    <w:p>
      <w:pPr>
        <w:spacing w:after="120"/>
      </w:pPr>
      <w:r>
        <w:t xml:space="preserve">Para cesar a un trabajador, ponga en el contrato la </w:t>
      </w:r>
      <w:r>
        <w:rPr>
          <w:b/>
          <w:bCs/>
        </w:rPr>
        <w:t xml:space="preserve">fecha de fin</w:t>
      </w:r>
      <w:r>
        <w:t xml:space="preserve"> y el </w:t>
      </w:r>
      <w:r>
        <w:rPr>
          <w:b/>
          <w:bCs/>
        </w:rPr>
        <w:t xml:space="preserve">motivo de baja</w:t>
      </w:r>
      <w:r>
        <w:t xml:space="preserve"> (T17). La liquidación (estructura </w:t>
      </w:r>
      <w:r>
        <w:rPr>
          <w:b/>
          <w:bCs/>
        </w:rPr>
        <w:t xml:space="preserve">LIQ</w:t>
      </w:r>
      <w:r>
        <w:t xml:space="preserve">) calcula las vacaciones, la gratificación y la CTS truncas, la indemnización si corresponde y el ajuste de la renta de 5.ª.</w:t>
      </w:r>
    </w:p>
    <w:p>
      <w:pPr>
        <w:keepNext/>
        <w:spacing w:after="60" w:before="120"/>
        <w:jc w:val="center"/>
      </w:pPr>
      <w:r>
        <w:drawing>
          <wp:inline distT="0" distB="0" distL="0" distR="0">
            <wp:extent cx="5905500" cy="5114925"/>
            <wp:effectExtent t="0" r="0" b="0" l="0"/>
            <wp:docPr id="1" name="c16_03_contrato_despido" descr="Contrato de la trabajadora modal del caso INDEMNIZACION: motivo de baja [03] DESPIDO O DESTITUCIÓN, «Despido arbitrario (se indemniza)» marcado y «Fin pactado del contrato modal» 31 ago." title="Contrato de la trabajadora modal del caso INDEMNIZACION: motivo de baja [03] DESPIDO O DESTITUCIÓN, «Despido arbitrario (se indemniza)» marcado y «Fin pactado del contrato modal» 31 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75. </w:t>
      </w:r>
      <w:r>
        <w:rPr>
          <w:i/>
          <w:iCs/>
          <w:color w:val="555555"/>
          <w:sz w:val="18"/>
          <w:szCs w:val="18"/>
        </w:rPr>
        <w:t xml:space="preserve">Contrato de la trabajadora modal del caso INDEMNIZACION: motivo de baja [03] DESPIDO O DESTITUCIÓN, «Despido arbitrario (se indemniza)» marcado y «Fin pactado del contrato modal» 31 ago.</w:t>
      </w:r>
    </w:p>
    <w:p>
      <w:pPr>
        <w:pStyle w:val="Heading2"/>
      </w:pPr>
      <w:bookmarkStart w:name="t56" w:id="1"/>
      <w:r>
        <w:t xml:space="preserve">16.1 Truncas con aportes</w:t>
      </w:r>
      <w:bookmarkEnd w:id="1"/>
    </w:p>
    <w:p>
      <w:pPr>
        <w:spacing w:after="120"/>
      </w:pPr>
      <w:r>
        <w:t xml:space="preserve">Las </w:t>
      </w:r>
      <w:r>
        <w:rPr>
          <w:b/>
          <w:bCs/>
        </w:rPr>
        <w:t xml:space="preserve">vacaciones truncas</w:t>
      </w:r>
      <w:r>
        <w:t xml:space="preserve"> son remunerativas: pagan ONP o AFP y EsSalud (C-20). La gratificación trunca y su bonificación, la CTS trunca y la indemnización no pagan aportes.</w:t>
      </w:r>
    </w:p>
    <w:p>
      <w:pPr>
        <w:keepNext/>
        <w:spacing w:after="60" w:before="120"/>
        <w:jc w:val="center"/>
      </w:pPr>
      <w:r>
        <w:drawing>
          <wp:inline distT="0" distB="0" distL="0" distR="0">
            <wp:extent cx="5905500" cy="7286625"/>
            <wp:effectExtent t="0" r="0" b="0" l="0"/>
            <wp:docPr id="1" name="c16_01_carmen_liquidacion_calculo" descr="Liquidación de Carmen (caso NOMINA), cese el 31/08/2026: vacaciones truncas 1 666,67 con AFP y EsSalud, gratificación trunca 833,33, bonificación 75,00, CTS trunca 972,22 y neto 3 331,89." title="Liquidación de Carmen (caso NOMINA), cese el 31/08/2026: vacaciones truncas 1 666,67 con AFP y EsSalud, gratificación trunca 833,33, bonificación 75,00, CTS trunca 972,22 y neto 3 3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05500" cy="7286625"/>
                    </a:xfrm>
                    <a:prstGeom prst="rect">
                      <a:avLst/>
                    </a:prstGeom>
                  </pic:spPr>
                </pic:pic>
              </a:graphicData>
            </a:graphic>
          </wp:inline>
        </w:drawing>
      </w:r>
    </w:p>
    <w:p>
      <w:pPr>
        <w:spacing w:after="200"/>
        <w:jc w:val="center"/>
      </w:pPr>
      <w:r>
        <w:rPr>
          <w:b/>
          <w:bCs/>
          <w:color w:val="714B67"/>
          <w:sz w:val="18"/>
          <w:szCs w:val="18"/>
        </w:rPr>
        <w:t xml:space="preserve">Figura 76. </w:t>
      </w:r>
      <w:r>
        <w:rPr>
          <w:i/>
          <w:iCs/>
          <w:color w:val="555555"/>
          <w:sz w:val="18"/>
          <w:szCs w:val="18"/>
        </w:rPr>
        <w:t xml:space="preserve">Liquidación de Carmen (caso NOMINA), cese el 31/08/2026: vacaciones truncas 1 666,67 con AFP y EsSalud, gratificación trunca 833,33, bonificación 75,00, CTS trunca 972,22 y neto 3 331,89.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2238"/>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4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Cálculo</w:t>
            </w:r>
          </w:p>
        </w:tc>
        <w:tc>
          <w:tcPr>
            <w:tcW w:type="dxa" w:w="2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Importe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Vacaciones truncas</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8/12 de 2 500</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1 666,67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Gratificación trunca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2/6 (julio y agosto)</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833,33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Bonificación sobre la trunca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75,00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 trunca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4/12, con el sexto de gratificación sin la bonificación</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972,22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 (aporte, comisión, prima)</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Sobre las vacaciones truncas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166,67 · 25,83 · 22,83</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EsSalud</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 de las vacaciones truncas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150,00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Neto</w:t>
            </w:r>
          </w:p>
        </w:tc>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3 331,89</w:t>
            </w:r>
          </w:p>
        </w:tc>
      </w:tr>
    </w:tbl>
    <w:p>
      <w:pPr>
        <w:pStyle w:val="Heading2"/>
      </w:pPr>
      <w:bookmarkStart w:name="t57" w:id="1"/>
      <w:r>
        <w:t xml:space="preserve">16.2 Indemnización por despido arbitrario</w:t>
      </w:r>
      <w:bookmarkEnd w:id="1"/>
    </w:p>
    <w:p>
      <w:pPr>
        <w:spacing w:after="120"/>
      </w:pPr>
      <w:r>
        <w:t xml:space="preserve">Marque </w:t>
      </w:r>
      <w:r>
        <w:rPr>
          <w:b/>
          <w:bCs/>
        </w:rPr>
        <w:t xml:space="preserve">Despido arbitrario (se indemniza)</w:t>
      </w:r>
      <w:r>
        <w:t xml:space="preserve"> en el contrato (N-03). La liquidación paga la indemnización del art. 38 del D.S. 003-97-TR: en plazo indeterminado, 1,5 remuneraciones por año completo y la parte proporcional, con tope de 12 remuneraciones; en la micro y la pequeña empresa, 10 o 20 remuneraciones diarias por año, con tope de 90 o 120 (</w:t>
      </w:r>
      <w:r>
        <w:rPr>
          <w:rFonts w:ascii="Consolas" w:cs="Consolas" w:eastAsia="Consolas" w:hAnsi="Consolas"/>
          <w:color w:val="444444"/>
          <w:sz w:val="20"/>
          <w:szCs w:val="20"/>
        </w:rPr>
        <w:t xml:space="preserve">IND_001</w:t>
      </w:r>
      <w:r>
        <w:t xml:space="preserve">, PLAME 0501). Se cuenta desde el inicio del vínculo continuo y solo si se superó el periodo de prueba. En un contrato </w:t>
      </w:r>
      <w:r>
        <w:rPr>
          <w:b/>
          <w:bCs/>
        </w:rPr>
        <w:t xml:space="preserve">modal</w:t>
      </w:r>
      <w:r>
        <w:t xml:space="preserve">, si se resuelve antes del </w:t>
      </w:r>
      <w:r>
        <w:rPr>
          <w:b/>
          <w:bCs/>
        </w:rPr>
        <w:t xml:space="preserve">Fin pactado</w:t>
      </w:r>
      <w:r>
        <w:t xml:space="preserve">, se paga 1,5 remuneraciones por cada mes que falta, con el mismo tope (</w:t>
      </w:r>
      <w:r>
        <w:rPr>
          <w:rFonts w:ascii="Consolas" w:cs="Consolas" w:eastAsia="Consolas" w:hAnsi="Consolas"/>
          <w:color w:val="444444"/>
          <w:sz w:val="20"/>
          <w:szCs w:val="20"/>
        </w:rPr>
        <w:t xml:space="preserve">IND_MOD_001</w:t>
      </w:r>
      <w:r>
        <w:t xml:space="preserve">, PLAME 0503). La indemnización no paga aportes ni entra en la base de la renta de 5.ª, y se asienta en la 623.</w:t>
      </w:r>
    </w:p>
    <w:p>
      <w:pPr>
        <w:keepNext/>
        <w:spacing w:after="60" w:before="120"/>
        <w:jc w:val="center"/>
      </w:pPr>
      <w:r>
        <w:drawing>
          <wp:inline distT="0" distB="0" distL="0" distR="0">
            <wp:extent cx="5905500" cy="7067550"/>
            <wp:effectExtent t="0" r="0" b="0" l="0"/>
            <wp:docPr id="1" name="c16_02_indemnizacion_calculo" descr="Caso INDEMNIZACION, plazo indeterminado: indemnización 18 575,00 sumada a las truncas; la base de 5.ª solo son las truncas (2 571,67); neto 22 595,75." title="Caso INDEMNIZACION, plazo indeterminado: indemnización 18 575,00 sumada a las truncas; la base de 5.ª solo son las truncas (2 571,67); neto 22 5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05500" cy="7067550"/>
                    </a:xfrm>
                    <a:prstGeom prst="rect">
                      <a:avLst/>
                    </a:prstGeom>
                  </pic:spPr>
                </pic:pic>
              </a:graphicData>
            </a:graphic>
          </wp:inline>
        </w:drawing>
      </w:r>
    </w:p>
    <w:p>
      <w:pPr>
        <w:spacing w:after="200"/>
        <w:jc w:val="center"/>
      </w:pPr>
      <w:r>
        <w:rPr>
          <w:b/>
          <w:bCs/>
          <w:color w:val="714B67"/>
          <w:sz w:val="18"/>
          <w:szCs w:val="18"/>
        </w:rPr>
        <w:t xml:space="preserve">Figura 77. </w:t>
      </w:r>
      <w:r>
        <w:rPr>
          <w:i/>
          <w:iCs/>
          <w:color w:val="555555"/>
          <w:sz w:val="18"/>
          <w:szCs w:val="18"/>
        </w:rPr>
        <w:t xml:space="preserve">Caso INDEMNIZACION, plazo indeterminado: indemnización 18 575,00 sumada a las truncas; la base de 5.ª solo son las truncas (2 571,67); neto 22 595,75.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 del caso</w:t>
            </w:r>
          </w:p>
        </w:tc>
        <w:tc>
          <w:tcPr>
            <w:tcW w:type="dxa" w:w="4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Situación</w:t>
            </w:r>
          </w:p>
        </w:tc>
        <w:tc>
          <w:tcPr>
            <w:tcW w:type="dxa" w:w="2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Indemnización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70000351</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Plazo indeterminado</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IND_001 </w:t>
            </w:r>
            <w:r>
              <w:rPr>
                <w:b/>
                <w:bCs/>
                <w:sz w:val="19"/>
                <w:szCs w:val="19"/>
              </w:rPr>
              <w:t xml:space="preserve">18 575,00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70000352</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Contrato modal resuelto antes del fin pactado</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IND_MOD_001 </w:t>
            </w:r>
            <w:r>
              <w:rPr>
                <w:b/>
                <w:bCs/>
                <w:sz w:val="19"/>
                <w:szCs w:val="19"/>
              </w:rPr>
              <w:t xml:space="preserve">18 000,00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70000353</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Pequeña empresa</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IND_001 </w:t>
            </w:r>
            <w:r>
              <w:rPr>
                <w:b/>
                <w:bCs/>
                <w:sz w:val="19"/>
                <w:szCs w:val="19"/>
              </w:rPr>
              <w:t xml:space="preserve">4 083,33</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70000354</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 periodo de prueba</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indemnización y con aviso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70000357 / 70000358</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Tope de 12 remuneraciones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IND_001 </w:t>
            </w:r>
            <w:r>
              <w:rPr>
                <w:b/>
                <w:bCs/>
                <w:sz w:val="19"/>
                <w:szCs w:val="19"/>
              </w:rPr>
              <w:t xml:space="preserve">18 750,00</w:t>
            </w:r>
            <w:r>
              <w:rPr>
                <w:sz w:val="19"/>
                <w:szCs w:val="19"/>
              </w:rPr>
              <w:t xml:space="preserve"> / </w:t>
            </w:r>
            <w:r>
              <w:rPr>
                <w:b/>
                <w:bCs/>
                <w:sz w:val="19"/>
                <w:szCs w:val="19"/>
              </w:rPr>
              <w:t xml:space="preserve">37 356,00</w:t>
            </w:r>
          </w:p>
        </w:tc>
      </w:tr>
    </w:tbl>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INDEMNIZACION (63 celdas): las 8 liquidaciones validadas, el PLAME con 0501 / 0503 y el asiento de 70000351 con 18 575,00 al debe de la 623.</w:t>
      </w:r>
    </w:p>
    <w:p>
      <w:pPr>
        <w:spacing w:after="120"/>
      </w:pPr>
      <w:r>
        <w:t xml:space="preserve">La </w:t>
      </w:r>
      <w:r>
        <w:rPr>
          <w:b/>
          <w:bCs/>
        </w:rPr>
        <w:t xml:space="preserve">renta de 5.ª del cese</w:t>
      </w:r>
      <w:r>
        <w:t xml:space="preserve"> (ajuste y devolución) está en el 13.3. Si la compañía tiene el control «Boletas del año antes que la liquidación del cese» en «Avisar», la liquidación avisa si quedan boletas del año en borrador (capítulo 26).</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C-20, C-34, N-03, N-04.</w:t>
      </w:r>
    </w:p>
    <w:p>
      <w:pPr>
        <w:pStyle w:val="Heading1"/>
        <w:pageBreakBefore/>
      </w:pPr>
      <w:bookmarkStart w:name="t58" w:id="1"/>
      <w:r>
        <w:t xml:space="preserve">17. Vacaciones</w:t>
      </w:r>
      <w:bookmarkEnd w:id="1"/>
    </w:p>
    <w:p>
      <w:pPr>
        <w:spacing w:after="120"/>
      </w:pPr>
      <w:r>
        <w:t xml:space="preserve">Las vacaciones se devengan como </w:t>
      </w:r>
      <w:r>
        <w:rPr>
          <w:b/>
          <w:bCs/>
        </w:rPr>
        <w:t xml:space="preserve">asignaciones</w:t>
      </w:r>
      <w:r>
        <w:t xml:space="preserve"> del tipo </w:t>
      </w:r>
      <w:r>
        <w:rPr>
          <w:b/>
          <w:bCs/>
        </w:rPr>
        <w:t xml:space="preserve">Vacaciones PE (D.Leg. 713)</w:t>
      </w:r>
      <w:r>
        <w:t xml:space="preserve"> (2,5 días por mes en el régimen general) y se gozan con una </w:t>
      </w:r>
      <w:r>
        <w:rPr>
          <w:b/>
          <w:bCs/>
        </w:rPr>
        <w:t xml:space="preserve">ausencia</w:t>
      </w:r>
      <w:r>
        <w:t xml:space="preserve"> aprobada del mismo tipo.</w:t>
      </w:r>
    </w:p>
    <w:p>
      <w:pPr>
        <w:keepNext/>
        <w:spacing w:after="60" w:before="120"/>
        <w:jc w:val="center"/>
      </w:pPr>
      <w:r>
        <w:drawing>
          <wp:inline distT="0" distB="0" distL="0" distR="0">
            <wp:extent cx="5905500" cy="3324225"/>
            <wp:effectExtent t="0" r="0" b="0" l="0"/>
            <wp:docPr id="1" name="c17_03_asignaciones" descr="Asignaciones de FM SYSTEMS: Lucía 52,5 días (21 meses) y Héctor 47,5 días (19 meses)." title="Asignaciones de FM SYSTEMS: Lucía 52,5 días (21 meses) y Héctor 47,5 días (19 m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78. </w:t>
      </w:r>
      <w:r>
        <w:rPr>
          <w:i/>
          <w:iCs/>
          <w:color w:val="555555"/>
          <w:sz w:val="18"/>
          <w:szCs w:val="18"/>
        </w:rPr>
        <w:t xml:space="preserve">Asignaciones de FM SYSTEMS: Lucía 52,5 días (21 meses) y Héctor 47,5 días (19 meses).</w:t>
      </w:r>
    </w:p>
    <w:p>
      <w:pPr>
        <w:keepNext/>
        <w:spacing w:after="60" w:before="120"/>
        <w:jc w:val="center"/>
      </w:pPr>
      <w:r>
        <w:drawing>
          <wp:inline distT="0" distB="0" distL="0" distR="0">
            <wp:extent cx="5905500" cy="3324225"/>
            <wp:effectExtent t="0" r="0" b="0" l="0"/>
            <wp:docPr id="1" name="c17_04_ausencias" descr="Ausencias aprobadas: Lucía del 2 al 16 de febrero de 2026 (11 días hábiles) y Héctor del 14 al 23 de setiembre de 2026 (8 días hábiles)." title="Ausencias aprobadas: Lucía del 2 al 16 de febrero de 2026 (11 días hábiles) y Héctor del 14 al 23 de setiembre de 2026 (8 días háb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79. </w:t>
      </w:r>
      <w:r>
        <w:rPr>
          <w:i/>
          <w:iCs/>
          <w:color w:val="555555"/>
          <w:sz w:val="18"/>
          <w:szCs w:val="18"/>
        </w:rPr>
        <w:t xml:space="preserve">Ausencias aprobadas: Lucía del 2 al 16 de febrero de 2026 (11 días hábiles) y Héctor del 14 al 23 de setiembre de 2026 (8 días hábiles).</w:t>
      </w:r>
    </w:p>
    <w:p>
      <w:pPr>
        <w:pStyle w:val="Heading2"/>
      </w:pPr>
      <w:bookmarkStart w:name="t59" w:id="1"/>
      <w:r>
        <w:t xml:space="preserve">17.1 Tipos de ausencia y Tabla 21</w:t>
      </w:r>
      <w:bookmarkEnd w:id="1"/>
    </w:p>
    <w:p>
      <w:pPr>
        <w:spacing w:after="120"/>
      </w:pPr>
      <w:r>
        <w:t xml:space="preserve">Cada tipo de ausencia tiene su </w:t>
      </w:r>
      <w:r>
        <w:rPr>
          <w:b/>
          <w:bCs/>
        </w:rPr>
        <w:t xml:space="preserve">Tipo de suspensión (Tabla 21)</w:t>
      </w:r>
      <w:r>
        <w:t xml:space="preserve"> (C-09). Con ese código, la boleta descuenta los días declarados y el PLAME los lleva al </w:t>
      </w:r>
      <w:r>
        <w:rPr>
          <w:rFonts w:ascii="Consolas" w:cs="Consolas" w:eastAsia="Consolas" w:hAnsi="Consolas"/>
          <w:color w:val="444444"/>
          <w:sz w:val="20"/>
          <w:szCs w:val="20"/>
        </w:rPr>
        <w:t xml:space="preserve">.snl</w:t>
      </w:r>
      <w:r>
        <w:t xml:space="preserve">. Por defecto: Vacaciones PE 23, «Sin pagar» 05, Enfermedad 20, Días compensatorios 27 y Maternidad 22.</w:t>
      </w:r>
    </w:p>
    <w:p>
      <w:pPr>
        <w:keepNext/>
        <w:spacing w:after="60" w:before="120"/>
        <w:jc w:val="center"/>
      </w:pPr>
      <w:r>
        <w:drawing>
          <wp:inline distT="0" distB="0" distL="0" distR="0">
            <wp:extent cx="5905500" cy="3324225"/>
            <wp:effectExtent t="0" r="0" b="0" l="0"/>
            <wp:docPr id="1" name="c17_05_tipos_ausencia_tabla21" descr="Tipos de ausencia con su código de la Tabla 21." title="Tipos de ausencia con su código de la Tabl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80. </w:t>
      </w:r>
      <w:r>
        <w:rPr>
          <w:i/>
          <w:iCs/>
          <w:color w:val="555555"/>
          <w:sz w:val="18"/>
          <w:szCs w:val="18"/>
        </w:rPr>
        <w:t xml:space="preserve">Tipos de ausencia con su código de la Tabla 21.</w:t>
      </w:r>
    </w:p>
    <w:p>
      <w:pPr>
        <w:pStyle w:val="Heading2"/>
      </w:pPr>
      <w:bookmarkStart w:name="t60" w:id="1"/>
      <w:r>
        <w:t xml:space="preserve">17.2 Boleta de vacaciones y mensual del mes</w:t>
      </w:r>
      <w:bookmarkEnd w:id="1"/>
    </w:p>
    <w:p>
      <w:pPr>
        <w:spacing w:after="120"/>
      </w:pPr>
      <w:r>
        <w:t xml:space="preserve">En el mes de goce se calculan dos boletas: la </w:t>
      </w:r>
      <w:r>
        <w:rPr>
          <w:b/>
          <w:bCs/>
        </w:rPr>
        <w:t xml:space="preserve">vacacional</w:t>
      </w:r>
      <w:r>
        <w:t xml:space="preserve"> (estructura VAC) por los días de goce y la </w:t>
      </w:r>
      <w:r>
        <w:rPr>
          <w:b/>
          <w:bCs/>
        </w:rPr>
        <w:t xml:space="preserve">mensual</w:t>
      </w:r>
      <w:r>
        <w:t xml:space="preserve"> por el resto. Ejemplo del caso NOMINA: Óscar (sueldo 3 000) goza del 1 al 15 de julio de 2026.</w:t>
      </w:r>
    </w:p>
    <w:p>
      <w:pPr>
        <w:keepNext/>
        <w:spacing w:after="60" w:before="120"/>
        <w:jc w:val="center"/>
      </w:pPr>
      <w:r>
        <w:drawing>
          <wp:inline distT="0" distB="0" distL="0" distR="0">
            <wp:extent cx="5905500" cy="5114925"/>
            <wp:effectExtent t="0" r="0" b="0" l="0"/>
            <wp:docPr id="1" name="c17_06_oscar_vac_jul2026_dias" descr="Vacacional de Óscar: «Vacaciones PE» −11 días / −88 h pagada." title="Vacacional de Óscar: «Vacaciones PE» −11 días / −88 h pa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81. </w:t>
      </w:r>
      <w:r>
        <w:rPr>
          <w:i/>
          <w:iCs/>
          <w:color w:val="555555"/>
          <w:sz w:val="18"/>
          <w:szCs w:val="18"/>
        </w:rPr>
        <w:t xml:space="preserve">Vacacional de Óscar: «Vacaciones PE» −11 días / −88 h pagada.</w:t>
      </w:r>
    </w:p>
    <w:p>
      <w:pPr>
        <w:keepNext/>
        <w:spacing w:after="60" w:before="120"/>
        <w:jc w:val="center"/>
      </w:pPr>
      <w:r>
        <w:drawing>
          <wp:inline distT="0" distB="0" distL="0" distR="0">
            <wp:extent cx="5905500" cy="5114925"/>
            <wp:effectExtent t="0" r="0" b="0" l="0"/>
            <wp:docPr id="1" name="c17_07_oscar_nme_jul2026_dias" descr="Mensual de Óscar: la misma línea de vacaciones, **no pagada** (¿Pagado? sin marcar, C-16)." title="Mensual de Óscar: la misma línea de vacaciones, **no pagada** (¿Pagado? sin marcar, 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82. </w:t>
      </w:r>
      <w:r>
        <w:rPr>
          <w:i/>
          <w:iCs/>
          <w:color w:val="555555"/>
          <w:sz w:val="18"/>
          <w:szCs w:val="18"/>
        </w:rPr>
        <w:t xml:space="preserve">Mensual de Óscar: la misma línea de vacaciones, **no pagada** (¿Pagado? sin marcar, C-16).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1400"/>
        <w:gridCol w:w="20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Boleta</w:t>
            </w:r>
          </w:p>
        </w:tc>
        <w:tc>
          <w:tcPr>
            <w:tcW w:type="dxa" w:w="2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Remuneración</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ONP</w:t>
            </w:r>
          </w:p>
        </w:tc>
        <w:tc>
          <w:tcPr>
            <w:tcW w:type="dxa" w:w="1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EsSalud</w:t>
            </w:r>
          </w:p>
        </w:tc>
        <w:tc>
          <w:tcPr>
            <w:tcW w:type="dxa" w:w="20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Neto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Vacacional (1–15 jul.)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VAC_001 1 500,00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195,00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135,00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1 305,00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Mensual (16–31 jul.)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RB_001 1 500,00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195,00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135,00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1 305,00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3 000,00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390,00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270,00</w:t>
            </w:r>
          </w:p>
        </w:tc>
        <w:tc>
          <w:tcPr>
            <w:tcW w:type="dxa" w:w="2038"/>
            <w:tcBorders>
              <w:top w:val="single" w:color="BFBFBF" w:sz="4"/>
              <w:left w:val="single" w:color="BFBFBF" w:sz="4"/>
              <w:bottom w:val="single" w:color="BFBFBF" w:sz="4"/>
              <w:right w:val="single" w:color="BFBFBF" w:sz="4"/>
            </w:tcBorders>
            <w:tcMar>
              <w:top w:type="dxa" w:w="60"/>
              <w:left w:type="dxa" w:w="100"/>
              <w:bottom w:type="dxa" w:w="60"/>
              <w:right w:type="dxa" w:w="100"/>
            </w:tcMar>
          </w:tcPr>
          <w:p/>
        </w:tc>
      </w:tr>
    </w:tbl>
    <w:p>
      <w:pPr>
        <w:spacing w:after="120"/>
      </w:pPr>
      <w:r>
        <w:t xml:space="preserve">En el recorrido de FM, Lucía goza 15 días en febrero de 2026: vacacional </w:t>
      </w:r>
      <w:r>
        <w:rPr>
          <w:b/>
          <w:bCs/>
        </w:rPr>
        <w:t xml:space="preserve">2 306,50</w:t>
      </w:r>
      <w:r>
        <w:t xml:space="preserve"> ((4 500 + 113) / 30 × 15) y mensual con remuneración 2 250,00 y asignación familiar 113,00 completa. La asignación familiar del mes de goce parcial va completa en la mensual y proporcional en la vacacional: según la contadora es correcto (C-04, P-19). Total del mes: 4 669,50.</w:t>
      </w:r>
    </w:p>
    <w:p>
      <w:pPr>
        <w:keepNext/>
        <w:spacing w:after="60" w:before="120"/>
        <w:jc w:val="center"/>
      </w:pPr>
      <w:r>
        <w:drawing>
          <wp:inline distT="0" distB="0" distL="0" distR="0">
            <wp:extent cx="4810125" cy="7810500"/>
            <wp:effectExtent t="0" r="0" b="0" l="0"/>
            <wp:docPr id="1" name="c17_01_lucia_vac_feb2026_calculo" descr="Lucía, vacacional de febrero de 2026: 2 306,50 con AFP, EsSalud y SENATI; neto 2 008,50." title="Lucía, vacacional de febrero de 2026: 2 306,50 con AFP, EsSalud y SENATI; neto 2 0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810125" cy="7810500"/>
                    </a:xfrm>
                    <a:prstGeom prst="rect">
                      <a:avLst/>
                    </a:prstGeom>
                  </pic:spPr>
                </pic:pic>
              </a:graphicData>
            </a:graphic>
          </wp:inline>
        </w:drawing>
      </w:r>
    </w:p>
    <w:p>
      <w:pPr>
        <w:spacing w:after="200"/>
        <w:jc w:val="center"/>
      </w:pPr>
      <w:r>
        <w:rPr>
          <w:b/>
          <w:bCs/>
          <w:color w:val="714B67"/>
          <w:sz w:val="18"/>
          <w:szCs w:val="18"/>
        </w:rPr>
        <w:t xml:space="preserve">Figura 83. </w:t>
      </w:r>
      <w:r>
        <w:rPr>
          <w:i/>
          <w:iCs/>
          <w:color w:val="555555"/>
          <w:sz w:val="18"/>
          <w:szCs w:val="18"/>
        </w:rPr>
        <w:t xml:space="preserve">Lucía, vacacional de febrero de 2026: 2 306,50 con AFP, EsSalud y SENATI; neto 2 008,50.</w:t>
      </w:r>
    </w:p>
    <w:p>
      <w:pPr>
        <w:keepNext/>
        <w:spacing w:after="60" w:before="120"/>
        <w:jc w:val="center"/>
      </w:pPr>
      <w:r>
        <w:drawing>
          <wp:inline distT="0" distB="0" distL="0" distR="0">
            <wp:extent cx="4810125" cy="7810500"/>
            <wp:effectExtent t="0" r="0" b="0" l="0"/>
            <wp:docPr id="1" name="c17_02_lucia_nme_feb2026_calculo" descr="Lucía, mensual de febrero de 2026: remuneración 2 250,00, asignación familiar 113,00 y renta de 5.ª del mes de vacaciones 183,73 (C-11)." title="Lucía, mensual de febrero de 2026: remuneración 2 250,00, asignación familiar 113,00 y renta de 5.ª del mes de vacaciones 183,73 (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810125" cy="7810500"/>
                    </a:xfrm>
                    <a:prstGeom prst="rect">
                      <a:avLst/>
                    </a:prstGeom>
                  </pic:spPr>
                </pic:pic>
              </a:graphicData>
            </a:graphic>
          </wp:inline>
        </w:drawing>
      </w:r>
    </w:p>
    <w:p>
      <w:pPr>
        <w:spacing w:after="200"/>
        <w:jc w:val="center"/>
      </w:pPr>
      <w:r>
        <w:rPr>
          <w:b/>
          <w:bCs/>
          <w:color w:val="714B67"/>
          <w:sz w:val="18"/>
          <w:szCs w:val="18"/>
        </w:rPr>
        <w:t xml:space="preserve">Figura 84. </w:t>
      </w:r>
      <w:r>
        <w:rPr>
          <w:i/>
          <w:iCs/>
          <w:color w:val="555555"/>
          <w:sz w:val="18"/>
          <w:szCs w:val="18"/>
        </w:rPr>
        <w:t xml:space="preserve">Lucía, mensual de febrero de 2026: remuneración 2 250,00, asignación familiar 113,00 y renta de 5.ª del mes de vacaciones 183,73 (C-11).</w:t>
      </w:r>
    </w:p>
    <w:p>
      <w:pPr>
        <w:pBdr>
          <w:left w:val="single" w:color="2E86AB" w:sz="18" w:space="8"/>
        </w:pBdr>
        <w:shd w:fill="EAF4F8" w:color="auto" w:val="clear"/>
        <w:spacing w:after="160" w:before="120"/>
        <w:ind w:left="120" w:right="120"/>
      </w:pPr>
      <w:r>
        <w:rPr>
          <w:b/>
          <w:bCs/>
          <w:color w:val="2E86AB"/>
        </w:rPr>
        <w:t xml:space="preserve">Nota: </w:t>
      </w:r>
      <w:r>
        <w:t xml:space="preserve">Un mes </w:t>
      </w:r>
      <w:r>
        <w:rPr>
          <w:b/>
          <w:bCs/>
        </w:rPr>
        <w:t xml:space="preserve">entero</w:t>
      </w:r>
      <w:r>
        <w:t xml:space="preserve"> de goce deja la mensual sin importes, porque EsSalud y la prima ya se pagaron en la vacacional (C-26). Esa mensual no se valida: elimínela (C-18). Caso NOMINA: Nilda, 1 al 30 de julio.</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C-04, C-09, C-11, C-16, C-26.</w:t>
      </w:r>
    </w:p>
    <w:p>
      <w:pPr>
        <w:pStyle w:val="Heading1"/>
        <w:pageBreakBefore/>
      </w:pPr>
      <w:bookmarkStart w:name="t61" w:id="1"/>
      <w:r>
        <w:t xml:space="preserve">18. Feriados</w:t>
      </w:r>
      <w:bookmarkEnd w:id="1"/>
    </w:p>
    <w:p>
      <w:pPr>
        <w:spacing w:after="120"/>
      </w:pPr>
      <w:r>
        <w:t xml:space="preserve">Los feriados nacionales se registran cada año en </w:t>
      </w:r>
      <w:r>
        <w:rPr>
          <w:b/>
          <w:bCs/>
        </w:rPr>
        <w:t xml:space="preserve">Vacaciones › Configuración › Días festivos</w:t>
      </w:r>
      <w:r>
        <w:t xml:space="preserve">, sin recurso (valen para toda la compañía). En FM SYSTEMS están los 16 feriados de 2025 y los 16 de 2026.</w:t>
      </w:r>
    </w:p>
    <w:p>
      <w:pPr>
        <w:keepNext/>
        <w:spacing w:after="60" w:before="120"/>
        <w:jc w:val="center"/>
      </w:pPr>
      <w:r>
        <w:drawing>
          <wp:inline distT="0" distB="0" distL="0" distR="0">
            <wp:extent cx="5905500" cy="3324225"/>
            <wp:effectExtent t="0" r="0" b="0" l="0"/>
            <wp:docPr id="1" name="c18_01_dias_festivos" descr="Días festivos de 2026 de FM SYSTEMS (filtro «Periodo: 2026»)." title="Días festivos de 2026 de FM SYSTEMS (filtro «Period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85. </w:t>
      </w:r>
      <w:r>
        <w:rPr>
          <w:i/>
          <w:iCs/>
          <w:color w:val="555555"/>
          <w:sz w:val="18"/>
          <w:szCs w:val="18"/>
        </w:rPr>
        <w:t xml:space="preserve">Días festivos de 2026 de FM SYSTEMS (filtro «Periodo: 2026»).</w:t>
      </w:r>
    </w:p>
    <w:p>
      <w:pPr>
        <w:pStyle w:val="Heading2"/>
      </w:pPr>
      <w:bookmarkStart w:name="t62" w:id="1"/>
      <w:r>
        <w:t xml:space="preserve">18.1 Efecto en la boleta y en el PLAME</w:t>
      </w:r>
      <w:bookmarkEnd w:id="1"/>
    </w:p>
    <w:p>
      <w:pPr>
        <w:pStyle w:val="ListParagraph"/>
        <w:numPr>
          <w:ilvl w:val="0"/>
          <w:numId w:val="2"/>
        </w:numPr>
        <w:spacing w:after="60"/>
      </w:pPr>
      <w:r>
        <w:t xml:space="preserve">Los feriados </w:t>
      </w:r>
      <w:r>
        <w:rPr>
          <w:b/>
          <w:bCs/>
        </w:rPr>
        <w:t xml:space="preserve">no descuentan</w:t>
      </w:r>
      <w:r>
        <w:t xml:space="preserve">: el feriado es descanso remunerado (D.Leg. 713) y el sueldo mensual no cambia.</w:t>
      </w:r>
    </w:p>
    <w:p>
      <w:pPr>
        <w:pStyle w:val="ListParagraph"/>
        <w:numPr>
          <w:ilvl w:val="0"/>
          <w:numId w:val="2"/>
        </w:numPr>
        <w:spacing w:after="60"/>
      </w:pPr>
      <w:r>
        <w:t xml:space="preserve">Los </w:t>
      </w:r>
      <w:r>
        <w:rPr>
          <w:b/>
          <w:bCs/>
        </w:rPr>
        <w:t xml:space="preserve">días laborados</w:t>
      </w:r>
      <w:r>
        <w:t xml:space="preserve"> declarados incluyen los feriados (C-09): diciembre de 2026 completo = 31 días, 0 no laborados. En el v1 la boleta declaraba 20 días.</w:t>
      </w:r>
    </w:p>
    <w:p>
      <w:pPr>
        <w:pStyle w:val="ListParagraph"/>
        <w:numPr>
          <w:ilvl w:val="0"/>
          <w:numId w:val="2"/>
        </w:numPr>
        <w:spacing w:after="60"/>
      </w:pPr>
      <w:r>
        <w:t xml:space="preserve">Las </w:t>
      </w:r>
      <w:r>
        <w:rPr>
          <w:b/>
          <w:bCs/>
        </w:rPr>
        <w:t xml:space="preserve">horas</w:t>
      </w:r>
      <w:r>
        <w:t xml:space="preserve"> del </w:t>
      </w:r>
      <w:r>
        <w:rPr>
          <w:rFonts w:ascii="Consolas" w:cs="Consolas" w:eastAsia="Consolas" w:hAnsi="Consolas"/>
          <w:color w:val="444444"/>
          <w:sz w:val="20"/>
          <w:szCs w:val="20"/>
        </w:rPr>
        <w:t xml:space="preserve">.jor</w:t>
      </w:r>
      <w:r>
        <w:t xml:space="preserve"> son las de la jornada cumplida: los feriados no suman horas (C-24, capítulo 27).</w:t>
      </w:r>
    </w:p>
    <w:p>
      <w:pPr>
        <w:pStyle w:val="ListParagraph"/>
        <w:numPr>
          <w:ilvl w:val="0"/>
          <w:numId w:val="2"/>
        </w:numPr>
        <w:spacing w:after="60"/>
      </w:pPr>
      <w:r>
        <w:t xml:space="preserve">En la conciliación de asistencias, el feriado sin marcas </w:t>
      </w:r>
      <w:r>
        <w:rPr>
          <w:b/>
          <w:bCs/>
        </w:rPr>
        <w:t xml:space="preserve">no es falta</w:t>
      </w:r>
      <w:r>
        <w:t xml:space="preserve"> (C-35, capítulo 19).</w:t>
      </w:r>
    </w:p>
    <w:p>
      <w:pPr>
        <w:pStyle w:val="Heading2"/>
      </w:pPr>
      <w:bookmarkStart w:name="t63" w:id="1"/>
      <w:r>
        <w:t xml:space="preserve">18.2 Aviso de feriados del año sin cargar</w:t>
      </w:r>
      <w:bookmarkEnd w:id="1"/>
    </w:p>
    <w:p>
      <w:pPr>
        <w:spacing w:after="120"/>
      </w:pPr>
      <w:r>
        <w:t xml:space="preserve">Si no hay ningún feriado registrado en el año de la boleta, la banda de avisos lo dice (V-05): sin ellos, las boletas de ese año no tienen la línea de feriados en los días trabajados y las horas y la asistencia salen mal.</w:t>
      </w:r>
    </w:p>
    <w:p>
      <w:pPr>
        <w:keepNext/>
        <w:spacing w:after="60" w:before="120"/>
        <w:jc w:val="center"/>
      </w:pPr>
      <w:r>
        <w:drawing>
          <wp:inline distT="0" distB="0" distL="0" distR="0">
            <wp:extent cx="5905500" cy="3324225"/>
            <wp:effectExtent t="0" r="0" b="0" l="0"/>
            <wp:docPr id="1" name="c18_02_banda_sin_feriados" descr="Compañía de laboratorio sin feriados de 2026: «Faltan los días festivos de 2026…» arriba de la lista de boletas." title="Compañía de laboratorio sin feriados de 2026: «Faltan los días festivos de 2026…» arriba de la lista de bol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86. </w:t>
      </w:r>
      <w:r>
        <w:rPr>
          <w:i/>
          <w:iCs/>
          <w:color w:val="555555"/>
          <w:sz w:val="18"/>
          <w:szCs w:val="18"/>
        </w:rPr>
        <w:t xml:space="preserve">Compañía de laboratorio sin feriados de 2026: «Faltan los días festivos de 2026…» arriba de la lista de boletas.</w:t>
      </w:r>
    </w:p>
    <w:p>
      <w:pPr>
        <w:pBdr>
          <w:left w:val="single" w:color="714B67" w:sz="18" w:space="8"/>
        </w:pBdr>
        <w:shd w:fill="F3EEF2" w:color="auto" w:val="clear"/>
        <w:spacing w:after="160" w:before="120"/>
        <w:ind w:left="120" w:right="120"/>
      </w:pPr>
      <w:r>
        <w:rPr>
          <w:b/>
          <w:bCs/>
          <w:color w:val="714B67"/>
        </w:rPr>
        <w:t xml:space="preserve">Para implementadores: </w:t>
      </w:r>
      <w:r>
        <w:t xml:space="preserve">Cargue los feriados del año siguiente en diciembre. Los feriados de otro calendario o de otra compañía no cuentan para el trabajador.</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C-09, C-24, V-05.</w:t>
      </w:r>
    </w:p>
    <w:p>
      <w:pPr>
        <w:pStyle w:val="Heading1"/>
        <w:pageBreakBefore/>
      </w:pPr>
      <w:bookmarkStart w:name="t64" w:id="1"/>
      <w:r>
        <w:t xml:space="preserve">20. Horas extra, nocturnidad, movilidad, adelantos y utilidades</w:t>
      </w:r>
      <w:bookmarkEnd w:id="1"/>
    </w:p>
    <w:p>
      <w:pPr>
        <w:spacing w:after="120"/>
      </w:pPr>
      <w:r>
        <w:t xml:space="preserve">Estos conceptos se registran como </w:t>
      </w:r>
      <w:r>
        <w:rPr>
          <w:b/>
          <w:bCs/>
        </w:rPr>
        <w:t xml:space="preserve">Otras entradas</w:t>
      </w:r>
      <w:r>
        <w:t xml:space="preserve"> de la boleta (pestaña Días trabajados y entradas). El ejemplo es un trabajador sintético de la compañía de laboratorio (sueldo 2 400, ONP, octubre de 2026), armado para este manual y borrado después.</w:t>
      </w:r>
    </w:p>
    <w:p>
      <w:pPr>
        <w:keepNext/>
        <w:spacing w:after="60" w:before="120"/>
        <w:jc w:val="center"/>
      </w:pPr>
      <w:r>
        <w:drawing>
          <wp:inline distT="0" distB="0" distL="0" distR="0">
            <wp:extent cx="5905500" cy="5114925"/>
            <wp:effectExtent t="0" r="0" b="0" l="0"/>
            <wp:docPr id="1" name="c20_02_entradas_lista" descr="Otras entradas: 6 horas extra al 25 %, 2 al 35 %, 10 horas nocturnas, movilidad 200 y 45 minutos de tardanza." title="Otras entradas: 6 horas extra al 25 %, 2 al 35 %, 10 horas nocturnas, movilidad 200 y 45 minutos de tard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87. </w:t>
      </w:r>
      <w:r>
        <w:rPr>
          <w:i/>
          <w:iCs/>
          <w:color w:val="555555"/>
          <w:sz w:val="18"/>
          <w:szCs w:val="18"/>
        </w:rPr>
        <w:t xml:space="preserve">Otras entradas: 6 horas extra al 25 %, 2 al 35 %, 10 horas nocturnas, movilidad 200 y 45 minutos de tardanza.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700"/>
        <w:gridCol w:w="1900"/>
        <w:gridCol w:w="1338"/>
      </w:tblGrid>
      <w:tr>
        <w:trPr>
          <w:tblHeader/>
        </w:trPr>
        <w:tc>
          <w:tcPr>
            <w:tcW w:type="dxa" w:w="2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Entrada</w:t>
            </w:r>
          </w:p>
        </w:tc>
        <w:tc>
          <w:tcPr>
            <w:tcW w:type="dxa" w:w="1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Código</w:t>
            </w:r>
          </w:p>
        </w:tc>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Regla</w:t>
            </w:r>
          </w:p>
        </w:tc>
        <w:tc>
          <w:tcPr>
            <w:tcW w:type="dxa" w:w="1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Cálculo</w:t>
            </w:r>
          </w:p>
        </w:tc>
        <w:tc>
          <w:tcPr>
            <w:tcW w:type="dxa" w:w="13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Importe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extra 25 % (horas)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HE25_001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 30 / 8 × 1,25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 × 10,00 × 1,25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extra 35 % (horas)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HE35_001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 30 / 8 × 1,35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 10,00 × 1,35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27,00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Horas nocturnas (horas)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BNOC_001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Valor hora (mínimo RMV / 240) × 35 %</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 10,00 × 0,35</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35,00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Movilidad de libre disposición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MOV_001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Importe; no afecta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200,00</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Tardanzas (minutos)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TARD_001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Sueldo / 240 / 60 por minuto; reduce la base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45 × 0,1667</w:t>
            </w:r>
          </w:p>
        </w:tc>
        <w:tc>
          <w:tcPr>
            <w:tcW w:type="dxa" w:w="1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7,50</w:t>
            </w:r>
          </w:p>
        </w:tc>
      </w:tr>
    </w:tbl>
    <w:p>
      <w:pPr>
        <w:keepNext/>
        <w:spacing w:after="60" w:before="120"/>
        <w:jc w:val="center"/>
      </w:pPr>
      <w:r>
        <w:drawing>
          <wp:inline distT="0" distB="0" distL="0" distR="0">
            <wp:extent cx="5895975" cy="7810500"/>
            <wp:effectExtent t="0" r="0" b="0" l="0"/>
            <wp:docPr id="1" name="c20_02_entradas_calculo" descr="Cálculo: total ingresos 2 737,00; base afecta 2 529,50 (sin la movilidad y menos la tardanza); ONP 328,84; EsSalud 227,66; neto 2 400,66." title="Cálculo: total ingresos 2 737,00; base afecta 2 529,50 (sin la movilidad y menos la tardanza); ONP 328,84; EsSalud 227,66; neto 2 4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895975" cy="7810500"/>
                    </a:xfrm>
                    <a:prstGeom prst="rect">
                      <a:avLst/>
                    </a:prstGeom>
                  </pic:spPr>
                </pic:pic>
              </a:graphicData>
            </a:graphic>
          </wp:inline>
        </w:drawing>
      </w:r>
    </w:p>
    <w:p>
      <w:pPr>
        <w:spacing w:after="200"/>
        <w:jc w:val="center"/>
      </w:pPr>
      <w:r>
        <w:rPr>
          <w:b/>
          <w:bCs/>
          <w:color w:val="714B67"/>
          <w:sz w:val="18"/>
          <w:szCs w:val="18"/>
        </w:rPr>
        <w:t xml:space="preserve">Figura 88. </w:t>
      </w:r>
      <w:r>
        <w:rPr>
          <w:i/>
          <w:iCs/>
          <w:color w:val="555555"/>
          <w:sz w:val="18"/>
          <w:szCs w:val="18"/>
        </w:rPr>
        <w:t xml:space="preserve">Cálculo: total ingresos 2 737,00; base afecta 2 529,50 (sin la movilidad y menos la tardanza); ONP 328,84; EsSalud 227,66; neto 2 400,66.</w:t>
      </w:r>
    </w:p>
    <w:p>
      <w:pPr>
        <w:spacing w:after="120"/>
      </w:pPr>
      <w:r>
        <w:t xml:space="preserve">La base afecta (2 529,50) es el total de ingresos menos la movilidad (no remunerativa) menos la tardanza (C-10). Sobre ella se calculan la ONP (13 % = 328,84) y EsSalud (9 % = 227,66).</w:t>
      </w:r>
    </w:p>
    <w:p>
      <w:pPr>
        <w:pStyle w:val="Heading2"/>
      </w:pPr>
      <w:bookmarkStart w:name="t65" w:id="1"/>
      <w:r>
        <w:t xml:space="preserve">20.1 Adelantos, descuento judicial y cuota sindical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438"/>
      </w:tblGrid>
      <w:tr>
        <w:trPr>
          <w:tblHeader/>
        </w:trPr>
        <w:tc>
          <w:tcPr>
            <w:tcW w:type="dxa" w:w="2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4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Cómo</w:t>
            </w:r>
          </w:p>
        </w:tc>
        <w:tc>
          <w:tcPr>
            <w:tcW w:type="dxa" w:w="3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Caso NOMINA</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Adelanto quincenal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Estructura NQA con el «Porcentaje de adelanto» del contrato; la mensual lo descuenta (DESC_ADEL_001)</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Luis: adelanto 40 % </w:t>
            </w:r>
            <w:r>
              <w:rPr>
                <w:b/>
                <w:bCs/>
                <w:sz w:val="19"/>
                <w:szCs w:val="19"/>
              </w:rPr>
              <w:t xml:space="preserve">1 800,00</w:t>
            </w:r>
            <w:r>
              <w:rPr>
                <w:sz w:val="19"/>
                <w:szCs w:val="19"/>
              </w:rPr>
              <w:t xml:space="preserve"> y descuento de 1 800,00 en la mensual; neto 2 112,30</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Descuento judicial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«¿Tiene beneficiario?» en la ficha</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Miguel: </w:t>
            </w:r>
            <w:r>
              <w:rPr>
                <w:b/>
                <w:bCs/>
                <w:sz w:val="19"/>
                <w:szCs w:val="19"/>
              </w:rPr>
              <w:t xml:space="preserve">522,00</w:t>
            </w:r>
            <w:r>
              <w:rPr>
                <w:sz w:val="19"/>
                <w:szCs w:val="19"/>
              </w:rPr>
              <w:t xml:space="preserve"> (20 % del disponible)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Cuota sindical</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«Sindicalizado» en el contrato; parámetro </w:t>
            </w:r>
            <w:r>
              <w:rPr>
                <w:rFonts w:ascii="Consolas" w:cs="Consolas" w:eastAsia="Consolas" w:hAnsi="Consolas"/>
                <w:color w:val="444444"/>
                <w:sz w:val="20"/>
                <w:szCs w:val="20"/>
              </w:rPr>
              <w:t xml:space="preserve">pe_cuota_sindical</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Rosa (semanal): </w:t>
            </w:r>
            <w:r>
              <w:rPr>
                <w:b/>
                <w:bCs/>
                <w:sz w:val="19"/>
                <w:szCs w:val="19"/>
              </w:rPr>
              <w:t xml:space="preserve">4,20</w:t>
            </w:r>
          </w:p>
        </w:tc>
      </w:tr>
    </w:tbl>
    <w:p>
      <w:pPr>
        <w:pStyle w:val="Heading2"/>
      </w:pPr>
      <w:bookmarkStart w:name="t66" w:id="1"/>
      <w:r>
        <w:t xml:space="preserve">20.2 Reparto de utilidades</w:t>
      </w:r>
      <w:bookmarkEnd w:id="1"/>
    </w:p>
    <w:p>
      <w:pPr>
        <w:spacing w:after="120"/>
      </w:pPr>
      <w:r>
        <w:rPr>
          <w:b/>
          <w:bCs/>
        </w:rPr>
        <w:t xml:space="preserve">Nómina PE › Reparto de utilidades</w:t>
      </w:r>
      <w:r>
        <w:t xml:space="preserve"> reparte la participación del D.Leg. 892: 50 % por días laborados y 50 % por remuneraciones del ejercicio, con tope individual de 18 sueldos. Días y remuneraciones salen de las boletas validadas del año. Se indica la renta neta y el porcentaje según la actividad (CIIU); el resultado es un Excel y el importe se paga con la entrada </w:t>
      </w:r>
      <w:r>
        <w:rPr>
          <w:rFonts w:ascii="Consolas" w:cs="Consolas" w:eastAsia="Consolas" w:hAnsi="Consolas"/>
          <w:color w:val="444444"/>
          <w:sz w:val="20"/>
          <w:szCs w:val="20"/>
        </w:rPr>
        <w:t xml:space="preserve">UTIL_001</w:t>
      </w:r>
      <w:r>
        <w:t xml:space="preserve">.</w:t>
      </w:r>
    </w:p>
    <w:p>
      <w:pPr>
        <w:keepNext/>
        <w:spacing w:after="60" w:before="120"/>
        <w:jc w:val="center"/>
      </w:pPr>
      <w:r>
        <w:drawing>
          <wp:inline distT="0" distB="0" distL="0" distR="0">
            <wp:extent cx="5905500" cy="3324225"/>
            <wp:effectExtent t="0" r="0" b="0" l="0"/>
            <wp:docPr id="1" name="c20_01_reparto_utilidades" descr="Asistente del reparto de utilidades: ejercicio, renta neta y porcentaje." title="Asistente del reparto de utilidades: ejercicio, renta neta y porcen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89. </w:t>
      </w:r>
      <w:r>
        <w:rPr>
          <w:i/>
          <w:iCs/>
          <w:color w:val="555555"/>
          <w:sz w:val="18"/>
          <w:szCs w:val="18"/>
        </w:rPr>
        <w:t xml:space="preserve">Asistente del reparto de utilidades: ejercicio, renta neta y porcentaje.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500"/>
        <w:gridCol w:w="1900"/>
        <w:gridCol w:w="1838"/>
      </w:tblGrid>
      <w:tr>
        <w:trPr>
          <w:tblHeader/>
        </w:trPr>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 (caso UTILIDADES)</w:t>
            </w:r>
          </w:p>
        </w:tc>
        <w:tc>
          <w:tcPr>
            <w:tcW w:type="dxa" w:w="1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Remuneraciones</w:t>
            </w:r>
          </w:p>
        </w:tc>
        <w:tc>
          <w:tcPr>
            <w:tcW w:type="dxa" w:w="1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Por días</w:t>
            </w:r>
          </w:p>
        </w:tc>
        <w:tc>
          <w:tcPr>
            <w:tcW w:type="dxa" w:w="1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Por remuneraciones</w:t>
            </w:r>
          </w:p>
        </w:tc>
        <w:tc>
          <w:tcPr>
            <w:tcW w:type="dxa" w:w="18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 pagar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12 000,00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833,33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1 333,33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18 000,00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833,33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750,00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1 583,33</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70000803</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30 000,00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833,33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1 250,00</w:t>
            </w:r>
          </w:p>
        </w:tc>
        <w:tc>
          <w:tcPr>
            <w:tcW w:type="dxa" w:w="18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2 083,33</w:t>
            </w:r>
          </w:p>
        </w:tc>
      </w:tr>
    </w:tbl>
    <w:p>
      <w:pPr>
        <w:spacing w:after="120"/>
      </w:pPr>
      <w:r>
        <w:t xml:space="preserve">Monto a repartir 5 000,00 entre 3 trabajadores con los mismos días, sin remanente por topes. El </w:t>
      </w:r>
      <w:r>
        <w:rPr>
          <w:b/>
          <w:bCs/>
        </w:rPr>
        <w:t xml:space="preserve">tope</w:t>
      </w:r>
      <w:r>
        <w:t xml:space="preserve"> de 18 sueldos usa el sueldo </w:t>
      </w:r>
      <w:r>
        <w:rPr>
          <w:b/>
          <w:bCs/>
        </w:rPr>
        <w:t xml:space="preserve">vigente al cierre del ejercicio</w:t>
      </w:r>
      <w:r>
        <w:t xml:space="preserve">, no el de hoy (C-22). En el escenario de tope del caso, el remanente es 320 000,00.</w:t>
      </w:r>
    </w:p>
    <w:p>
      <w:pPr>
        <w:pBdr>
          <w:left w:val="single" w:color="E08A1E" w:sz="18" w:space="8"/>
        </w:pBdr>
        <w:shd w:fill="FDF2E6" w:color="auto" w:val="clear"/>
        <w:spacing w:after="160" w:before="120"/>
        <w:ind w:left="120" w:right="120"/>
      </w:pPr>
      <w:r>
        <w:rPr>
          <w:b/>
          <w:bCs/>
          <w:color w:val="E08A1E"/>
        </w:rPr>
        <w:t xml:space="preserve">Importante: </w:t>
      </w:r>
      <w:r>
        <w:t xml:space="preserve">Qué cuenta como días laborados y como remuneración para el reparto, y si los días de vacaciones y de subsidio se incluyen, está pendiente de confirmación por la contadora (P-25, P-26 y P-29). Hoy se usan las líneas pagadas de los días trabajados. Ver el Anexo A.</w:t>
      </w:r>
    </w:p>
    <w:p>
      <w:pPr>
        <w:pBdr>
          <w:top w:val="single" w:color="BFBFBF" w:sz="4" w:space="4"/>
        </w:pBdr>
        <w:spacing w:before="240"/>
      </w:pPr>
      <w:r>
        <w:rPr>
          <w:color w:val="777777"/>
          <w:sz w:val="16"/>
          <w:szCs w:val="16"/>
        </w:rPr>
        <w:t xml:space="preserve">Versiones mostradas: ce 19.0.1.27.1 · ce_demo 19.0.2.25.1.</w:t>
      </w:r>
      <w:r>
        <w:rPr>
          <w:color w:val="777777"/>
          <w:sz w:val="16"/>
          <w:szCs w:val="16"/>
        </w:rPr>
        <w:t xml:space="preserve">  Ítems de la versión 2: C-10, C-22.</w:t>
      </w:r>
    </w:p>
    <w:p>
      <w:pPr>
        <w:pStyle w:val="Heading1"/>
        <w:pageBreakBefore/>
      </w:pPr>
      <w:bookmarkStart w:name="t67" w:id="1"/>
      <w:r>
        <w:t xml:space="preserve">21. Cambios de contrato dentro del mes</w:t>
      </w:r>
      <w:bookmarkEnd w:id="1"/>
    </w:p>
    <w:p>
      <w:pPr>
        <w:spacing w:after="120"/>
      </w:pPr>
      <w:r>
        <w:t xml:space="preserve">En Odoo 19 cada cambio del contrato (sueldo, cargo, horario) es una </w:t>
      </w:r>
      <w:r>
        <w:rPr>
          <w:b/>
          <w:bCs/>
        </w:rPr>
        <w:t xml:space="preserve">versión</w:t>
      </w:r>
      <w:r>
        <w:t xml:space="preserve"> del empleado con su </w:t>
      </w:r>
      <w:r>
        <w:rPr>
          <w:b/>
          <w:bCs/>
        </w:rPr>
        <w:t xml:space="preserve">fecha efectiva</w:t>
      </w:r>
      <w:r>
        <w:t xml:space="preserve">. La boleta del mes usa todas las versiones vigentes en el periodo: cada versión paga sus días (C-28, C-30) y los días y horas se cuentan una sola vez (C-33).</w:t>
      </w:r>
    </w:p>
    <w:p>
      <w:pPr>
        <w:pStyle w:val="Heading2"/>
      </w:pPr>
      <w:bookmarkStart w:name="t68" w:id="1"/>
      <w:r>
        <w:t xml:space="preserve">21.1 Aumento a mitad de mes</w:t>
      </w:r>
      <w:bookmarkEnd w:id="1"/>
    </w:p>
    <w:p>
      <w:pPr>
        <w:pStyle w:val="ListParagraph"/>
        <w:numPr>
          <w:ilvl w:val="0"/>
          <w:numId w:val="12"/>
        </w:numPr>
        <w:spacing w:after="80"/>
      </w:pPr>
      <w:r>
        <w:t xml:space="preserve">En la ficha del empleado, con la fecha del aumento, cree una versión nueva (botón de la fecha del contrato › </w:t>
      </w:r>
      <w:r>
        <w:rPr>
          <w:b/>
          <w:bCs/>
        </w:rPr>
        <w:t xml:space="preserve">+</w:t>
      </w:r>
      <w:r>
        <w:t xml:space="preserve">) o, desde el contrato, cambie el sueldo </w:t>
      </w:r>
      <w:r>
        <w:rPr>
          <w:b/>
          <w:bCs/>
        </w:rPr>
        <w:t xml:space="preserve">con fecha efectiva</w:t>
      </w:r>
      <w:r>
        <w:t xml:space="preserve"> el día del aumento.</w:t>
      </w:r>
    </w:p>
    <w:p>
      <w:pPr>
        <w:pStyle w:val="ListParagraph"/>
        <w:numPr>
          <w:ilvl w:val="0"/>
          <w:numId w:val="12"/>
        </w:numPr>
        <w:spacing w:after="80"/>
      </w:pPr>
      <w:r>
        <w:t xml:space="preserve">Calcule la boleta del mes normalmente. La pestaña de días trabajados trae una línea por versión.</w:t>
      </w:r>
    </w:p>
    <w:p>
      <w:pPr>
        <w:keepNext/>
        <w:spacing w:after="60" w:before="120"/>
        <w:jc w:val="center"/>
      </w:pPr>
      <w:r>
        <w:drawing>
          <wp:inline distT="0" distB="0" distL="0" distR="0">
            <wp:extent cx="5905500" cy="3324225"/>
            <wp:effectExtent t="0" r="0" b="0" l="0"/>
            <wp:docPr id="1" name="c21_03_versiones_del_contrato" descr="Contratos del caso AUMENTO agrupados por trabajador: el aumento a mitad de mes tiene dos versiones (2 000 desde el 01/09 y 3 000 desde el 15/10)." title="Contratos del caso AUMENTO agrupados por trabajador: el aumento a mitad de mes tiene dos versiones (2 000 desde el 01/09 y 3 000 desde el 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90. </w:t>
      </w:r>
      <w:r>
        <w:rPr>
          <w:i/>
          <w:iCs/>
          <w:color w:val="555555"/>
          <w:sz w:val="18"/>
          <w:szCs w:val="18"/>
        </w:rPr>
        <w:t xml:space="preserve">Contratos del caso AUMENTO agrupados por trabajador: el aumento a mitad de mes tiene dos versiones (2 000 desde el 01/09 y 3 000 desde el 15/10).</w:t>
      </w:r>
    </w:p>
    <w:p>
      <w:pPr>
        <w:keepNext/>
        <w:spacing w:after="60" w:before="120"/>
        <w:jc w:val="center"/>
      </w:pPr>
      <w:r>
        <w:drawing>
          <wp:inline distT="0" distB="0" distL="0" distR="0">
            <wp:extent cx="5905500" cy="5114925"/>
            <wp:effectExtent t="0" r="0" b="0" l="0"/>
            <wp:docPr id="1" name="c21_01_aumento_oct_dias" descr="Octubre de 2026 del trabajador con aumento: «Días laborados» 10 días / 80 h con la versión del 1 de setiembre y 12 días / 96 h con la del 15 de octubre. Total 22 días / 176 h." title="Octubre de 2026 del trabajador con aumento: «Días laborados» 10 días / 80 h con la versión del 1 de setiembre y 12 días / 96 h con la del 15 de octubre. Total 22 días / 176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91. </w:t>
      </w:r>
      <w:r>
        <w:rPr>
          <w:i/>
          <w:iCs/>
          <w:color w:val="555555"/>
          <w:sz w:val="18"/>
          <w:szCs w:val="18"/>
        </w:rPr>
        <w:t xml:space="preserve">Octubre de 2026 del trabajador con aumento: «Días laborados» 10 días / 80 h con la versión del 1 de setiembre y 12 días / 96 h con la del 15 de octubre. Total 22 días / 176 h.</w:t>
      </w:r>
    </w:p>
    <w:p>
      <w:pPr>
        <w:spacing w:after="120"/>
      </w:pPr>
      <w:r>
        <w:t xml:space="preserve">Cada sueldo paga los días calendario en que rigió, con divisor 30, y el último tramo completa los 30 días del mes comercial: 2 000 / 30 × 14 + 3 000 / 30 × 16 = </w:t>
      </w:r>
      <w:r>
        <w:rPr>
          <w:b/>
          <w:bCs/>
        </w:rPr>
        <w:t xml:space="preserve">2 533,33</w:t>
      </w:r>
      <w:r>
        <w:t xml:space="preserve">.</w:t>
      </w:r>
    </w:p>
    <w:p>
      <w:pPr>
        <w:keepNext/>
        <w:spacing w:after="60" w:before="120"/>
        <w:jc w:val="center"/>
      </w:pPr>
      <w:r>
        <w:drawing>
          <wp:inline distT="0" distB="0" distL="0" distR="0">
            <wp:extent cx="5905500" cy="7305675"/>
            <wp:effectExtent t="0" r="0" b="0" l="0"/>
            <wp:docPr id="1" name="c21_01_aumento_oct_calculo" descr="Cálculo: remuneración básica 2 533,33, ONP 329,33, EsSalud 228,00 y neto 2 204,00." title="Cálculo: remuneración básica 2 533,33, ONP 329,33, EsSalud 228,00 y neto 2 2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05500" cy="7305675"/>
                    </a:xfrm>
                    <a:prstGeom prst="rect">
                      <a:avLst/>
                    </a:prstGeom>
                  </pic:spPr>
                </pic:pic>
              </a:graphicData>
            </a:graphic>
          </wp:inline>
        </w:drawing>
      </w:r>
    </w:p>
    <w:p>
      <w:pPr>
        <w:spacing w:after="200"/>
        <w:jc w:val="center"/>
      </w:pPr>
      <w:r>
        <w:rPr>
          <w:b/>
          <w:bCs/>
          <w:color w:val="714B67"/>
          <w:sz w:val="18"/>
          <w:szCs w:val="18"/>
        </w:rPr>
        <w:t xml:space="preserve">Figura 92. </w:t>
      </w:r>
      <w:r>
        <w:rPr>
          <w:i/>
          <w:iCs/>
          <w:color w:val="555555"/>
          <w:sz w:val="18"/>
          <w:szCs w:val="18"/>
        </w:rPr>
        <w:t xml:space="preserve">Cálculo: remuneración básica 2 533,33, ONP 329,33, EsSalud 228,00 y neto 2 204,00.</w:t>
      </w:r>
    </w:p>
    <w:p>
      <w:pPr>
        <w:pStyle w:val="Heading2"/>
      </w:pPr>
      <w:bookmarkStart w:name="t69" w:id="1"/>
      <w:r>
        <w:t xml:space="preserve">21.2 Dos contratos en el mismo mes</w:t>
      </w:r>
      <w:bookmarkEnd w:id="1"/>
    </w:p>
    <w:p>
      <w:pPr>
        <w:spacing w:after="120"/>
      </w:pPr>
      <w:r>
        <w:t xml:space="preserve">Si un contrato termina y empieza otro en el mismo mes (renovación con otro sueldo), la boleta también suma los dos: 11 días / 88 h con el primero y 11 días / 88 h con el segundo. Remuneración </w:t>
      </w:r>
      <w:r>
        <w:rPr>
          <w:b/>
          <w:bCs/>
        </w:rPr>
        <w:t xml:space="preserve">2 500,00</w:t>
      </w:r>
      <w:r>
        <w:t xml:space="preserve">; ONP 325,00; EsSalud 225,00; neto 2 175,00.</w:t>
      </w:r>
    </w:p>
    <w:p>
      <w:pPr>
        <w:keepNext/>
        <w:spacing w:after="60" w:before="120"/>
        <w:jc w:val="center"/>
      </w:pPr>
      <w:r>
        <w:drawing>
          <wp:inline distT="0" distB="0" distL="0" distR="0">
            <wp:extent cx="5905500" cy="5114925"/>
            <wp:effectExtent t="0" r="0" b="0" l="0"/>
            <wp:docPr id="1" name="c21_02_dos_contratos_oct_dias" descr="Octubre de 2026 con dos contratos: una línea de días por contrato." title="Octubre de 2026 con dos contratos: una línea de días por contr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93. </w:t>
      </w:r>
      <w:r>
        <w:rPr>
          <w:i/>
          <w:iCs/>
          <w:color w:val="555555"/>
          <w:sz w:val="18"/>
          <w:szCs w:val="18"/>
        </w:rPr>
        <w:t xml:space="preserve">Octubre de 2026 con dos contratos: una línea de días por contrato.</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AUMENTO (66 celdas): los dos escenarios anteriores y una semana sin goce (capítulo 22). En el PLAME de octubre, el </w:t>
      </w:r>
      <w:r>
        <w:rPr>
          <w:rFonts w:ascii="Consolas" w:cs="Consolas" w:eastAsia="Consolas" w:hAnsi="Consolas"/>
          <w:color w:val="444444"/>
          <w:sz w:val="20"/>
          <w:szCs w:val="20"/>
        </w:rPr>
        <w:t xml:space="preserve">.jor</w:t>
      </w:r>
      <w:r>
        <w:t xml:space="preserve"> declara </w:t>
      </w:r>
      <w:r>
        <w:rPr>
          <w:b/>
          <w:bCs/>
        </w:rPr>
        <w:t xml:space="preserve">176 h</w:t>
      </w:r>
      <w:r>
        <w:t xml:space="preserve"> a cada uno (C-33); en el v1 se repetían días con dos versiones.</w:t>
      </w:r>
    </w:p>
    <w:p>
      <w:pPr>
        <w:pStyle w:val="Heading2"/>
      </w:pPr>
      <w:bookmarkStart w:name="t70" w:id="1"/>
      <w:r>
        <w:t xml:space="preserve">21.3 Boletas sin versión</w:t>
      </w:r>
      <w:bookmarkEnd w:id="1"/>
    </w:p>
    <w:p>
      <w:pPr>
        <w:spacing w:after="120"/>
      </w:pPr>
      <w:r>
        <w:t xml:space="preserve">Una boleta creada por importación o por código sin versión en la cabecera toma al calcular la versión vigente al final del periodo y calcula una sola vez (O-31). En el laboratorio, ninguna boleta queda sin versión: 0 de 137 medidas.</w:t>
      </w:r>
    </w:p>
    <w:p>
      <w:pPr>
        <w:pBdr>
          <w:top w:val="single" w:color="BFBFBF" w:sz="4" w:space="4"/>
        </w:pBdr>
        <w:spacing w:before="240"/>
      </w:pPr>
      <w:r>
        <w:rPr>
          <w:color w:val="777777"/>
          <w:sz w:val="16"/>
          <w:szCs w:val="16"/>
        </w:rPr>
        <w:t xml:space="preserve">Versiones mostradas: base 19.0.1.20.1 · ce 19.0.1.27.1 · ce_demo 19.0.2.25.1.</w:t>
      </w:r>
      <w:r>
        <w:rPr>
          <w:color w:val="777777"/>
          <w:sz w:val="16"/>
          <w:szCs w:val="16"/>
        </w:rPr>
        <w:t xml:space="preserve">  Ítems de la versión 2: C-28, C-30, C-33, O-31.</w:t>
      </w:r>
    </w:p>
    <w:p>
      <w:pPr>
        <w:pStyle w:val="Heading1"/>
        <w:pageBreakBefore/>
      </w:pPr>
      <w:bookmarkStart w:name="t71" w:id="1"/>
      <w:r>
        <w:t xml:space="preserve">22. Licencias sin goce, permisos por horas y meses sin remuneración</w:t>
      </w:r>
      <w:bookmarkEnd w:id="1"/>
    </w:p>
    <w:p>
      <w:pPr>
        <w:spacing w:after="120"/>
      </w:pPr>
      <w:r>
        <w:t xml:space="preserve">El tipo de ausencia </w:t>
      </w:r>
      <w:r>
        <w:rPr>
          <w:b/>
          <w:bCs/>
        </w:rPr>
        <w:t xml:space="preserve">Sin pagar</w:t>
      </w:r>
      <w:r>
        <w:t xml:space="preserve"> (código SINGOCE100, Tabla 21: 05) está marcado como «no pagado» en las estructuras mensual y semanal (C-31): sus días se descuentan de la remuneración y se declaran como suspensión. Ejemplos del escenario armado para este manual en la compañía de laboratorio con trabajadores sintéticos (dni 70009xxx), borrados después de medir, sueldo 2 500 y noviembre de 2026.</w:t>
      </w:r>
    </w:p>
    <w:p>
      <w:pPr>
        <w:keepNext/>
        <w:spacing w:after="60" w:before="120"/>
        <w:jc w:val="center"/>
      </w:pPr>
      <w:r>
        <w:drawing>
          <wp:inline distT="0" distB="0" distL="0" distR="0">
            <wp:extent cx="5905500" cy="3324225"/>
            <wp:effectExtent t="0" r="0" b="0" l="0"/>
            <wp:docPr id="1" name="c22_04_ausencias_sin_goce" descr="Las tres ausencias «Sin pagar» aprobadas: el 17/11 de 8:00 a 10:00 (2 horas), del 9 al 13/11 (40 horas) y todo noviembre (168 horas)." title="Las tres ausencias «Sin pagar» aprobadas: el 17/11 de 8:00 a 10:00 (2 horas), del 9 al 13/11 (40 horas) y todo noviembre (168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94. </w:t>
      </w:r>
      <w:r>
        <w:rPr>
          <w:i/>
          <w:iCs/>
          <w:color w:val="555555"/>
          <w:sz w:val="18"/>
          <w:szCs w:val="18"/>
        </w:rPr>
        <w:t xml:space="preserve">Las tres ausencias «Sin pagar» aprobadas: el 17/11 de 8:00 a 10:00 (2 horas), del 9 al 13/11 (40 horas) y todo noviembre (168 horas).</w:t>
      </w:r>
    </w:p>
    <w:p>
      <w:pPr>
        <w:pStyle w:val="Heading2"/>
      </w:pPr>
      <w:bookmarkStart w:name="t72" w:id="1"/>
      <w:r>
        <w:t xml:space="preserve">22.1 Una semana sin goce</w:t>
      </w:r>
      <w:bookmarkEnd w:id="1"/>
    </w:p>
    <w:p>
      <w:pPr>
        <w:keepNext/>
        <w:spacing w:after="60" w:before="120"/>
        <w:jc w:val="center"/>
      </w:pPr>
      <w:r>
        <w:drawing>
          <wp:inline distT="0" distB="0" distL="0" distR="0">
            <wp:extent cx="5905500" cy="5114925"/>
            <wp:effectExtent t="0" r="0" b="0" l="0"/>
            <wp:docPr id="1" name="c22_01_semana_sin_goce_dias" descr="Días trabajados: «Sin pagar» −5 días / −40 h, sin marcar en «¿Pagado?»." title="Días trabajados: «Sin pagar» −5 días / −40 h, sin marcar en «¿Pa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95. </w:t>
      </w:r>
      <w:r>
        <w:rPr>
          <w:i/>
          <w:iCs/>
          <w:color w:val="555555"/>
          <w:sz w:val="18"/>
          <w:szCs w:val="18"/>
        </w:rPr>
        <w:t xml:space="preserve">Días trabajados: «Sin pagar» −5 días / −40 h, sin marcar en «¿Pagado?».</w:t>
      </w:r>
    </w:p>
    <w:p>
      <w:pPr>
        <w:spacing w:after="120"/>
      </w:pPr>
      <w:r>
        <w:t xml:space="preserve">Remuneración = 2 500 / 30 × 25 = </w:t>
      </w:r>
      <w:r>
        <w:rPr>
          <w:b/>
          <w:bCs/>
        </w:rPr>
        <w:t xml:space="preserve">2 083,33</w:t>
      </w:r>
      <w:r>
        <w:t xml:space="preserve">. EsSalud </w:t>
      </w:r>
      <w:r>
        <w:rPr>
          <w:b/>
          <w:bCs/>
        </w:rPr>
        <w:t xml:space="preserve">187,50</w:t>
      </w:r>
      <w:r>
        <w:t xml:space="preserve"> (9 % de la remuneración: con remuneración en el mes, el piso de la RMV no cambia nada). En el PLAME, el </w:t>
      </w:r>
      <w:r>
        <w:rPr>
          <w:rFonts w:ascii="Consolas" w:cs="Consolas" w:eastAsia="Consolas" w:hAnsi="Consolas"/>
          <w:color w:val="444444"/>
          <w:sz w:val="20"/>
          <w:szCs w:val="20"/>
        </w:rPr>
        <w:t xml:space="preserve">.snl</w:t>
      </w:r>
      <w:r>
        <w:t xml:space="preserve"> declara </w:t>
      </w:r>
      <w:r>
        <w:rPr>
          <w:rFonts w:ascii="Consolas" w:cs="Consolas" w:eastAsia="Consolas" w:hAnsi="Consolas"/>
          <w:color w:val="444444"/>
          <w:sz w:val="20"/>
          <w:szCs w:val="20"/>
        </w:rPr>
        <w:t xml:space="preserve">05|5</w:t>
      </w:r>
      <w:r>
        <w:t xml:space="preserve">.</w:t>
      </w:r>
    </w:p>
    <w:p>
      <w:pPr>
        <w:pStyle w:val="Heading2"/>
      </w:pPr>
      <w:bookmarkStart w:name="t73" w:id="1"/>
      <w:r>
        <w:t xml:space="preserve">22.2 Permiso de dos horas</w:t>
      </w:r>
      <w:bookmarkEnd w:id="1"/>
    </w:p>
    <w:p>
      <w:pPr>
        <w:spacing w:after="120"/>
      </w:pPr>
      <w:r>
        <w:t xml:space="preserve">Un permiso por horas descuenta la </w:t>
      </w:r>
      <w:r>
        <w:rPr>
          <w:b/>
          <w:bCs/>
        </w:rPr>
        <w:t xml:space="preserve">fracción</w:t>
      </w:r>
      <w:r>
        <w:t xml:space="preserve"> del día: 2 horas = 0,25 día. Antes de C-31 descontaba un día entero.</w:t>
      </w:r>
    </w:p>
    <w:p>
      <w:pPr>
        <w:keepNext/>
        <w:spacing w:after="60" w:before="120"/>
        <w:jc w:val="center"/>
      </w:pPr>
      <w:r>
        <w:drawing>
          <wp:inline distT="0" distB="0" distL="0" distR="0">
            <wp:extent cx="5905500" cy="7391400"/>
            <wp:effectExtent t="0" r="0" b="0" l="0"/>
            <wp:docPr id="1" name="c22_02_permiso_2_horas_calculo" descr="Permiso de 2 horas: remuneración 2 479,17 (2 500 − 2 500 / 30 / 8 × 2), ONP 322,29, EsSalud 223,13 y neto 2 156,88." title="Permiso de 2 horas: remuneración 2 479,17 (2 500 − 2 500 / 30 / 8 × 2), ONP 322,29, EsSalud 223,13 y neto 2 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05500" cy="7391400"/>
                    </a:xfrm>
                    <a:prstGeom prst="rect">
                      <a:avLst/>
                    </a:prstGeom>
                  </pic:spPr>
                </pic:pic>
              </a:graphicData>
            </a:graphic>
          </wp:inline>
        </w:drawing>
      </w:r>
    </w:p>
    <w:p>
      <w:pPr>
        <w:spacing w:after="200"/>
        <w:jc w:val="center"/>
      </w:pPr>
      <w:r>
        <w:rPr>
          <w:b/>
          <w:bCs/>
          <w:color w:val="714B67"/>
          <w:sz w:val="18"/>
          <w:szCs w:val="18"/>
        </w:rPr>
        <w:t xml:space="preserve">Figura 96. </w:t>
      </w:r>
      <w:r>
        <w:rPr>
          <w:i/>
          <w:iCs/>
          <w:color w:val="555555"/>
          <w:sz w:val="18"/>
          <w:szCs w:val="18"/>
        </w:rPr>
        <w:t xml:space="preserve">Permiso de 2 horas: remuneración 2 479,17 (2 500 − 2 500 / 30 / 8 × 2), ONP 322,29, EsSalud 223,13 y neto 2 156,88.</w:t>
      </w:r>
    </w:p>
    <w:p>
      <w:pPr>
        <w:pBdr>
          <w:left w:val="single" w:color="2E86AB" w:sz="18" w:space="8"/>
        </w:pBdr>
        <w:shd w:fill="EAF4F8" w:color="auto" w:val="clear"/>
        <w:spacing w:after="160" w:before="120"/>
        <w:ind w:left="120" w:right="120"/>
      </w:pPr>
      <w:r>
        <w:rPr>
          <w:b/>
          <w:bCs/>
          <w:color w:val="2E86AB"/>
        </w:rPr>
        <w:t xml:space="preserve">Nota: </w:t>
      </w:r>
      <w:r>
        <w:t xml:space="preserve">Un permiso por horas no es un día entero de suspensión: no va al </w:t>
      </w:r>
      <w:r>
        <w:rPr>
          <w:rFonts w:ascii="Consolas" w:cs="Consolas" w:eastAsia="Consolas" w:hAnsi="Consolas"/>
          <w:color w:val="444444"/>
          <w:sz w:val="20"/>
          <w:szCs w:val="20"/>
        </w:rPr>
        <w:t xml:space="preserve">.snl</w:t>
      </w:r>
      <w:r>
        <w:t xml:space="preserve">.</w:t>
      </w:r>
    </w:p>
    <w:p>
      <w:pPr>
        <w:pStyle w:val="Heading2"/>
      </w:pPr>
      <w:bookmarkStart w:name="t74" w:id="1"/>
      <w:r>
        <w:t xml:space="preserve">22.3 Un mes entero sin remuneración</w:t>
      </w:r>
      <w:bookmarkEnd w:id="1"/>
    </w:p>
    <w:p>
      <w:pPr>
        <w:spacing w:after="120"/>
      </w:pPr>
      <w:r>
        <w:t xml:space="preserve">Si el trabajador no tiene remuneración en todo el mes, no corresponde aportar a EsSalud (C-32; SUNAT, Informe 003-2007-SUNAT/2B0000). La boleta queda </w:t>
      </w:r>
      <w:r>
        <w:rPr>
          <w:b/>
          <w:bCs/>
        </w:rPr>
        <w:t xml:space="preserve">sin importes</w:t>
      </w:r>
      <w:r>
        <w:t xml:space="preserve"> y no se valida (C-18). El PLAME declara al trabajador en el </w:t>
      </w:r>
      <w:r>
        <w:rPr>
          <w:rFonts w:ascii="Consolas" w:cs="Consolas" w:eastAsia="Consolas" w:hAnsi="Consolas"/>
          <w:color w:val="444444"/>
          <w:sz w:val="20"/>
          <w:szCs w:val="20"/>
        </w:rPr>
        <w:t xml:space="preserve">.jor</w:t>
      </w:r>
      <w:r>
        <w:t xml:space="preserve"> con 0 horas y en el </w:t>
      </w:r>
      <w:r>
        <w:rPr>
          <w:rFonts w:ascii="Consolas" w:cs="Consolas" w:eastAsia="Consolas" w:hAnsi="Consolas"/>
          <w:color w:val="444444"/>
          <w:sz w:val="20"/>
          <w:szCs w:val="20"/>
        </w:rPr>
        <w:t xml:space="preserve">.snl</w:t>
      </w:r>
      <w:r>
        <w:t xml:space="preserve"> con </w:t>
      </w:r>
      <w:r>
        <w:rPr>
          <w:rFonts w:ascii="Consolas" w:cs="Consolas" w:eastAsia="Consolas" w:hAnsi="Consolas"/>
          <w:color w:val="444444"/>
          <w:sz w:val="20"/>
          <w:szCs w:val="20"/>
        </w:rPr>
        <w:t xml:space="preserve">05|30</w:t>
      </w:r>
      <w:r>
        <w:t xml:space="preserve">.</w:t>
      </w:r>
    </w:p>
    <w:p>
      <w:pPr>
        <w:keepNext/>
        <w:spacing w:after="60" w:before="120"/>
        <w:jc w:val="center"/>
      </w:pPr>
      <w:r>
        <w:drawing>
          <wp:inline distT="0" distB="0" distL="0" distR="0">
            <wp:extent cx="5905500" cy="5114925"/>
            <wp:effectExtent t="0" r="0" b="0" l="0"/>
            <wp:docPr id="1" name="c22_03_mes_sin_goce_dias" descr="Noviembre entero sin goce: «Sin pagar» −21 días / −168 h; la boleta no tiene importes." title="Noviembre entero sin goce: «Sin pagar» −21 días / −168 h; la boleta no tiene im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97. </w:t>
      </w:r>
      <w:r>
        <w:rPr>
          <w:i/>
          <w:iCs/>
          <w:color w:val="555555"/>
          <w:sz w:val="18"/>
          <w:szCs w:val="18"/>
        </w:rPr>
        <w:t xml:space="preserve">Noviembre entero sin goce: «Sin pagar» −21 días / −168 h; la boleta no tiene importes.</w:t>
      </w:r>
    </w:p>
    <w:p>
      <w:pPr>
        <w:pBdr>
          <w:left w:val="single" w:color="E08A1E" w:sz="18" w:space="8"/>
        </w:pBdr>
        <w:shd w:fill="FDF2E6" w:color="auto" w:val="clear"/>
        <w:spacing w:after="160" w:before="120"/>
        <w:ind w:left="120" w:right="120"/>
      </w:pPr>
      <w:r>
        <w:rPr>
          <w:b/>
          <w:bCs/>
          <w:color w:val="E08A1E"/>
        </w:rPr>
        <w:t xml:space="preserve">Importante: </w:t>
      </w:r>
      <w:r>
        <w:t xml:space="preserve">Con días laborados en el mes, la base mínima de EsSalud sigue siendo la RMV (Informe 003-2007-SUNAT/2B0000, conclusión 1): un ingreso a fin de mes paga EsSalud sobre la RMV aunque su remuneración sea menor. Solo un mes </w:t>
      </w:r>
      <w:r>
        <w:rPr>
          <w:b/>
          <w:bCs/>
        </w:rPr>
        <w:t xml:space="preserve">sin ninguna</w:t>
      </w:r>
      <w:r>
        <w:t xml:space="preserve"> remuneración no aporta.</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AUMENTO: semana sin goce de 70000903 con </w:t>
      </w:r>
      <w:r>
        <w:rPr>
          <w:rFonts w:ascii="Consolas" w:cs="Consolas" w:eastAsia="Consolas" w:hAnsi="Consolas"/>
          <w:color w:val="444444"/>
          <w:sz w:val="20"/>
          <w:szCs w:val="20"/>
        </w:rPr>
        <w:t xml:space="preserve">.snl</w:t>
      </w:r>
      <w:r>
        <w:t xml:space="preserve"> </w:t>
      </w:r>
      <w:r>
        <w:rPr>
          <w:rFonts w:ascii="Consolas" w:cs="Consolas" w:eastAsia="Consolas" w:hAnsi="Consolas"/>
          <w:color w:val="444444"/>
          <w:sz w:val="20"/>
          <w:szCs w:val="20"/>
        </w:rPr>
        <w:t xml:space="preserve">05|5</w:t>
      </w:r>
      <w:r>
        <w:t xml:space="preserve"> y </w:t>
      </w:r>
      <w:r>
        <w:rPr>
          <w:rFonts w:ascii="Consolas" w:cs="Consolas" w:eastAsia="Consolas" w:hAnsi="Consolas"/>
          <w:color w:val="444444"/>
          <w:sz w:val="20"/>
          <w:szCs w:val="20"/>
        </w:rPr>
        <w:t xml:space="preserve">.jor</w:t>
      </w:r>
      <w:r>
        <w:t xml:space="preserve"> 126 h; la trabajadora con todo noviembre sin goce no tiene mensual (sin importes) y su </w:t>
      </w:r>
      <w:r>
        <w:rPr>
          <w:rFonts w:ascii="Consolas" w:cs="Consolas" w:eastAsia="Consolas" w:hAnsi="Consolas"/>
          <w:color w:val="444444"/>
          <w:sz w:val="20"/>
          <w:szCs w:val="20"/>
        </w:rPr>
        <w:t xml:space="preserve">.snl</w:t>
      </w:r>
      <w:r>
        <w:t xml:space="preserve"> declara </w:t>
      </w:r>
      <w:r>
        <w:rPr>
          <w:rFonts w:ascii="Consolas" w:cs="Consolas" w:eastAsia="Consolas" w:hAnsi="Consolas"/>
          <w:color w:val="444444"/>
          <w:sz w:val="20"/>
          <w:szCs w:val="20"/>
        </w:rPr>
        <w:t xml:space="preserve">05|30</w:t>
      </w:r>
      <w:r>
        <w:t xml:space="preserve">.</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C-09, C-31, C-32.</w:t>
      </w:r>
    </w:p>
    <w:p>
      <w:pPr>
        <w:pStyle w:val="Heading1"/>
        <w:pageBreakBefore/>
      </w:pPr>
      <w:bookmarkStart w:name="t75" w:id="1"/>
      <w:r>
        <w:t xml:space="preserve">23. Subsidios: descanso médico y maternidad</w:t>
      </w:r>
      <w:bookmarkEnd w:id="1"/>
    </w:p>
    <w:p>
      <w:pPr>
        <w:spacing w:after="120"/>
      </w:pPr>
      <w:r>
        <w:t xml:space="preserve">La versión 2 calcula los subsidios de EsSalud (N-01). El descanso se registra como </w:t>
      </w:r>
      <w:r>
        <w:rPr>
          <w:b/>
          <w:bCs/>
        </w:rPr>
        <w:t xml:space="preserve">ausencia</w:t>
      </w:r>
      <w:r>
        <w:t xml:space="preserve"> del tipo que corresponde y la boleta lo reparte por la </w:t>
      </w:r>
      <w:r>
        <w:rPr>
          <w:b/>
          <w:bCs/>
        </w:rPr>
        <w:t xml:space="preserve">Tabla 21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2700"/>
        <w:gridCol w:w="2238"/>
      </w:tblGrid>
      <w:tr>
        <w:trPr>
          <w:tblHeader/>
        </w:trPr>
        <w:tc>
          <w:tcPr>
            <w:tcW w:type="dxa" w:w="1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Código T21</w:t>
            </w:r>
          </w:p>
        </w:tc>
        <w:tc>
          <w:tcPr>
            <w:tcW w:type="dxa" w:w="34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es</w:t>
            </w:r>
          </w:p>
        </w:tc>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Tipo de ausencia</w:t>
            </w:r>
          </w:p>
        </w:tc>
        <w:tc>
          <w:tcPr>
            <w:tcW w:type="dxa" w:w="22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Quién paga</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Incapacidad temporal: los primeros 20 días del año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Tiempo personal por enfermedad</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empleador (remuneración)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Incapacidad temporal desde el día 21 (subsidio)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mismo; la boleta separa los días</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 de EsSalud: </w:t>
            </w:r>
            <w:r>
              <w:rPr>
                <w:rFonts w:ascii="Consolas" w:cs="Consolas" w:eastAsia="Consolas" w:hAnsi="Consolas"/>
                <w:color w:val="444444"/>
                <w:sz w:val="20"/>
                <w:szCs w:val="20"/>
              </w:rPr>
              <w:t xml:space="preserve">SUB_INC_001</w:t>
            </w:r>
            <w:r>
              <w:rPr>
                <w:sz w:val="19"/>
                <w:szCs w:val="19"/>
              </w:rPr>
              <w:t xml:space="preserve">, PLAME 0916</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Maternidad: pre y post natal</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Descanso por maternidad (pre y post natal)</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 de EsSalud: </w:t>
            </w:r>
            <w:r>
              <w:rPr>
                <w:rFonts w:ascii="Consolas" w:cs="Consolas" w:eastAsia="Consolas" w:hAnsi="Consolas"/>
                <w:color w:val="444444"/>
                <w:sz w:val="20"/>
                <w:szCs w:val="20"/>
              </w:rPr>
              <w:t xml:space="preserve">SUB_MAT_001</w:t>
            </w:r>
            <w:r>
              <w:rPr>
                <w:sz w:val="19"/>
                <w:szCs w:val="19"/>
              </w:rPr>
              <w:t xml:space="preserve">, PLAME 0915</w:t>
            </w:r>
          </w:p>
        </w:tc>
      </w:tr>
    </w:tbl>
    <w:p>
      <w:pPr>
        <w:spacing w:after="120"/>
      </w:pPr>
      <w:r>
        <w:t xml:space="preserve">El subsidio diario es el </w:t>
      </w:r>
      <w:r>
        <w:rPr>
          <w:b/>
          <w:bCs/>
        </w:rPr>
        <w:t xml:space="preserve">promedio de las remuneraciones de los 12 meses anteriores</w:t>
      </w:r>
      <w:r>
        <w:t xml:space="preserve"> / 30. Los 20 días por año se cuentan por año calendario con las ausencias anteriores. El subsidio no paga ONP ni EsSalud; con AFP paga aporte y prima (categoría «Ingreso afecto AFP»).</w:t>
      </w:r>
    </w:p>
    <w:p>
      <w:pPr>
        <w:keepNext/>
        <w:spacing w:after="60" w:before="120"/>
        <w:jc w:val="center"/>
      </w:pPr>
      <w:r>
        <w:drawing>
          <wp:inline distT="0" distB="0" distL="0" distR="0">
            <wp:extent cx="5905500" cy="5114925"/>
            <wp:effectExtent t="0" r="0" b="0" l="0"/>
            <wp:docPr id="1" name="c23_04_descanso_medico" descr="Descanso médico de noviembre de 2026 (caso SUBSIDIOS): 21 días hábiles, del 1 al 30 de noviembre." title="Descanso médico de noviembre de 2026 (caso SUBSIDIOS): 21 días hábiles, del 1 al 30 de nov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98. </w:t>
      </w:r>
      <w:r>
        <w:rPr>
          <w:i/>
          <w:iCs/>
          <w:color w:val="555555"/>
          <w:sz w:val="18"/>
          <w:szCs w:val="18"/>
        </w:rPr>
        <w:t xml:space="preserve">Descanso médico de noviembre de 2026 (caso SUBSIDIOS): 21 días hábiles, del 1 al 30 de noviembre.</w:t>
      </w:r>
    </w:p>
    <w:p>
      <w:pPr>
        <w:pStyle w:val="Heading2"/>
      </w:pPr>
      <w:bookmarkStart w:name="t76" w:id="1"/>
      <w:r>
        <w:t xml:space="preserve">23.1 Descanso médico de 30 días</w:t>
      </w:r>
      <w:bookmarkEnd w:id="1"/>
    </w:p>
    <w:p>
      <w:pPr>
        <w:keepNext/>
        <w:spacing w:after="60" w:before="120"/>
        <w:jc w:val="center"/>
      </w:pPr>
      <w:r>
        <w:drawing>
          <wp:inline distT="0" distB="0" distL="0" distR="0">
            <wp:extent cx="5905500" cy="7524750"/>
            <wp:effectExtent t="0" r="0" b="0" l="0"/>
            <wp:docPr id="1" name="c23_01_descanso_nov_calculo" descr="Caso SUBSIDIOS, noviembre: remuneración 2 000,00 por los 20 primeros días y subsidio por incapacidad 1 000,00 por los 10 siguientes (promedio diario 100,00); ONP 260,00 y EsSalud 180,00 sobre la remuneración; neto 2 740,00." title="Caso SUBSIDIOS, noviembre: remuneración 2 000,00 por los 20 primeros días y subsidio por incapacidad 1 000,00 por los 10 siguientes (promedio diario 100,00); ONP 260,00 y EsSalud 180,00 sobre la remuneración; neto 2 7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05500" cy="7524750"/>
                    </a:xfrm>
                    <a:prstGeom prst="rect">
                      <a:avLst/>
                    </a:prstGeom>
                  </pic:spPr>
                </pic:pic>
              </a:graphicData>
            </a:graphic>
          </wp:inline>
        </w:drawing>
      </w:r>
    </w:p>
    <w:p>
      <w:pPr>
        <w:spacing w:after="200"/>
        <w:jc w:val="center"/>
      </w:pPr>
      <w:r>
        <w:rPr>
          <w:b/>
          <w:bCs/>
          <w:color w:val="714B67"/>
          <w:sz w:val="18"/>
          <w:szCs w:val="18"/>
        </w:rPr>
        <w:t xml:space="preserve">Figura 99. </w:t>
      </w:r>
      <w:r>
        <w:rPr>
          <w:i/>
          <w:iCs/>
          <w:color w:val="555555"/>
          <w:sz w:val="18"/>
          <w:szCs w:val="18"/>
        </w:rPr>
        <w:t xml:space="preserve">Caso SUBSIDIOS, noviembre: remuneración 2 000,00 por los 20 primeros días y subsidio por incapacidad 1 000,00 por los 10 siguientes (promedio diario 100,00); ONP 260,00 y EsSalud 180,00 sobre la remuneración; neto 2 740,00.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1800"/>
        <w:gridCol w:w="2138"/>
      </w:tblGrid>
      <w:tr>
        <w:trPr>
          <w:tblHeader/>
        </w:trPr>
        <w:tc>
          <w:tcPr>
            <w:tcW w:type="dxa" w:w="27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Trabajador (caso SUBSIDIOS)</w:t>
            </w:r>
          </w:p>
        </w:tc>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Noviembre de 2026</w:t>
            </w:r>
          </w:p>
        </w:tc>
        <w:tc>
          <w:tcPr>
            <w:tcW w:type="dxa" w:w="1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Días T21</w:t>
            </w:r>
          </w:p>
        </w:tc>
        <w:tc>
          <w:tcPr>
            <w:tcW w:type="dxa" w:w="21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PLAME .rem</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70000801 · descanso de 30 días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 2 000,00 · subsidio 1 000,00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20|20 y 21|10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0121 2 000,00 · 0916 1 000,00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70000802 · 15 días en octubre y 30 en noviembre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 500,00 · subsidio 2 500,00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20|5 y 21|25</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0121 500,00 · 0916 2 500,00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70000803 · maternidad desde el 01/11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 0,00 · subsidio 3 000,00 (diciembre 3 100,00)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22|30 (diciembre 22|31)</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0915 3 000,00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70000804 · con AFP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 2 000,00 · subsidio 1 000,00; AFP 300,00 y prima 41,10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20|20 y 21|10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AFPnet: asegurable 3 000,00</w:t>
            </w:r>
          </w:p>
        </w:tc>
      </w:tr>
      <w:t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70000805 · sin derecho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RB 2 000,00, sin subsidio y con aviso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20|20 y 21|10</w:t>
            </w:r>
          </w:p>
        </w:tc>
        <w:tc>
          <w:tcPr>
            <w:tcW w:type="dxa" w:w="21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Solo 0121</w:t>
            </w:r>
          </w:p>
        </w:tc>
      </w:tr>
    </w:tbl>
    <w:p>
      <w:pPr>
        <w:keepNext/>
        <w:spacing w:after="60" w:before="120"/>
        <w:jc w:val="center"/>
      </w:pPr>
      <w:r>
        <w:drawing>
          <wp:inline distT="0" distB="0" distL="0" distR="0">
            <wp:extent cx="5905500" cy="7524750"/>
            <wp:effectExtent t="0" r="0" b="0" l="0"/>
            <wp:docPr id="1" name="c23_02_maternidad_nov_calculo" descr="Maternidad de noviembre: remuneración 0,00 y subsidio por maternidad 3 000,00, sin ONP ni EsSalud; neto 3 000,00." title="Maternidad de noviembre: remuneración 0,00 y subsidio por maternidad 3 000,00, sin ONP ni EsSalud; neto 3 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05500" cy="7524750"/>
                    </a:xfrm>
                    <a:prstGeom prst="rect">
                      <a:avLst/>
                    </a:prstGeom>
                  </pic:spPr>
                </pic:pic>
              </a:graphicData>
            </a:graphic>
          </wp:inline>
        </w:drawing>
      </w:r>
    </w:p>
    <w:p>
      <w:pPr>
        <w:spacing w:after="200"/>
        <w:jc w:val="center"/>
      </w:pPr>
      <w:r>
        <w:rPr>
          <w:b/>
          <w:bCs/>
          <w:color w:val="714B67"/>
          <w:sz w:val="18"/>
          <w:szCs w:val="18"/>
        </w:rPr>
        <w:t xml:space="preserve">Figura 100. </w:t>
      </w:r>
      <w:r>
        <w:rPr>
          <w:i/>
          <w:iCs/>
          <w:color w:val="555555"/>
          <w:sz w:val="18"/>
          <w:szCs w:val="18"/>
        </w:rPr>
        <w:t xml:space="preserve">Maternidad de noviembre: remuneración 0,00 y subsidio por maternidad 3 000,00, sin ONP ni EsSalud; neto 3 000,00.</w:t>
      </w:r>
    </w:p>
    <w:p>
      <w:pPr>
        <w:pStyle w:val="Heading2"/>
      </w:pPr>
      <w:bookmarkStart w:name="t77" w:id="1"/>
      <w:r>
        <w:t xml:space="preserve">23.2 Derecho al subsidio</w:t>
      </w:r>
      <w:bookmarkEnd w:id="1"/>
    </w:p>
    <w:p>
      <w:pPr>
        <w:spacing w:after="120"/>
      </w:pPr>
      <w:r>
        <w:t xml:space="preserve">El subsidio exige </w:t>
      </w:r>
      <w:r>
        <w:rPr>
          <w:b/>
          <w:bCs/>
        </w:rPr>
        <w:t xml:space="preserve">3 meses de aportes consecutivos o 4 no consecutivos</w:t>
      </w:r>
      <w:r>
        <w:t xml:space="preserve"> en los 6 meses calendario anteriores a la contingencia (en accidente basta la afiliación). La boleta lo comprueba con las boletas validadas. Lo que hace si falta lo decide la compañía con el control «Subsidio sin los aportes que dan derecho» (Avisar o Bloquear, capítulo 26).</w:t>
      </w:r>
    </w:p>
    <w:p>
      <w:pPr>
        <w:keepNext/>
        <w:spacing w:after="60" w:before="120"/>
        <w:jc w:val="center"/>
      </w:pPr>
      <w:r>
        <w:drawing>
          <wp:inline distT="0" distB="0" distL="0" distR="0">
            <wp:extent cx="5905500" cy="5114925"/>
            <wp:effectExtent t="0" r="0" b="0" l="0"/>
            <wp:docPr id="1" name="c23_03_sin_derecho_nov_dias" descr="Trabajador con un solo mes de aportes antes del descanso (caso SUBSIDIOS, 70000805): los días van como descanso, pero no se calcula subsidio." title="Trabajador con un solo mes de aportes antes del descanso (caso SUBSIDIOS, 70000805): los días van como descanso, pero no se calcula subsi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101. </w:t>
      </w:r>
      <w:r>
        <w:rPr>
          <w:i/>
          <w:iCs/>
          <w:color w:val="555555"/>
          <w:sz w:val="18"/>
          <w:szCs w:val="18"/>
        </w:rPr>
        <w:t xml:space="preserve">Trabajador con un solo mes de aportes antes del descanso (caso SUBSIDIOS, 70000805): los días van como descanso, pero no se calcula subsidio.</w:t>
      </w:r>
    </w:p>
    <w:p>
      <w:pPr>
        <w:pBdr>
          <w:left w:val="single" w:color="2E86AB" w:sz="18" w:space="8"/>
        </w:pBdr>
        <w:shd w:fill="EAF4F8" w:color="auto" w:val="clear"/>
        <w:spacing w:after="160" w:before="120"/>
        <w:ind w:left="120" w:right="120"/>
      </w:pPr>
      <w:r>
        <w:rPr>
          <w:b/>
          <w:bCs/>
          <w:color w:val="2E86AB"/>
        </w:rPr>
        <w:t xml:space="preserve">Nota: </w:t>
      </w:r>
      <w:r>
        <w:t xml:space="preserve">En las boletas del caso, la línea de días del descanso médico se llama «Sick Time Off» con el código GLOBAL: es el nombre de la entrada de trabajo de Odoo, sin traducir (observación O-65). El cálculo y el </w:t>
      </w:r>
      <w:r>
        <w:rPr>
          <w:rFonts w:ascii="Consolas" w:cs="Consolas" w:eastAsia="Consolas" w:hAnsi="Consolas"/>
          <w:color w:val="444444"/>
          <w:sz w:val="20"/>
          <w:szCs w:val="20"/>
        </w:rPr>
        <w:t xml:space="preserve">.snl</w:t>
      </w:r>
      <w:r>
        <w:t xml:space="preserve"> no se ven afectados.</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SUBSIDIOS (344 celdas, 29 boletas): días por tipo de la Tabla 21, conceptos, </w:t>
      </w:r>
      <w:r>
        <w:rPr>
          <w:rFonts w:ascii="Consolas" w:cs="Consolas" w:eastAsia="Consolas" w:hAnsi="Consolas"/>
          <w:color w:val="444444"/>
          <w:sz w:val="20"/>
          <w:szCs w:val="20"/>
        </w:rPr>
        <w:t xml:space="preserve">.snl</w:t>
      </w:r>
      <w:r>
        <w:t xml:space="preserve"> y </w:t>
      </w:r>
      <w:r>
        <w:rPr>
          <w:rFonts w:ascii="Consolas" w:cs="Consolas" w:eastAsia="Consolas" w:hAnsi="Consolas"/>
          <w:color w:val="444444"/>
          <w:sz w:val="20"/>
          <w:szCs w:val="20"/>
        </w:rPr>
        <w:t xml:space="preserve">.rem</w:t>
      </w:r>
      <w:r>
        <w:t xml:space="preserve"> de noviembre de 2026 y de enero y febrero de 2027, promedio diario 100,00 y avisos de derecho.</w:t>
      </w:r>
    </w:p>
    <w:p>
      <w:pPr>
        <w:pBdr>
          <w:left w:val="single" w:color="B23B3B" w:sz="18" w:space="8"/>
        </w:pBdr>
        <w:shd w:fill="F7EEEE" w:color="auto" w:val="clear"/>
        <w:spacing w:after="160" w:before="120"/>
        <w:ind w:left="120" w:right="120"/>
      </w:pPr>
      <w:r>
        <w:rPr>
          <w:b/>
          <w:bCs/>
          <w:color w:val="B23B3B"/>
        </w:rPr>
        <w:t xml:space="preserve">Límite: </w:t>
      </w:r>
      <w:r>
        <w:t xml:space="preserve">La vacacional no paga subsidios. La base de la prima de Vida Ley de un mes subsidiado está pendiente de confirmación (P-52).</w:t>
      </w:r>
    </w:p>
    <w:p>
      <w:pPr>
        <w:pBdr>
          <w:top w:val="single" w:color="BFBFBF" w:sz="4" w:space="4"/>
        </w:pBdr>
        <w:spacing w:before="240"/>
      </w:pPr>
      <w:r>
        <w:rPr>
          <w:color w:val="777777"/>
          <w:sz w:val="16"/>
          <w:szCs w:val="16"/>
        </w:rPr>
        <w:t xml:space="preserve">Versiones mostradas: base 19.0.1.20.1 · ce 19.0.1.27.1 · ce_demo 19.0.2.25.1.</w:t>
      </w:r>
      <w:r>
        <w:rPr>
          <w:color w:val="777777"/>
          <w:sz w:val="16"/>
          <w:szCs w:val="16"/>
        </w:rPr>
        <w:t xml:space="preserve">  Ítems de la versión 2: N-01, C-09.</w:t>
      </w:r>
    </w:p>
    <w:p>
      <w:pPr>
        <w:pStyle w:val="Heading1"/>
        <w:pageBreakBefore/>
      </w:pPr>
      <w:bookmarkStart w:name="t78" w:id="1"/>
      <w:r>
        <w:t xml:space="preserve">24. Microempresa</w:t>
      </w:r>
      <w:bookmarkEnd w:id="1"/>
    </w:p>
    <w:p>
      <w:pPr>
        <w:spacing w:after="120"/>
      </w:pPr>
      <w:r>
        <w:t xml:space="preserve">Un trabajador con régimen laboral </w:t>
      </w:r>
      <w:r>
        <w:rPr>
          <w:b/>
          <w:bCs/>
        </w:rPr>
        <w:t xml:space="preserve">MICROEMPRESA</w:t>
      </w:r>
      <w:r>
        <w:t xml:space="preserve"> (T33) en su contrato no recibe gratificación ni CTS y tiene 15 días de vacaciones (</w:t>
      </w:r>
      <w:r>
        <w:rPr>
          <w:rFonts w:ascii="Consolas" w:cs="Consolas" w:eastAsia="Consolas" w:hAnsi="Consolas"/>
          <w:color w:val="444444"/>
          <w:sz w:val="20"/>
          <w:szCs w:val="20"/>
        </w:rPr>
        <w:t xml:space="preserve">pe_regimen_factores</w:t>
      </w:r>
      <w:r>
        <w:t xml:space="preserve"> = 0,0 / 0 / 15). La compañía decide el régimen de salud y la asignación familiar (C-25), en </w:t>
      </w:r>
      <w:r>
        <w:rPr>
          <w:b/>
          <w:bCs/>
        </w:rPr>
        <w:t xml:space="preserve">Nómina PE - Controles</w:t>
      </w:r>
      <w:r>
        <w:t xml:space="preserve"> (capítulo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4538"/>
      </w:tblGrid>
      <w:tr>
        <w:trPr>
          <w:tblHeader/>
        </w:trPr>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Opción de la compañía</w:t>
            </w:r>
          </w:p>
        </w:tc>
        <w:tc>
          <w:tcPr>
            <w:tcW w:type="dxa" w:w="2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Por defecto</w:t>
            </w:r>
          </w:p>
        </w:tc>
        <w:tc>
          <w:tcPr>
            <w:tcW w:type="dxa" w:w="45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Efecto medido (caso MICRO, junio de 2026, sueldo 1 500)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Microempresa: régimen de salud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SIS</w:t>
            </w:r>
            <w:r>
              <w:rPr>
                <w:sz w:val="19"/>
                <w:szCs w:val="19"/>
              </w:rPr>
              <w:t xml:space="preserve"> (S/ 15 por trabajador)</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EsSalud y </w:t>
            </w:r>
            <w:r>
              <w:rPr>
                <w:rFonts w:ascii="Consolas" w:cs="Consolas" w:eastAsia="Consolas" w:hAnsi="Consolas"/>
                <w:color w:val="444444"/>
                <w:sz w:val="20"/>
                <w:szCs w:val="20"/>
              </w:rPr>
              <w:t xml:space="preserve">SIS_MICRO_001</w:t>
            </w:r>
            <w:r>
              <w:rPr>
                <w:sz w:val="19"/>
                <w:szCs w:val="19"/>
              </w:rPr>
              <w:t xml:space="preserve"> </w:t>
            </w:r>
            <w:r>
              <w:rPr>
                <w:b/>
                <w:bCs/>
                <w:sz w:val="19"/>
                <w:szCs w:val="19"/>
              </w:rPr>
              <w:t xml:space="preserve">15,00</w:t>
            </w:r>
            <w:r>
              <w:rPr>
                <w:sz w:val="19"/>
                <w:szCs w:val="19"/>
              </w:rPr>
              <w:t xml:space="preserve">. Con «EsSalud 9 %»: EsSalud </w:t>
            </w:r>
            <w:r>
              <w:rPr>
                <w:b/>
                <w:bCs/>
                <w:sz w:val="19"/>
                <w:szCs w:val="19"/>
              </w:rPr>
              <w:t xml:space="preserve">135,00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Microempresa: asignación familiar</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 pagar</w:t>
            </w:r>
          </w:p>
        </w:tc>
        <w:tc>
          <w:tcPr>
            <w:tcW w:type="dxa" w:w="4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 un hijo: ASF </w:t>
            </w:r>
            <w:r>
              <w:rPr>
                <w:b/>
                <w:bCs/>
                <w:sz w:val="19"/>
                <w:szCs w:val="19"/>
              </w:rPr>
              <w:t xml:space="preserve">0,00</w:t>
            </w:r>
            <w:r>
              <w:rPr>
                <w:sz w:val="19"/>
                <w:szCs w:val="19"/>
              </w:rPr>
              <w:t xml:space="preserve">. Con «Pagar»: </w:t>
            </w:r>
            <w:r>
              <w:rPr>
                <w:b/>
                <w:bCs/>
                <w:sz w:val="19"/>
                <w:szCs w:val="19"/>
              </w:rPr>
              <w:t xml:space="preserve">113,00</w:t>
            </w:r>
          </w:p>
        </w:tc>
      </w:tr>
    </w:tbl>
    <w:p>
      <w:pPr>
        <w:keepNext/>
        <w:spacing w:after="60" w:before="120"/>
        <w:jc w:val="center"/>
      </w:pPr>
      <w:r>
        <w:drawing>
          <wp:inline distT="0" distB="0" distL="0" distR="0">
            <wp:extent cx="5905500" cy="7305675"/>
            <wp:effectExtent t="0" r="0" b="0" l="0"/>
            <wp:docPr id="1" name="c24_01_micro_jun_calculo" descr="Trabajador de microempresa, junio de 2026: remuneración 1 500, ONP 195,00, SIS 15,00, SENATI 11,25, sin EsSalud; neto 1 305,00." title="Trabajador de microempresa, junio de 2026: remuneración 1 500, ONP 195,00, SIS 15,00, SENATI 11,25, sin EsSalud; neto 1 3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05500" cy="7305675"/>
                    </a:xfrm>
                    <a:prstGeom prst="rect">
                      <a:avLst/>
                    </a:prstGeom>
                  </pic:spPr>
                </pic:pic>
              </a:graphicData>
            </a:graphic>
          </wp:inline>
        </w:drawing>
      </w:r>
    </w:p>
    <w:p>
      <w:pPr>
        <w:spacing w:after="200"/>
        <w:jc w:val="center"/>
      </w:pPr>
      <w:r>
        <w:rPr>
          <w:b/>
          <w:bCs/>
          <w:color w:val="714B67"/>
          <w:sz w:val="18"/>
          <w:szCs w:val="18"/>
        </w:rPr>
        <w:t xml:space="preserve">Figura 102. </w:t>
      </w:r>
      <w:r>
        <w:rPr>
          <w:i/>
          <w:iCs/>
          <w:color w:val="555555"/>
          <w:sz w:val="18"/>
          <w:szCs w:val="18"/>
        </w:rPr>
        <w:t xml:space="preserve">Trabajador de microempresa, junio de 2026: remuneración 1 500, ONP 195,00, SIS 15,00, SENATI 11,25, sin EsSalud; neto 1 305,00.</w:t>
      </w:r>
    </w:p>
    <w:p>
      <w:pPr>
        <w:spacing w:after="120"/>
      </w:pPr>
      <w:r>
        <w:t xml:space="preserve">El SIS se paga en el Banco de la Nación: no va al </w:t>
      </w:r>
      <w:r>
        <w:rPr>
          <w:rFonts w:ascii="Consolas" w:cs="Consolas" w:eastAsia="Consolas" w:hAnsi="Consolas"/>
          <w:color w:val="444444"/>
          <w:sz w:val="20"/>
          <w:szCs w:val="20"/>
        </w:rPr>
        <w:t xml:space="preserve">.rem</w:t>
      </w:r>
      <w:r>
        <w:t xml:space="preserve"> del PLAME. En la planilla de sueldos sale en «Otros aportes». Si el trabajador tiene su propio </w:t>
      </w:r>
      <w:r>
        <w:rPr>
          <w:b/>
          <w:bCs/>
        </w:rPr>
        <w:t xml:space="preserve">régimen de salud</w:t>
      </w:r>
      <w:r>
        <w:t xml:space="preserve"> (T32) en la ficha, ese manda: 21 = SIS microempresa.</w:t>
      </w:r>
    </w:p>
    <w:p>
      <w:pPr>
        <w:keepNext/>
        <w:spacing w:after="60" w:before="120"/>
        <w:jc w:val="center"/>
      </w:pPr>
      <w:r>
        <w:drawing>
          <wp:inline distT="0" distB="0" distL="0" distR="0">
            <wp:extent cx="5905500" cy="5991225"/>
            <wp:effectExtent t="0" r="0" b="0" l="0"/>
            <wp:docPr id="1" name="c24_02_micro_liquidacion_calculo" descr="Liquidación del trabajador de microempresa: vacaciones truncas 687,50 (15 días por año), sin gratificación ni CTS truncas; ONP 89,38; neto 598,12." title="Liquidación del trabajador de microempresa: vacaciones truncas 687,50 (15 días por año), sin gratificación ni CTS truncas; ONP 89,38; neto 59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05500" cy="5991225"/>
                    </a:xfrm>
                    <a:prstGeom prst="rect">
                      <a:avLst/>
                    </a:prstGeom>
                  </pic:spPr>
                </pic:pic>
              </a:graphicData>
            </a:graphic>
          </wp:inline>
        </w:drawing>
      </w:r>
    </w:p>
    <w:p>
      <w:pPr>
        <w:spacing w:after="200"/>
        <w:jc w:val="center"/>
      </w:pPr>
      <w:r>
        <w:rPr>
          <w:b/>
          <w:bCs/>
          <w:color w:val="714B67"/>
          <w:sz w:val="18"/>
          <w:szCs w:val="18"/>
        </w:rPr>
        <w:t xml:space="preserve">Figura 103. </w:t>
      </w:r>
      <w:r>
        <w:rPr>
          <w:i/>
          <w:iCs/>
          <w:color w:val="555555"/>
          <w:sz w:val="18"/>
          <w:szCs w:val="18"/>
        </w:rPr>
        <w:t xml:space="preserve">Liquidación del trabajador de microempresa: vacaciones truncas 687,50 (15 días por año), sin gratificación ni CTS truncas; ONP 89,38; neto 598,12.</w:t>
      </w:r>
    </w:p>
    <w:p>
      <w:pPr>
        <w:pBdr>
          <w:left w:val="single" w:color="2E86AB" w:sz="18" w:space="8"/>
        </w:pBdr>
        <w:shd w:fill="EAF4F8" w:color="auto" w:val="clear"/>
        <w:spacing w:after="160" w:before="120"/>
        <w:ind w:left="120" w:right="120"/>
      </w:pPr>
      <w:r>
        <w:rPr>
          <w:b/>
          <w:bCs/>
          <w:color w:val="2E86AB"/>
        </w:rPr>
        <w:t xml:space="preserve">Nota: </w:t>
      </w:r>
      <w:r>
        <w:t xml:space="preserve">La CTS y la gratificación del trabajador de microempresa salen en 0,00 y no se validan: la localización avisa y ofrece eliminarlas (capítulo 10, C-18).</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MICRO (83 celdas): régimen, factores, SIS 15,00, asignación familiar 0,00 por defecto y 113,00 con «Pagar», EsSalud 135,00 con «EsSalud 9 %», liquidación y el aviso de la CTS sin importes.</w:t>
      </w:r>
    </w:p>
    <w:p>
      <w:pPr>
        <w:pBdr>
          <w:top w:val="single" w:color="BFBFBF" w:sz="4" w:space="4"/>
        </w:pBdr>
        <w:spacing w:before="240"/>
      </w:pPr>
      <w:r>
        <w:rPr>
          <w:color w:val="777777"/>
          <w:sz w:val="16"/>
          <w:szCs w:val="16"/>
        </w:rPr>
        <w:t xml:space="preserve">Versiones mostradas: ce 19.0.1.27.1 · ce_demo 19.0.2.25.1.</w:t>
      </w:r>
      <w:r>
        <w:rPr>
          <w:color w:val="777777"/>
          <w:sz w:val="16"/>
          <w:szCs w:val="16"/>
        </w:rPr>
        <w:t xml:space="preserve">  Ítems de la versión 2: C-25, C-18.</w:t>
      </w:r>
    </w:p>
    <w:p>
      <w:pPr>
        <w:pStyle w:val="Heading1"/>
        <w:pageBreakBefore/>
      </w:pPr>
      <w:bookmarkStart w:name="t79" w:id="1"/>
      <w:r>
        <w:t xml:space="preserve">25. Rectificar una boleta</w:t>
      </w:r>
      <w:bookmarkEnd w:id="1"/>
    </w:p>
    <w:p>
      <w:pPr>
        <w:spacing w:after="120"/>
      </w:pPr>
      <w:r>
        <w:t xml:space="preserve">Si una boleta validada tiene un error, no se edita: se </w:t>
      </w:r>
      <w:r>
        <w:rPr>
          <w:b/>
          <w:bCs/>
        </w:rPr>
        <w:t xml:space="preserve">rectifica</w:t>
      </w:r>
      <w:r>
        <w:t xml:space="preserve">. El botón </w:t>
      </w:r>
      <w:r>
        <w:rPr>
          <w:b/>
          <w:bCs/>
        </w:rPr>
        <w:t xml:space="preserve">Rectificar</w:t>
      </w:r>
      <w:r>
        <w:t xml:space="preserve"> crea una boleta rectificativa (nota de crédito) con las líneas de la original y la valida; después se calcula y se valida la boleta correcta. Desde la versión 2 la rectificativa </w:t>
      </w:r>
      <w:r>
        <w:rPr>
          <w:b/>
          <w:bCs/>
        </w:rPr>
        <w:t xml:space="preserve">resta</w:t>
      </w:r>
      <w:r>
        <w:t xml:space="preserve"> en todos los reportes (C-27): PLAME, AFPnet, pago a bancos, planilla y utilidades.</w:t>
      </w:r>
    </w:p>
    <w:p>
      <w:pPr>
        <w:spacing w:after="120"/>
      </w:pPr>
      <w:r>
        <w:t xml:space="preserve">Ejemplo del escenario armado para este manual en la compañía de laboratorio con trabajadores sintéticos (dni 70009xxx), borrados después de medir: la mensual de noviembre de 2026 se validó con sueldo 2 500 y el correcto era 2 700.</w:t>
      </w:r>
    </w:p>
    <w:p>
      <w:pPr>
        <w:pStyle w:val="ListParagraph"/>
        <w:numPr>
          <w:ilvl w:val="0"/>
          <w:numId w:val="13"/>
        </w:numPr>
        <w:spacing w:after="80"/>
      </w:pPr>
      <w:r>
        <w:t xml:space="preserve">Abra la boleta validada y pulse </w:t>
      </w:r>
      <w:r>
        <w:rPr>
          <w:b/>
          <w:bCs/>
        </w:rPr>
        <w:t xml:space="preserve">Rectificar</w:t>
      </w:r>
      <w:r>
        <w:t xml:space="preserve">.</w:t>
      </w:r>
    </w:p>
    <w:p>
      <w:pPr>
        <w:pStyle w:val="ListParagraph"/>
        <w:numPr>
          <w:ilvl w:val="0"/>
          <w:numId w:val="13"/>
        </w:numPr>
        <w:spacing w:after="80"/>
      </w:pPr>
      <w:r>
        <w:t xml:space="preserve">Se crea «Rectificación: Boleta de …», marcada </w:t>
      </w:r>
      <w:r>
        <w:rPr>
          <w:b/>
          <w:bCs/>
        </w:rPr>
        <w:t xml:space="preserve">Boleta rectificativa</w:t>
      </w:r>
      <w:r>
        <w:t xml:space="preserve"> y con el enlace a la </w:t>
      </w:r>
      <w:r>
        <w:rPr>
          <w:b/>
          <w:bCs/>
        </w:rPr>
        <w:t xml:space="preserve">Boleta rectificada</w:t>
      </w:r>
      <w:r>
        <w:t xml:space="preserve">. Queda validada con su asiento.</w:t>
      </w:r>
    </w:p>
    <w:p>
      <w:pPr>
        <w:pStyle w:val="ListParagraph"/>
        <w:numPr>
          <w:ilvl w:val="0"/>
          <w:numId w:val="13"/>
        </w:numPr>
        <w:spacing w:after="80"/>
      </w:pPr>
      <w:r>
        <w:t xml:space="preserve">Corrija el dato (aquí, el sueldo del contrato) y cree, calcule y valide la boleta nueva del mismo periodo.</w:t>
      </w:r>
    </w:p>
    <w:p>
      <w:pPr>
        <w:keepNext/>
        <w:spacing w:after="60" w:before="120"/>
        <w:jc w:val="center"/>
      </w:pPr>
      <w:r>
        <w:drawing>
          <wp:inline distT="0" distB="0" distL="0" distR="0">
            <wp:extent cx="5905500" cy="5114925"/>
            <wp:effectExtent t="0" r="0" b="0" l="0"/>
            <wp:docPr id="1" name="c25_01_original_rectificar" descr="Boleta original de noviembre (2 500): botón «Rectificar»." title="Boleta original de noviembre (2 500): botón «Rect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104. </w:t>
      </w:r>
      <w:r>
        <w:rPr>
          <w:i/>
          <w:iCs/>
          <w:color w:val="555555"/>
          <w:sz w:val="18"/>
          <w:szCs w:val="18"/>
        </w:rPr>
        <w:t xml:space="preserve">Boleta original de noviembre (2 500): botón «Rectificar».</w:t>
      </w:r>
    </w:p>
    <w:p>
      <w:pPr>
        <w:keepNext/>
        <w:spacing w:after="60" w:before="120"/>
        <w:jc w:val="center"/>
      </w:pPr>
      <w:r>
        <w:drawing>
          <wp:inline distT="0" distB="0" distL="0" distR="0">
            <wp:extent cx="5905500" cy="6867525"/>
            <wp:effectExtent t="0" r="0" b="0" l="0"/>
            <wp:docPr id="1" name="c25_02_rectificativa_calculo" descr="Rectificativa: las mismas líneas de la original (remuneración 2 500,00, ONP 325,00, neto 2 175,00), marcada como boleta rectificativa." title="Rectificativa: las mismas líneas de la original (remuneración 2 500,00, ONP 325,00, neto 2 175,00), marcada como boleta rectifi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05500" cy="6867525"/>
                    </a:xfrm>
                    <a:prstGeom prst="rect">
                      <a:avLst/>
                    </a:prstGeom>
                  </pic:spPr>
                </pic:pic>
              </a:graphicData>
            </a:graphic>
          </wp:inline>
        </w:drawing>
      </w:r>
    </w:p>
    <w:p>
      <w:pPr>
        <w:spacing w:after="200"/>
        <w:jc w:val="center"/>
      </w:pPr>
      <w:r>
        <w:rPr>
          <w:b/>
          <w:bCs/>
          <w:color w:val="714B67"/>
          <w:sz w:val="18"/>
          <w:szCs w:val="18"/>
        </w:rPr>
        <w:t xml:space="preserve">Figura 105. </w:t>
      </w:r>
      <w:r>
        <w:rPr>
          <w:i/>
          <w:iCs/>
          <w:color w:val="555555"/>
          <w:sz w:val="18"/>
          <w:szCs w:val="18"/>
        </w:rPr>
        <w:t xml:space="preserve">Rectificativa: las mismas líneas de la original (remuneración 2 500,00, ONP 325,00, neto 2 175,00), marcada como boleta rectificativa.</w:t>
      </w:r>
    </w:p>
    <w:p>
      <w:pPr>
        <w:keepNext/>
        <w:spacing w:after="60" w:before="120"/>
        <w:jc w:val="center"/>
      </w:pPr>
      <w:r>
        <w:drawing>
          <wp:inline distT="0" distB="0" distL="0" distR="0">
            <wp:extent cx="5905500" cy="3324225"/>
            <wp:effectExtent t="0" r="0" b="0" l="0"/>
            <wp:docPr id="1" name="c25_04_lista_boletas_rectificada" descr="Las tres boletas del trabajador en noviembre: la original, la rectificativa y la nueva." title="Las tres boletas del trabajador en noviembre: la original, la rectificativa y la nu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106. </w:t>
      </w:r>
      <w:r>
        <w:rPr>
          <w:i/>
          <w:iCs/>
          <w:color w:val="555555"/>
          <w:sz w:val="18"/>
          <w:szCs w:val="18"/>
        </w:rPr>
        <w:t xml:space="preserve">Las tres boletas del trabajador en noviembre: la original, la rectificativa y la nueva.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Reporte de noviembre de 2026</w:t>
            </w:r>
          </w:p>
        </w:tc>
        <w:tc>
          <w:tcPr>
            <w:tcW w:type="dxa" w:w="6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Resultado medido</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w:t>
            </w:r>
            <w:r>
              <w:rPr>
                <w:rFonts w:ascii="Consolas" w:cs="Consolas" w:eastAsia="Consolas" w:hAnsi="Consolas"/>
                <w:color w:val="444444"/>
                <w:sz w:val="20"/>
                <w:szCs w:val="20"/>
              </w:rPr>
              <w:t xml:space="preserve">.rem</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Una sola línea: </w:t>
            </w:r>
            <w:r>
              <w:rPr>
                <w:rFonts w:ascii="Consolas" w:cs="Consolas" w:eastAsia="Consolas" w:hAnsi="Consolas"/>
                <w:color w:val="444444"/>
                <w:sz w:val="20"/>
                <w:szCs w:val="20"/>
              </w:rPr>
              <w:t xml:space="preserve">01|70009104|0121|2700.00|2700.00|</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PLAME </w:t>
            </w:r>
            <w:r>
              <w:rPr>
                <w:rFonts w:ascii="Consolas" w:cs="Consolas" w:eastAsia="Consolas" w:hAnsi="Consolas"/>
                <w:color w:val="444444"/>
                <w:sz w:val="20"/>
                <w:szCs w:val="20"/>
              </w:rPr>
              <w:t xml:space="preserve">.jor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01|70009104|168|0|0|0|</w:t>
            </w:r>
            <w:r>
              <w:rPr>
                <w:sz w:val="19"/>
                <w:szCs w:val="19"/>
              </w:rPr>
              <w:t xml:space="preserve"> (una vez)</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Planilla de sueldos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Remuneración 2 700,00; ONP 351,00; neto 2 349,00</w:t>
            </w:r>
          </w:p>
        </w:tc>
      </w:tr>
    </w:tbl>
    <w:p>
      <w:pPr>
        <w:pBdr>
          <w:left w:val="single" w:color="E08A1E" w:sz="18" w:space="8"/>
        </w:pBdr>
        <w:shd w:fill="FDF2E6" w:color="auto" w:val="clear"/>
        <w:spacing w:after="160" w:before="120"/>
        <w:ind w:left="120" w:right="120"/>
      </w:pPr>
      <w:r>
        <w:rPr>
          <w:b/>
          <w:bCs/>
          <w:color w:val="E08A1E"/>
        </w:rPr>
        <w:t xml:space="preserve">Importante: </w:t>
      </w:r>
      <w:r>
        <w:t xml:space="preserve">Los controles de la compañía (capítulo 26) no bloquean una rectificativa. Rectificar una boleta del ejercicio cambia los acumulados de la renta de 5.ª: revise la 5.ª de los meses siguientes.</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C-27.</w:t>
      </w:r>
    </w:p>
    <w:p>
      <w:pPr>
        <w:pStyle w:val="Heading1"/>
        <w:pageBreakBefore/>
      </w:pPr>
      <w:bookmarkStart w:name="t80" w:id="1"/>
      <w:r>
        <w:t xml:space="preserve">26. Avisos y controles</w:t>
      </w:r>
      <w:bookmarkEnd w:id="1"/>
    </w:p>
    <w:p>
      <w:pPr>
        <w:spacing w:after="120"/>
      </w:pPr>
      <w:r>
        <w:t xml:space="preserve">La versión 2 avisa antes de que un error llegue a la boleta, al PLAME o a la contabilidad. Hay dos clases:</w:t>
      </w:r>
    </w:p>
    <w:p>
      <w:pPr>
        <w:pStyle w:val="ListParagraph"/>
        <w:numPr>
          <w:ilvl w:val="0"/>
          <w:numId w:val="2"/>
        </w:numPr>
        <w:spacing w:after="60"/>
      </w:pPr>
      <w:r>
        <w:rPr>
          <w:b/>
          <w:bCs/>
        </w:rPr>
        <w:t xml:space="preserve">Bandas</w:t>
      </w:r>
      <w:r>
        <w:t xml:space="preserve"> (siempre activas): avisos amarillos en las listas de boletas y lotes y en el formulario de la boleta y del lote en borrador.</w:t>
      </w:r>
    </w:p>
    <w:p>
      <w:pPr>
        <w:pStyle w:val="ListParagraph"/>
        <w:numPr>
          <w:ilvl w:val="0"/>
          <w:numId w:val="2"/>
        </w:numPr>
        <w:spacing w:after="60"/>
      </w:pPr>
      <w:r>
        <w:rPr>
          <w:b/>
          <w:bCs/>
        </w:rPr>
        <w:t xml:space="preserve">Controles al validar</w:t>
      </w:r>
      <w:r>
        <w:t xml:space="preserve">, configurables por compañía en </w:t>
      </w:r>
      <w:r>
        <w:rPr>
          <w:b/>
          <w:bCs/>
        </w:rPr>
        <w:t xml:space="preserve">Ajustes de la compañía › Nómina PE - Controles</w:t>
      </w:r>
      <w:r>
        <w:t xml:space="preserve">: «Avisar» (banda y nota en el historial al validar), «Bloquear la validación» o «No controlar».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1800"/>
        <w:gridCol w:w="1938"/>
      </w:tblGrid>
      <w:tr>
        <w:trPr>
          <w:tblHeader/>
        </w:trPr>
        <w:tc>
          <w:tcPr>
            <w:tcW w:type="dxa" w:w="29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Aviso o control</w:t>
            </w:r>
          </w:p>
        </w:tc>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Cuándo aparece</w:t>
            </w:r>
          </w:p>
        </w:tc>
        <w:tc>
          <w:tcPr>
            <w:tcW w:type="dxa" w:w="18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Dónde</w:t>
            </w:r>
          </w:p>
        </w:tc>
        <w:tc>
          <w:tcPr>
            <w:tcW w:type="dxa" w:w="19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Ítem / capítulo</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RMA de AFP desactualizada o faltante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RMA vigente a la fecha tiene más de 95 días o no existe</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Banda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V-03 · 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UIT del año faltante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 UIT vigente es de un año anterior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Banda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V-03 · 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Feriados del año faltantes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Ningún feriado registrado en el año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Banda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V-05 · 18</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Vigencia faltante de un parámetro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 calcular, una regla pide un parámetro sin vigencia a la fecha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Mensaje al calcular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V-02 · 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contrato vigente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El periodo de la boleta no tiene contrato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Banda y advertencia</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Trabajador sin sistema pensionario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ONP ni AFP y sin «No aporta pensión»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Control (Avisar)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V-04</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Gratificación y vacaciones de diciembre antes que la mensual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 diciembre, con la GRAT o la VAC del mes en borrador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Control (Avisar)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V-04 · 11</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Subsidio sin los aportes que dan derecho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Menos de 3 meses consecutivos o 4 no consecutivos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Control (Avisar)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N-01 · 23</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Boletas del año antes que la liquidación del cese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Boletas del año en borrador al liquidar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Control (Avisar)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N-04 · 16</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Trabajador sin póliza Vida Ley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póliza vigente de su compañía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Control (No controlar por defecto)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N-05 · 6</w:t>
            </w:r>
          </w:p>
        </w:tc>
      </w:tr>
      <w:t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sin importes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Todas las líneas en 0,00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Mensaje al validar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C-18 · 10</w:t>
            </w:r>
          </w:p>
        </w:tc>
      </w:tr>
    </w:tbl>
    <w:p>
      <w:pPr>
        <w:keepNext/>
        <w:spacing w:after="60" w:before="120"/>
        <w:jc w:val="center"/>
      </w:pPr>
      <w:r>
        <w:drawing>
          <wp:inline distT="0" distB="0" distL="0" distR="0">
            <wp:extent cx="5905500" cy="3324225"/>
            <wp:effectExtent t="0" r="0" b="0" l="0"/>
            <wp:docPr id="1" name="c09_04_compania_controles" descr="Nómina PE - Controles: cada control con su opción. FM SYSTEMS tiene todos en «Avisar», salvo Vida Ley en «No controlar»." title="Nómina PE - Controles: cada control con su opción. FM SYSTEMS tiene todos en «Avisar», salvo Vida Ley en «No contr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107. </w:t>
      </w:r>
      <w:r>
        <w:rPr>
          <w:i/>
          <w:iCs/>
          <w:color w:val="555555"/>
          <w:sz w:val="18"/>
          <w:szCs w:val="18"/>
        </w:rPr>
        <w:t xml:space="preserve">Nómina PE - Controles: cada control con su opción. FM SYSTEMS tiene todos en «Avisar», salvo Vida Ley en «No controlar».</w:t>
      </w:r>
    </w:p>
    <w:p>
      <w:pPr>
        <w:pStyle w:val="Heading2"/>
      </w:pPr>
      <w:bookmarkStart w:name="t81" w:id="1"/>
      <w:r>
        <w:t xml:space="preserve">26.1 Ejemplos medidos</w:t>
      </w:r>
      <w:bookmarkEnd w:id="1"/>
    </w:p>
    <w:p>
      <w:pPr>
        <w:keepNext/>
        <w:spacing w:after="60" w:before="120"/>
        <w:jc w:val="center"/>
      </w:pPr>
      <w:r>
        <w:drawing>
          <wp:inline distT="0" distB="0" distL="0" distR="0">
            <wp:extent cx="5905500" cy="2533650"/>
            <wp:effectExtent t="0" r="0" b="0" l="0"/>
            <wp:docPr id="1" name="c26_04_sin_contrato_vigente" descr="Boleta de octubre de un trabajador que ingresa el 25 de noviembre: «Sin contrato vigente en el periodo… la boleta no tendrá contrato, estructura ni días trabajados»." title="Boleta de octubre de un trabajador que ingresa el 25 de noviembre: «Sin contrato vigente en el periodo… la boleta no tendrá contrato, estructura ni días trabaj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05500" cy="2533650"/>
                    </a:xfrm>
                    <a:prstGeom prst="rect">
                      <a:avLst/>
                    </a:prstGeom>
                  </pic:spPr>
                </pic:pic>
              </a:graphicData>
            </a:graphic>
          </wp:inline>
        </w:drawing>
      </w:r>
    </w:p>
    <w:p>
      <w:pPr>
        <w:spacing w:after="200"/>
        <w:jc w:val="center"/>
      </w:pPr>
      <w:r>
        <w:rPr>
          <w:b/>
          <w:bCs/>
          <w:color w:val="714B67"/>
          <w:sz w:val="18"/>
          <w:szCs w:val="18"/>
        </w:rPr>
        <w:t xml:space="preserve">Figura 108. </w:t>
      </w:r>
      <w:r>
        <w:rPr>
          <w:i/>
          <w:iCs/>
          <w:color w:val="555555"/>
          <w:sz w:val="18"/>
          <w:szCs w:val="18"/>
        </w:rPr>
        <w:t xml:space="preserve">Boleta de octubre de un trabajador que ingresa el 25 de noviembre: «Sin contrato vigente en el periodo… la boleta no tendrá contrato, estructura ni días trabajados».</w:t>
      </w:r>
    </w:p>
    <w:p>
      <w:pPr>
        <w:keepNext/>
        <w:spacing w:after="60" w:before="120"/>
        <w:jc w:val="center"/>
      </w:pPr>
      <w:r>
        <w:drawing>
          <wp:inline distT="0" distB="0" distL="0" distR="0">
            <wp:extent cx="5905500" cy="5114925"/>
            <wp:effectExtent t="0" r="0" b="0" l="0"/>
            <wp:docPr id="1" name="c26_02_sin_sistema_pensionario" descr="Boleta nueva de un trabajador sin ONP ni AFP (escenario del manual): «… no tiene sistema pensionario (ONP o AFP): la boleta no calculará aportes de pensión. Regístrelo en su ficha … o marque «No aporta pensión» si corresponde»." title="Boleta nueva de un trabajador sin ONP ni AFP (escenario del manual): «… no tiene sistema pensionario (ONP o AFP): la boleta no calculará aportes de pensión. Regístrelo en su ficha … o marque «No aporta pensión» si correspo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109. </w:t>
      </w:r>
      <w:r>
        <w:rPr>
          <w:i/>
          <w:iCs/>
          <w:color w:val="555555"/>
          <w:sz w:val="18"/>
          <w:szCs w:val="18"/>
        </w:rPr>
        <w:t xml:space="preserve">Boleta nueva de un trabajador sin ONP ni AFP (escenario del manual): «… no tiene sistema pensionario (ONP o AFP): la boleta no calculará aportes de pensión. Regístrelo en su ficha … o marque «No aporta pensión» si corresponde».</w:t>
      </w:r>
    </w:p>
    <w:p>
      <w:pPr>
        <w:keepNext/>
        <w:spacing w:after="60" w:before="120"/>
        <w:jc w:val="center"/>
      </w:pPr>
      <w:r>
        <w:drawing>
          <wp:inline distT="0" distB="0" distL="0" distR="0">
            <wp:extent cx="5905500" cy="5114925"/>
            <wp:effectExtent t="0" r="0" b="0" l="0"/>
            <wp:docPr id="1" name="c26_01_diciembre_grati_borrador_dias" descr="Mensual de diciembre con la gratificación del mes en borrador (escenario del manual): «… está en borrador: valídela ANTES que esta boleta. En diciembre la renta de 5.ª ya no se corrige en otro mes»." title="Mensual de diciembre con la gratificación del mes en borrador (escenario del manual): «… está en borrador: valídela ANTES que esta boleta. En diciembre la renta de 5.ª ya no se corrige en otro 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110. </w:t>
      </w:r>
      <w:r>
        <w:rPr>
          <w:i/>
          <w:iCs/>
          <w:color w:val="555555"/>
          <w:sz w:val="18"/>
          <w:szCs w:val="18"/>
        </w:rPr>
        <w:t xml:space="preserve">Mensual de diciembre con la gratificación del mes en borrador (escenario del manual): «… está en borrador: valídela ANTES que esta boleta. En diciembre la renta de 5.ª ya no se corrige en otro mes».</w:t>
      </w:r>
    </w:p>
    <w:p>
      <w:pPr>
        <w:pStyle w:val="Heading3"/>
      </w:pPr>
      <w:r>
        <w:t xml:space="preserve">Vigencia faltante (V-02)</w:t>
      </w:r>
    </w:p>
    <w:p>
      <w:pPr>
        <w:spacing w:after="120"/>
      </w:pPr>
      <w:r>
        <w:t xml:space="preserve">Si una regla pide un parámetro sin vigencia a la fecha de la boleta, el cálculo se detiene con un mensaje funcional. Medido con una boleta de diciembre de 2024 (antes de la primera vigencia):</w:t>
      </w:r>
    </w:p>
    <w:p>
      <w:pPr>
        <w:spacing w:after="120"/>
      </w:pPr>
      <w:r>
        <w:t xml:space="preserve">«Falta registrar «ONP - Tasa de aporte (D.L. 19990)» (pe_onp_tasa) vigente al 31/12/2024 (la primera vigencia registrada es desde el 01/01/2025). Regístrelo en Nómina › Nómina PE › Parámetros de Nómina PE. Boleta: …, regla ONP - Sistema Nacional de Pensiones (ONP_001).»</w:t>
      </w:r>
    </w:p>
    <w:p>
      <w:pPr>
        <w:keepNext/>
        <w:spacing w:after="60" w:before="120"/>
        <w:jc w:val="center"/>
      </w:pPr>
      <w:r>
        <w:drawing>
          <wp:inline distT="0" distB="0" distL="0" distR="0">
            <wp:extent cx="5905500" cy="3324225"/>
            <wp:effectExtent t="0" r="0" b="0" l="0"/>
            <wp:docPr id="1" name="c26_03_vigencia_faltante" descr="En el navegador, el mismo error se muestra como «¡Vaya! Ocurrió un error…»: el mensaje funcional queda al final de «Ver detalles técnicos» (hallazgo O-64)." title="En el navegador, el mismo error se muestra como «¡Vaya! Ocurrió un error…»: el mensaje funcional queda al final de «Ver detalles técnicos» (hallazgo O-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111. </w:t>
      </w:r>
      <w:r>
        <w:rPr>
          <w:i/>
          <w:iCs/>
          <w:color w:val="555555"/>
          <w:sz w:val="18"/>
          <w:szCs w:val="18"/>
        </w:rPr>
        <w:t xml:space="preserve">En el navegador, el mismo error se muestra como «¡Vaya! Ocurrió un error…»: el mensaje funcional queda al final de «Ver detalles técnicos» (hallazgo O-64).</w:t>
      </w:r>
    </w:p>
    <w:p>
      <w:pPr>
        <w:pBdr>
          <w:left w:val="single" w:color="E08A1E" w:sz="18" w:space="8"/>
        </w:pBdr>
        <w:shd w:fill="FDF2E6" w:color="auto" w:val="clear"/>
        <w:spacing w:after="160" w:before="120"/>
        <w:ind w:left="120" w:right="120"/>
      </w:pPr>
      <w:r>
        <w:rPr>
          <w:b/>
          <w:bCs/>
          <w:color w:val="E08A1E"/>
        </w:rPr>
        <w:t xml:space="preserve">Importante: </w:t>
      </w:r>
      <w:r>
        <w:t xml:space="preserve">Medido el 22/10/2026: por RPC el mensaje es el funcional, pero el cliente web no lo muestra como advertencia. La excepción </w:t>
      </w:r>
      <w:r>
        <w:rPr>
          <w:rFonts w:ascii="Consolas" w:cs="Consolas" w:eastAsia="Consolas" w:hAnsi="Consolas"/>
          <w:color w:val="444444"/>
          <w:sz w:val="20"/>
          <w:szCs w:val="20"/>
        </w:rPr>
        <w:t xml:space="preserve">VigenciaFaltante</w:t>
      </w:r>
      <w:r>
        <w:t xml:space="preserve"> hereda de </w:t>
      </w:r>
      <w:r>
        <w:rPr>
          <w:rFonts w:ascii="Consolas" w:cs="Consolas" w:eastAsia="Consolas" w:hAnsi="Consolas"/>
          <w:color w:val="444444"/>
          <w:sz w:val="20"/>
          <w:szCs w:val="20"/>
        </w:rPr>
        <w:t xml:space="preserve">UserError</w:t>
      </w:r>
      <w:r>
        <w:t xml:space="preserve">, aunque el navegador la trata como un error de servidor y la muestra en el diálogo genérico. Mientras no se corrija (O-64, archivo de hallazgos), abra «Ver detalles técnicos» y lea la última línea: ahí está el parámetro que falta y la fecha.</w:t>
      </w:r>
    </w:p>
    <w:p>
      <w:pPr>
        <w:pBdr>
          <w:top w:val="single" w:color="BFBFBF" w:sz="4" w:space="4"/>
        </w:pBdr>
        <w:spacing w:before="240"/>
      </w:pPr>
      <w:r>
        <w:rPr>
          <w:color w:val="777777"/>
          <w:sz w:val="16"/>
          <w:szCs w:val="16"/>
        </w:rPr>
        <w:t xml:space="preserve">Versiones mostradas: base 19.0.1.20.1 · ce 19.0.1.27.1.</w:t>
      </w:r>
      <w:r>
        <w:rPr>
          <w:color w:val="777777"/>
          <w:sz w:val="16"/>
          <w:szCs w:val="16"/>
        </w:rPr>
        <w:t xml:space="preserve">  Ítems de la versión 2: V-02, V-03, V-04, V-05.</w:t>
      </w:r>
    </w:p>
    <w:p>
      <w:pPr>
        <w:pStyle w:val="Heading1"/>
        <w:pageBreakBefore/>
      </w:pPr>
      <w:bookmarkStart w:name="t82" w:id="1"/>
      <w:r>
        <w:t xml:space="preserve">27. Reportes y archivos legales</w:t>
      </w:r>
      <w:bookmarkEnd w:id="1"/>
    </w:p>
    <w:p>
      <w:pPr>
        <w:spacing w:after="120"/>
      </w:pPr>
      <w:r>
        <w:t xml:space="preserve">Todas las salidas legales leen las </w:t>
      </w:r>
      <w:r>
        <w:rPr>
          <w:b/>
          <w:bCs/>
        </w:rPr>
        <w:t xml:space="preserve">boletas validadas</w:t>
      </w:r>
      <w:r>
        <w:t xml:space="preserve"> del periodo (las rectificativas restan, capítulo 25) y se generan desde </w:t>
      </w:r>
      <w:r>
        <w:rPr>
          <w:b/>
          <w:bCs/>
        </w:rPr>
        <w:t xml:space="preserve">Nómina › Nómina PE</w:t>
      </w:r>
      <w:r>
        <w:t xml:space="preserve">.</w:t>
      </w:r>
    </w:p>
    <w:p>
      <w:pPr>
        <w:pStyle w:val="Heading2"/>
      </w:pPr>
      <w:bookmarkStart w:name="t83" w:id="1"/>
      <w:r>
        <w:t xml:space="preserve">27.1 Planilla de sueldos</w:t>
      </w:r>
      <w:bookmarkEnd w:id="1"/>
    </w:p>
    <w:p>
      <w:pPr>
        <w:spacing w:after="120"/>
      </w:pPr>
      <w:r>
        <w:rPr>
          <w:b/>
          <w:bCs/>
        </w:rPr>
        <w:t xml:space="preserve">Planilla de sueldos</w:t>
      </w:r>
      <w:r>
        <w:t xml:space="preserve">: mes, año y «Incluir nómina semanal (obreros)». </w:t>
      </w:r>
      <w:r>
        <w:rPr>
          <w:b/>
          <w:bCs/>
        </w:rPr>
        <w:t xml:space="preserve">Generar Excel</w:t>
      </w:r>
      <w:r>
        <w:t xml:space="preserve"> (o </w:t>
      </w:r>
      <w:r>
        <w:rPr>
          <w:b/>
          <w:bCs/>
        </w:rPr>
        <w:t xml:space="preserve">Imprimir PDF</w:t>
      </w:r>
      <w:r>
        <w:t xml:space="preserve">) produce </w:t>
      </w:r>
      <w:r>
        <w:rPr>
          <w:rFonts w:ascii="Consolas" w:cs="Consolas" w:eastAsia="Consolas" w:hAnsi="Consolas"/>
          <w:color w:val="444444"/>
          <w:sz w:val="20"/>
          <w:szCs w:val="20"/>
        </w:rPr>
        <w:t xml:space="preserve">Planilla_&lt;año&gt;_&lt;mes&gt;.xlsx</w:t>
      </w:r>
      <w:r>
        <w:t xml:space="preserve">, con una fila por trabajador: remuneración, asignación familiar, horas extra, otros ingresos, ONP, AFP, 5.ª, otros descuentos, neto, EsSalud y otros aportes (SENATI, SIS, Vida Ley).</w:t>
      </w:r>
    </w:p>
    <w:p>
      <w:pPr>
        <w:keepNext/>
        <w:spacing w:after="60" w:before="120"/>
        <w:jc w:val="center"/>
      </w:pPr>
      <w:r>
        <w:drawing>
          <wp:inline distT="0" distB="0" distL="0" distR="0">
            <wp:extent cx="5905500" cy="3324225"/>
            <wp:effectExtent t="0" r="0" b="0" l="0"/>
            <wp:docPr id="1" name="c27_01_planilla_resultado" descr="Planilla de noviembre de 2026 generada: Planilla_2026_11.xlsx." title="Planilla de noviembre de 2026 generada: Planilla_2026_11.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112. </w:t>
      </w:r>
      <w:r>
        <w:rPr>
          <w:i/>
          <w:iCs/>
          <w:color w:val="555555"/>
          <w:sz w:val="18"/>
          <w:szCs w:val="18"/>
        </w:rPr>
        <w:t xml:space="preserve">Planilla de noviembre de 2026 generada: Planilla_2026_11.xlsx.</w:t>
      </w:r>
    </w:p>
    <w:p>
      <w:pPr>
        <w:pStyle w:val="Heading2"/>
      </w:pPr>
      <w:bookmarkStart w:name="t84" w:id="1"/>
      <w:r>
        <w:t xml:space="preserve">27.2 PLAME (archivos del PDT 601)</w:t>
      </w:r>
      <w:bookmarkEnd w:id="1"/>
    </w:p>
    <w:p>
      <w:pPr>
        <w:spacing w:after="120"/>
      </w:pPr>
      <w:r>
        <w:rPr>
          <w:b/>
          <w:bCs/>
        </w:rPr>
        <w:t xml:space="preserve">PLAME (archivos PDT)</w:t>
      </w:r>
      <w:r>
        <w:t xml:space="preserve"> genera el ZIP con el </w:t>
      </w:r>
      <w:r>
        <w:rPr>
          <w:rFonts w:ascii="Consolas" w:cs="Consolas" w:eastAsia="Consolas" w:hAnsi="Consolas"/>
          <w:color w:val="444444"/>
          <w:sz w:val="20"/>
          <w:szCs w:val="20"/>
        </w:rPr>
        <w:t xml:space="preserve">.rem</w:t>
      </w:r>
      <w:r>
        <w:t xml:space="preserve"> (ingresos y descuentos por concepto T22), el </w:t>
      </w:r>
      <w:r>
        <w:rPr>
          <w:rFonts w:ascii="Consolas" w:cs="Consolas" w:eastAsia="Consolas" w:hAnsi="Consolas"/>
          <w:color w:val="444444"/>
          <w:sz w:val="20"/>
          <w:szCs w:val="20"/>
        </w:rPr>
        <w:t xml:space="preserve">.jor</w:t>
      </w:r>
      <w:r>
        <w:t xml:space="preserve"> (jornada), el </w:t>
      </w:r>
      <w:r>
        <w:rPr>
          <w:rFonts w:ascii="Consolas" w:cs="Consolas" w:eastAsia="Consolas" w:hAnsi="Consolas"/>
          <w:color w:val="444444"/>
          <w:sz w:val="20"/>
          <w:szCs w:val="20"/>
        </w:rPr>
        <w:t xml:space="preserve">.snl</w:t>
      </w:r>
      <w:r>
        <w:t xml:space="preserve"> (suspensiones) y, con la casilla, el </w:t>
      </w:r>
      <w:r>
        <w:rPr>
          <w:rFonts w:ascii="Consolas" w:cs="Consolas" w:eastAsia="Consolas" w:hAnsi="Consolas"/>
          <w:color w:val="444444"/>
          <w:sz w:val="20"/>
          <w:szCs w:val="20"/>
        </w:rPr>
        <w:t xml:space="preserve">.ps4</w:t>
      </w:r>
      <w:r>
        <w:t xml:space="preserve"> y el </w:t>
      </w:r>
      <w:r>
        <w:rPr>
          <w:rFonts w:ascii="Consolas" w:cs="Consolas" w:eastAsia="Consolas" w:hAnsi="Consolas"/>
          <w:color w:val="444444"/>
          <w:sz w:val="20"/>
          <w:szCs w:val="20"/>
        </w:rPr>
        <w:t xml:space="preserve">.4ta</w:t>
      </w:r>
      <w:r>
        <w:t xml:space="preserve"> de recibos por honorarios. Las aportaciones (06xx y 08xx) las calcula el PDT y no se exportan, salvo los informativos como 0803 (Vida Ley).</w:t>
      </w:r>
    </w:p>
    <w:p>
      <w:pPr>
        <w:keepNext/>
        <w:spacing w:after="60" w:before="120"/>
        <w:jc w:val="center"/>
      </w:pPr>
      <w:r>
        <w:drawing>
          <wp:inline distT="0" distB="0" distL="0" distR="0">
            <wp:extent cx="5905500" cy="3324225"/>
            <wp:effectExtent t="0" r="0" b="0" l="0"/>
            <wp:docPr id="1" name="c27_02_plame_resultado" descr="PLAME de noviembre de 2026 de la compañía de laboratorio, con los escenarios del manual: 15 boletas, 13 trabajadores en el `.rem`, conceptos 0114, 0121, 0201, 0915 y 0916." title="PLAME de noviembre de 2026 de la compañía de laboratorio, con los escenarios del manual: 15 boletas, 13 trabajadores en el `.rem`, conceptos 0114, 0121, 0201, 0915 y 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113. </w:t>
      </w:r>
      <w:r>
        <w:rPr>
          <w:i/>
          <w:iCs/>
          <w:color w:val="555555"/>
          <w:sz w:val="18"/>
          <w:szCs w:val="18"/>
        </w:rPr>
        <w:t xml:space="preserve">PLAME de noviembre de 2026 de la compañía de laboratorio, con los escenarios del manual: 15 boletas, 13 trabajadores en el `.rem`, conceptos 0114, 0121, 0201, 0915 y 0916.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338"/>
      </w:tblGrid>
      <w:tr>
        <w:trPr>
          <w:tblHeader/>
        </w:trPr>
        <w:tc>
          <w:tcPr>
            <w:tcW w:type="dxa" w:w="13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Archivo</w:t>
            </w:r>
          </w:p>
        </w:tc>
        <w:tc>
          <w:tcPr>
            <w:tcW w:type="dxa" w:w="5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Cambio de la versión 2</w:t>
            </w:r>
          </w:p>
        </w:tc>
        <w:tc>
          <w:tcPr>
            <w:tcW w:type="dxa" w:w="33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Ejemplo medido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.rem</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Nuevos conceptos: 0915 (maternidad), 0916 (incapacidad), 0501 / 0503 (indemnización), 0928 (devolución de 5.ª), 0803 (Vida Ley). Tipo de documento de la ficha (T3)</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01|70000801|0916|1000.00|1000.00|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.jor</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6 campos</w:t>
            </w:r>
            <w:r>
              <w:rPr>
                <w:sz w:val="19"/>
                <w:szCs w:val="19"/>
              </w:rPr>
              <w:t xml:space="preserve">: ya no lleva «días» (C-24). Horas de la jornada cumplida</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01|70000901|176|0|0|0|</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.snl</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Sale lleno: una línea por trabajador y tipo de suspensión de la Tabla 21 (C-09, N-01)</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01|70000801|20|20|</w:t>
            </w:r>
            <w:r>
              <w:rPr>
                <w:sz w:val="19"/>
                <w:szCs w:val="19"/>
              </w:rPr>
              <w:t xml:space="preserve"> · </w:t>
            </w:r>
            <w:r>
              <w:rPr>
                <w:rFonts w:ascii="Consolas" w:cs="Consolas" w:eastAsia="Consolas" w:hAnsi="Consolas"/>
                <w:color w:val="444444"/>
                <w:sz w:val="20"/>
                <w:szCs w:val="20"/>
              </w:rPr>
              <w:t xml:space="preserve">01|70000801|21|10|</w:t>
            </w:r>
          </w:p>
        </w:tc>
      </w:tr>
    </w:tbl>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PLAME (121 celdas): </w:t>
      </w:r>
      <w:r>
        <w:rPr>
          <w:rFonts w:ascii="Consolas" w:cs="Consolas" w:eastAsia="Consolas" w:hAnsi="Consolas"/>
          <w:color w:val="444444"/>
          <w:sz w:val="20"/>
          <w:szCs w:val="20"/>
        </w:rPr>
        <w:t xml:space="preserve">.rem</w:t>
      </w:r>
      <w:r>
        <w:t xml:space="preserve">, </w:t>
      </w:r>
      <w:r>
        <w:rPr>
          <w:rFonts w:ascii="Consolas" w:cs="Consolas" w:eastAsia="Consolas" w:hAnsi="Consolas"/>
          <w:color w:val="444444"/>
          <w:sz w:val="20"/>
          <w:szCs w:val="20"/>
        </w:rPr>
        <w:t xml:space="preserve">.jor</w:t>
      </w:r>
      <w:r>
        <w:t xml:space="preserve">, </w:t>
      </w:r>
      <w:r>
        <w:rPr>
          <w:rFonts w:ascii="Consolas" w:cs="Consolas" w:eastAsia="Consolas" w:hAnsi="Consolas"/>
          <w:color w:val="444444"/>
          <w:sz w:val="20"/>
          <w:szCs w:val="20"/>
        </w:rPr>
        <w:t xml:space="preserve">.snl</w:t>
      </w:r>
      <w:r>
        <w:t xml:space="preserve"> y el anexo de 4.ª del ZIP de julio de 2026.</w:t>
      </w:r>
    </w:p>
    <w:p>
      <w:pPr>
        <w:pStyle w:val="Heading2"/>
      </w:pPr>
      <w:bookmarkStart w:name="t85" w:id="1"/>
      <w:r>
        <w:t xml:space="preserve">27.3 AFPnet</w:t>
      </w:r>
      <w:bookmarkEnd w:id="1"/>
    </w:p>
    <w:p>
      <w:pPr>
        <w:spacing w:after="120"/>
      </w:pPr>
      <w:r>
        <w:rPr>
          <w:b/>
          <w:bCs/>
        </w:rPr>
        <w:t xml:space="preserve">AFPnet</w:t>
      </w:r>
      <w:r>
        <w:t xml:space="preserve"> genera el Excel de importación al portal (hoja TRABAJADOR) con los afiliados al SPP y su remuneración asegurable del mes. Julio de 2026 en el laboratorio: </w:t>
      </w:r>
      <w:r>
        <w:rPr>
          <w:b/>
          <w:bCs/>
        </w:rPr>
        <w:t xml:space="preserve">6 trabajadores SPP</w:t>
      </w:r>
      <w:r>
        <w:t xml:space="preserve">. Un subsidio con AFP suma a la remuneración asegurable (caso SUBSIDIOS: 3 000,00).</w:t>
      </w:r>
    </w:p>
    <w:p>
      <w:pPr>
        <w:keepNext/>
        <w:spacing w:after="60" w:before="120"/>
        <w:jc w:val="center"/>
      </w:pPr>
      <w:r>
        <w:drawing>
          <wp:inline distT="0" distB="0" distL="0" distR="0">
            <wp:extent cx="5905500" cy="3324225"/>
            <wp:effectExtent t="0" r="0" b="0" l="0"/>
            <wp:docPr id="1" name="c27_03_afpnet_resultado" descr="AFPnet de julio de 2026: AFPNET_2026_07.xlsx con 6 trabajadores del SPP." title="AFPnet de julio de 2026: AFPNET_2026_07.xlsx con 6 trabajadores del S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114. </w:t>
      </w:r>
      <w:r>
        <w:rPr>
          <w:i/>
          <w:iCs/>
          <w:color w:val="555555"/>
          <w:sz w:val="18"/>
          <w:szCs w:val="18"/>
        </w:rPr>
        <w:t xml:space="preserve">AFPnet de julio de 2026: AFPNET_2026_07.xlsx con 6 trabajadores del SPP.</w:t>
      </w:r>
    </w:p>
    <w:p>
      <w:pPr>
        <w:pStyle w:val="Heading2"/>
      </w:pPr>
      <w:bookmarkStart w:name="t86" w:id="1"/>
      <w:r>
        <w:t xml:space="preserve">27.4 Pago masivo a bancos</w:t>
      </w:r>
      <w:bookmarkEnd w:id="1"/>
    </w:p>
    <w:p>
      <w:pPr>
        <w:spacing w:after="120"/>
      </w:pPr>
      <w:r>
        <w:rPr>
          <w:b/>
          <w:bCs/>
        </w:rPr>
        <w:t xml:space="preserve">Pago masivo a bancos</w:t>
      </w:r>
      <w:r>
        <w:t xml:space="preserve"> genera el TXT de abono de </w:t>
      </w:r>
      <w:r>
        <w:rPr>
          <w:b/>
          <w:bCs/>
        </w:rPr>
        <w:t xml:space="preserve">haberes</w:t>
      </w:r>
      <w:r>
        <w:t xml:space="preserve"> o de </w:t>
      </w:r>
      <w:r>
        <w:rPr>
          <w:b/>
          <w:bCs/>
        </w:rPr>
        <w:t xml:space="preserve">CTS</w:t>
      </w:r>
      <w:r>
        <w:t xml:space="preserve"> para BCP (Telecrédito), Interbank o Scotiabank: mes, año, tipo, banco de cargo, cuenta de cargo de la empresa y fecha de pago. El resultado dice cuántos se abonan, el total y quiénes quedan </w:t>
      </w:r>
      <w:r>
        <w:rPr>
          <w:b/>
          <w:bCs/>
        </w:rPr>
        <w:t xml:space="preserve">omitidos</w:t>
      </w:r>
      <w:r>
        <w:t xml:space="preserve"> y por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gridCol w:w="1438"/>
      </w:tblGrid>
      <w:tr>
        <w:trPr>
          <w:tblHeader/>
        </w:trPr>
        <w:tc>
          <w:tcPr>
            <w:tcW w:type="dxa" w:w="2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Cambio</w:t>
            </w:r>
          </w:p>
        </w:tc>
        <w:tc>
          <w:tcPr>
            <w:tcW w:type="dxa" w:w="6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hace ahora</w:t>
            </w:r>
          </w:p>
        </w:tc>
        <w:tc>
          <w:tcPr>
            <w:tcW w:type="dxa" w:w="1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Ítem</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Banco por código SBS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Una cuenta del propio banco sale como abono propio (BCP «2A») y otra como interbancaria («2B», con CCI). El TXT de CTS del BCP ya no sale vacío</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C-01</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Omitidos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 trabajador sin cuenta, sin CCI o con CTS en otro banco no bloquea el archivo: queda fuera y se lista. «Modo estricto» vuelve a bloquear</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C-08</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ASCII</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tildes ni Ñ (Ñañez → NANEZ) y con CRLF</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C-12</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Scotiabank</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Formato propio, con el aviso «formato sin validar» con el banco</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C-13, N-06</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Totales exactos</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 el sol de menos por redondeo</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C-19</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CTS de otro banco</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Por defecto se omite y se deposita con el archivo de ese banco; opción de abonar por CCI en Interbank</w:t>
            </w:r>
          </w:p>
        </w:tc>
        <w:tc>
          <w:tcPr>
            <w:tcW w:type="dxa" w:w="1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C-23</w:t>
            </w:r>
          </w:p>
        </w:tc>
      </w:tr>
    </w:tbl>
    <w:p>
      <w:pPr>
        <w:keepNext/>
        <w:spacing w:after="60" w:before="120"/>
        <w:jc w:val="center"/>
      </w:pPr>
      <w:r>
        <w:drawing>
          <wp:inline distT="0" distB="0" distL="0" distR="0">
            <wp:extent cx="5905500" cy="3324225"/>
            <wp:effectExtent t="0" r="0" b="0" l="0"/>
            <wp:docPr id="1" name="c27_04_bcp_haberes_resultado" descr="BCP haberes de mayo de 2026 (caso BANCOS): 4 abonados por S/ 7 918,00 y 1 omitido (sin cuenta sueldo) por S/ 1 566,00." title="BCP haberes de mayo de 2026 (caso BANCOS): 4 abonados por S/ 7 918,00 y 1 omitido (sin cuenta sueldo) por S/ 1 5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115. </w:t>
      </w:r>
      <w:r>
        <w:rPr>
          <w:i/>
          <w:iCs/>
          <w:color w:val="555555"/>
          <w:sz w:val="18"/>
          <w:szCs w:val="18"/>
        </w:rPr>
        <w:t xml:space="preserve">BCP haberes de mayo de 2026 (caso BANCOS): 4 abonados por S/ 7 918,00 y 1 omitido (sin cuenta sueldo) por S/ 1 566,00.</w:t>
      </w:r>
    </w:p>
    <w:p>
      <w:pPr>
        <w:keepNext/>
        <w:spacing w:after="60" w:before="120"/>
        <w:jc w:val="center"/>
      </w:pPr>
      <w:r>
        <w:drawing>
          <wp:inline distT="0" distB="0" distL="0" distR="0">
            <wp:extent cx="5905500" cy="3324225"/>
            <wp:effectExtent t="0" r="0" b="0" l="0"/>
            <wp:docPr id="1" name="c27_05_interbank_cts_resultado" descr="Interbank CTS de mayo de 2026: 1 abonado por S/ 833,33 y 4 omitidos (CTS en otro banco o sin cuenta CTS) por S/ 2 800,39." title="Interbank CTS de mayo de 2026: 1 abonado por S/ 833,33 y 4 omitidos (CTS en otro banco o sin cuenta CTS) por S/ 2 8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116. </w:t>
      </w:r>
      <w:r>
        <w:rPr>
          <w:i/>
          <w:iCs/>
          <w:color w:val="555555"/>
          <w:sz w:val="18"/>
          <w:szCs w:val="18"/>
        </w:rPr>
        <w:t xml:space="preserve">Interbank CTS de mayo de 2026: 1 abonado por S/ 833,33 y 4 omitidos (CTS en otro banco o sin cuenta CTS) por S/ 2 800,39.</w:t>
      </w:r>
    </w:p>
    <w:p>
      <w:pPr>
        <w:keepNext/>
        <w:spacing w:after="60" w:before="120"/>
        <w:jc w:val="center"/>
      </w:pPr>
      <w:r>
        <w:drawing>
          <wp:inline distT="0" distB="0" distL="0" distR="0">
            <wp:extent cx="5905500" cy="3324225"/>
            <wp:effectExtent t="0" r="0" b="0" l="0"/>
            <wp:docPr id="1" name="c27_06_scotiabank_haberes_resultado" descr="Scotiabank haberes: 3 abonados por S/ 6 003,88, 2 omitidos y el aviso «formato sin validar»." title="Scotiabank haberes: 3 abonados por S/ 6 003,88, 2 omitidos y el aviso «formato sin va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117. </w:t>
      </w:r>
      <w:r>
        <w:rPr>
          <w:i/>
          <w:iCs/>
          <w:color w:val="555555"/>
          <w:sz w:val="18"/>
          <w:szCs w:val="18"/>
        </w:rPr>
        <w:t xml:space="preserve">Scotiabank haberes: 3 abonados por S/ 6 003,88, 2 omitidos y el aviso «formato sin validar».</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BANCOS (407 celdas): cabeceras, registros, montos, omitidos y propiedades de los 6 archivos (BCP, Interbank y Scotiabank, haberes y CTS de mayo de 2026). Los archivos salen con CRLF y en ASCII.</w:t>
      </w:r>
    </w:p>
    <w:p>
      <w:pPr>
        <w:pBdr>
          <w:left w:val="single" w:color="B23B3B" w:sz="18" w:space="8"/>
        </w:pBdr>
        <w:shd w:fill="F7EEEE" w:color="auto" w:val="clear"/>
        <w:spacing w:after="160" w:before="120"/>
        <w:ind w:left="120" w:right="120"/>
      </w:pPr>
      <w:r>
        <w:rPr>
          <w:b/>
          <w:bCs/>
          <w:color w:val="B23B3B"/>
        </w:rPr>
        <w:t xml:space="preserve">Límite: </w:t>
      </w:r>
      <w:r>
        <w:t xml:space="preserve">El formato de Scotiabank no está validado con la banca por internet del banco y no hay TXT del Banco de la Nación: los bancos entregan el formato al afiliar a la empresa (N-06, capítulo 31). Haga una carga de prueba antes del primer pago real.</w:t>
      </w:r>
    </w:p>
    <w:p>
      <w:pPr>
        <w:pBdr>
          <w:top w:val="single" w:color="BFBFBF" w:sz="4" w:space="4"/>
        </w:pBdr>
        <w:spacing w:before="240"/>
      </w:pPr>
      <w:r>
        <w:rPr>
          <w:color w:val="777777"/>
          <w:sz w:val="16"/>
          <w:szCs w:val="16"/>
        </w:rPr>
        <w:t xml:space="preserve">Versiones mostradas: ce 19.0.1.27.1 · ce_demo 19.0.2.25.1 · plame_demo 19.0.1.4.1.</w:t>
      </w:r>
      <w:r>
        <w:rPr>
          <w:color w:val="777777"/>
          <w:sz w:val="16"/>
          <w:szCs w:val="16"/>
        </w:rPr>
        <w:t xml:space="preserve">  Ítems de la versión 2: C-01, C-08, C-09, C-12, C-13, C-19, C-23, C-24, N-01, N-06.</w:t>
      </w:r>
    </w:p>
    <w:p>
      <w:pPr>
        <w:pStyle w:val="Heading1"/>
        <w:pageBreakBefore/>
      </w:pPr>
      <w:bookmarkStart w:name="t87" w:id="1"/>
      <w:r>
        <w:t xml:space="preserve">28. Pago de la planilla, entrega de boletas y constancias</w:t>
      </w:r>
      <w:bookmarkEnd w:id="1"/>
    </w:p>
    <w:p>
      <w:pPr>
        <w:pStyle w:val="Heading2"/>
      </w:pPr>
      <w:bookmarkStart w:name="t88" w:id="1"/>
      <w:r>
        <w:t xml:space="preserve">28.1 Registrar el pago</w:t>
      </w:r>
      <w:bookmarkEnd w:id="1"/>
    </w:p>
    <w:p>
      <w:pPr>
        <w:spacing w:after="120"/>
      </w:pPr>
      <w:r>
        <w:t xml:space="preserve">Con el lote </w:t>
      </w:r>
      <w:r>
        <w:rPr>
          <w:b/>
          <w:bCs/>
        </w:rPr>
        <w:t xml:space="preserve">validado</w:t>
      </w:r>
      <w:r>
        <w:t xml:space="preserve">, </w:t>
      </w:r>
      <w:r>
        <w:rPr>
          <w:b/>
          <w:bCs/>
        </w:rPr>
        <w:t xml:space="preserve">Registrar pago</w:t>
      </w:r>
      <w:r>
        <w:t xml:space="preserve"> (N-07) abre el asistente: diario de pago (banco), fecha, referencia (N.° de operación) y la lista de boletas con su importe </w:t>
      </w:r>
      <w:r>
        <w:rPr>
          <w:b/>
          <w:bCs/>
        </w:rPr>
        <w:t xml:space="preserve">por pagar</w:t>
      </w:r>
      <w:r>
        <w:t xml:space="preserve">. Al registrar se crea el asiento del pago, que concilia la 4111 de cada trabajador. Cada boleta queda pagada con su fecha, su asiento y su número de operación. Un segundo «Registrar pago» no vuelve a tomar las boletas pagadas.</w:t>
      </w:r>
    </w:p>
    <w:p>
      <w:pPr>
        <w:keepNext/>
        <w:spacing w:after="60" w:before="120"/>
        <w:jc w:val="center"/>
      </w:pPr>
      <w:r>
        <w:drawing>
          <wp:inline distT="0" distB="0" distL="0" distR="0">
            <wp:extent cx="5905500" cy="3324225"/>
            <wp:effectExtent t="0" r="0" b="0" l="0"/>
            <wp:docPr id="1" name="c28_02_registrar_pago" descr="Registrar pago del lote de noviembre de 2026 (escenario del manual): dos boletas por S/ 2 175,00 y S/ 2 610,00; total a pagar S/ 4 785,00." title="Registrar pago del lote de noviembre de 2026 (escenario del manual): dos boletas por S/ 2 175,00 y S/ 2 610,00; total a pagar S/ 4 7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118. </w:t>
      </w:r>
      <w:r>
        <w:rPr>
          <w:i/>
          <w:iCs/>
          <w:color w:val="555555"/>
          <w:sz w:val="18"/>
          <w:szCs w:val="18"/>
        </w:rPr>
        <w:t xml:space="preserve">Registrar pago del lote de noviembre de 2026 (escenario del manual): dos boletas por S/ 2 175,00 y S/ 2 610,00; total a pagar S/ 4 785,00.</w:t>
      </w:r>
    </w:p>
    <w:p>
      <w:pPr>
        <w:keepNext/>
        <w:spacing w:after="60" w:before="120"/>
        <w:jc w:val="center"/>
      </w:pPr>
      <w:r>
        <w:drawing>
          <wp:inline distT="0" distB="0" distL="0" distR="0">
            <wp:extent cx="5905500" cy="3324225"/>
            <wp:effectExtent t="0" r="0" b="0" l="0"/>
            <wp:docPr id="1" name="c28_03_asiento_pago" descr="Asiento del pago BNK1/2026/00001: debe 4111 de cada trabajador (2 175,00 y 2 610,00), haber banco 4 785,00; apuntes conciliados." title="Asiento del pago BNK1/2026/00001: debe 4111 de cada trabajador (2 175,00 y 2 610,00), haber banco 4 785,00; apuntes concili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119. </w:t>
      </w:r>
      <w:r>
        <w:rPr>
          <w:i/>
          <w:iCs/>
          <w:color w:val="555555"/>
          <w:sz w:val="18"/>
          <w:szCs w:val="18"/>
        </w:rPr>
        <w:t xml:space="preserve">Asiento del pago BNK1/2026/00001: debe 4111 de cada trabajador (2 175,00 y 2 610,00), haber banco 4 785,00; apuntes conciliados.</w:t>
      </w:r>
    </w:p>
    <w:p>
      <w:pPr>
        <w:keepNext/>
        <w:spacing w:after="60" w:before="120"/>
        <w:jc w:val="center"/>
      </w:pPr>
      <w:r>
        <w:drawing>
          <wp:inline distT="0" distB="0" distL="0" distR="0">
            <wp:extent cx="5905500" cy="5114925"/>
            <wp:effectExtent t="0" r="0" b="0" l="0"/>
            <wp:docPr id="1" name="c28_04_boleta_pagada" descr="Boleta pagada: fecha de pago 30/11, asiento del pago, N.° de operación OP-2026-11-30 y «Entregar hasta» 3 de diciembre." title="Boleta pagada: fecha de pago 30/11, asiento del pago, N.° de operación OP-2026-11-30 y «Entregar hasta» 3 de diciem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905500" cy="5114925"/>
                    </a:xfrm>
                    <a:prstGeom prst="rect">
                      <a:avLst/>
                    </a:prstGeom>
                  </pic:spPr>
                </pic:pic>
              </a:graphicData>
            </a:graphic>
          </wp:inline>
        </w:drawing>
      </w:r>
    </w:p>
    <w:p>
      <w:pPr>
        <w:spacing w:after="200"/>
        <w:jc w:val="center"/>
      </w:pPr>
      <w:r>
        <w:rPr>
          <w:b/>
          <w:bCs/>
          <w:color w:val="714B67"/>
          <w:sz w:val="18"/>
          <w:szCs w:val="18"/>
        </w:rPr>
        <w:t xml:space="preserve">Figura 120. </w:t>
      </w:r>
      <w:r>
        <w:rPr>
          <w:i/>
          <w:iCs/>
          <w:color w:val="555555"/>
          <w:sz w:val="18"/>
          <w:szCs w:val="18"/>
        </w:rPr>
        <w:t xml:space="preserve">Boleta pagada: fecha de pago 30/11, asiento del pago, N.° de operación OP-2026-11-30 y «Entregar hasta» 3 de diciembre.</w:t>
      </w:r>
    </w:p>
    <w:p>
      <w:pPr>
        <w:pBdr>
          <w:left w:val="single" w:color="2E86AB" w:sz="18" w:space="8"/>
        </w:pBdr>
        <w:shd w:fill="EAF4F8" w:color="auto" w:val="clear"/>
        <w:spacing w:after="160" w:before="120"/>
        <w:ind w:left="120" w:right="120"/>
      </w:pPr>
      <w:r>
        <w:rPr>
          <w:b/>
          <w:bCs/>
          <w:color w:val="2E86AB"/>
        </w:rPr>
        <w:t xml:space="preserve">Nota: </w:t>
      </w:r>
      <w:r>
        <w:t xml:space="preserve">Para que el pago concilie, las líneas 41x del asiento de la boleta llevan al trabajador como socio (capítulo 7). Medido: el saldo 41x de cada trabajador queda en 0,00 después del pago.</w:t>
      </w:r>
    </w:p>
    <w:p>
      <w:pPr>
        <w:pStyle w:val="Heading2"/>
      </w:pPr>
      <w:bookmarkStart w:name="t89" w:id="1"/>
      <w:r>
        <w:t xml:space="preserve">28.2 Entrega de la boleta</w:t>
      </w:r>
      <w:bookmarkEnd w:id="1"/>
    </w:p>
    <w:p>
      <w:pPr>
        <w:spacing w:after="120"/>
      </w:pPr>
      <w:r>
        <w:t xml:space="preserve">La boleta se entrega a más tardar el </w:t>
      </w:r>
      <w:r>
        <w:rPr>
          <w:b/>
          <w:bCs/>
        </w:rPr>
        <w:t xml:space="preserve">tercer día hábil</w:t>
      </w:r>
      <w:r>
        <w:t xml:space="preserve"> después del pago (D.S. 001-98-TR): la boleta muestra la fecha límite en </w:t>
      </w:r>
      <w:r>
        <w:rPr>
          <w:b/>
          <w:bCs/>
        </w:rPr>
        <w:t xml:space="preserve">Entregar hasta</w:t>
      </w:r>
      <w:r>
        <w:t xml:space="preserve">. La entrega puede ser:</w:t>
      </w:r>
    </w:p>
    <w:p>
      <w:pPr>
        <w:pStyle w:val="ListParagraph"/>
        <w:numPr>
          <w:ilvl w:val="0"/>
          <w:numId w:val="2"/>
        </w:numPr>
        <w:spacing w:after="60"/>
      </w:pPr>
      <w:r>
        <w:rPr>
          <w:b/>
          <w:bCs/>
        </w:rPr>
        <w:t xml:space="preserve">Física</w:t>
      </w:r>
      <w:r>
        <w:t xml:space="preserve">: se imprime y el trabajador firma. Con </w:t>
      </w:r>
      <w:r>
        <w:rPr>
          <w:b/>
          <w:bCs/>
        </w:rPr>
        <w:t xml:space="preserve">Confirmar recepción</w:t>
      </w:r>
      <w:r>
        <w:t xml:space="preserve"> se registra la fecha en que la recibió.</w:t>
      </w:r>
    </w:p>
    <w:p>
      <w:pPr>
        <w:pStyle w:val="ListParagraph"/>
        <w:numPr>
          <w:ilvl w:val="0"/>
          <w:numId w:val="2"/>
        </w:numPr>
        <w:spacing w:after="60"/>
      </w:pPr>
      <w:r>
        <w:rPr>
          <w:b/>
          <w:bCs/>
        </w:rPr>
        <w:t xml:space="preserve">Por correo</w:t>
      </w:r>
      <w:r>
        <w:t xml:space="preserve"> (N-08): solo a los trabajadores con el </w:t>
      </w:r>
      <w:r>
        <w:rPr>
          <w:b/>
          <w:bCs/>
        </w:rPr>
        <w:t xml:space="preserve">acuerdo de entrega electrónica</w:t>
      </w:r>
      <w:r>
        <w:t xml:space="preserve"> en su ficha (capítulo 8): «Boleta por correo», fecha del acuerdo y correo. </w:t>
      </w:r>
      <w:r>
        <w:rPr>
          <w:b/>
          <w:bCs/>
        </w:rPr>
        <w:t xml:space="preserve">Enviar por correo</w:t>
      </w:r>
      <w:r>
        <w:t xml:space="preserve"> (en la boleta) o </w:t>
      </w:r>
      <w:r>
        <w:rPr>
          <w:b/>
          <w:bCs/>
        </w:rPr>
        <w:t xml:space="preserve">Enviar boletas por correo</w:t>
      </w:r>
      <w:r>
        <w:t xml:space="preserve"> (en el lote) manda la boleta en PDF, y la liquidación del depósito si es de CTS, y deja la constancia en el historial. La respuesta del trabajador desde ese correo registra la recepción.</w:t>
      </w:r>
    </w:p>
    <w:p>
      <w:pPr>
        <w:keepNext/>
        <w:spacing w:after="60" w:before="120"/>
        <w:jc w:val="center"/>
      </w:pPr>
      <w:r>
        <w:drawing>
          <wp:inline distT="0" distB="0" distL="0" distR="0">
            <wp:extent cx="5905500" cy="3324225"/>
            <wp:effectExtent t="0" r="0" b="0" l="0"/>
            <wp:docPr id="1" name="c28_05_enviar_boletas_sin_acuerdo" descr="«Enviar boletas por correo» pide confirmación: «Se enviará por correo a cada trabajador con acuerdo de entrega electrónica su boleta validada del lote que aún no se envió…». (Se canceló: los trabajadores del escenario no tienen acuerdo.)" title="«Enviar boletas por correo» pide confirmación: «Se enviará por correo a cada trabajador con acuerdo de entrega electrónica su boleta validada del lote que aún no se envió…». (Se canceló: los trabajadores del escenario no tienen acuer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121. </w:t>
      </w:r>
      <w:r>
        <w:rPr>
          <w:i/>
          <w:iCs/>
          <w:color w:val="555555"/>
          <w:sz w:val="18"/>
          <w:szCs w:val="18"/>
        </w:rPr>
        <w:t xml:space="preserve">«Enviar boletas por correo» pide confirmación: «Se enviará por correo a cada trabajador con acuerdo de entrega electrónica su boleta validada del lote que aún no se envió…». (Se canceló: los trabajadores del escenario no tienen acuerdo.)</w:t>
      </w:r>
    </w:p>
    <w:p>
      <w:pPr>
        <w:pBdr>
          <w:left w:val="single" w:color="2E86AB" w:sz="18" w:space="8"/>
        </w:pBdr>
        <w:shd w:fill="EAF4F8" w:color="auto" w:val="clear"/>
        <w:spacing w:after="160" w:before="120"/>
        <w:ind w:left="120" w:right="120"/>
      </w:pPr>
      <w:r>
        <w:rPr>
          <w:b/>
          <w:bCs/>
          <w:color w:val="2E86AB"/>
        </w:rPr>
        <w:t xml:space="preserve">Nota: </w:t>
      </w:r>
      <w:r>
        <w:t xml:space="preserve">El envío usa el servidor de correo saliente de la base. En la base de pruebas no se envió ningún correo: el manual no muestra el correo recibido. Los criterios del lote 8 lo midieron en una base local con correos ficticios.</w:t>
      </w:r>
    </w:p>
    <w:p>
      <w:pPr>
        <w:pStyle w:val="Heading2"/>
      </w:pPr>
      <w:bookmarkStart w:name="t90" w:id="1"/>
      <w:r>
        <w:t xml:space="preserve">28.3 Constancias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4500"/>
        <w:gridCol w:w="1538"/>
      </w:tblGrid>
      <w:tr>
        <w:trPr>
          <w:tblHeader/>
        </w:trPr>
        <w:tc>
          <w:tcPr>
            <w:tcW w:type="dxa" w:w="3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Documento</w:t>
            </w:r>
          </w:p>
        </w:tc>
        <w:tc>
          <w:tcPr>
            <w:tcW w:type="dxa" w:w="45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Dónde</w:t>
            </w:r>
          </w:p>
        </w:tc>
        <w:tc>
          <w:tcPr>
            <w:tcW w:type="dxa" w:w="15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Capítulo</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de pago (D.S. 001-98-TR)</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 Imprimir › Boleta de Pago (PE)</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Liquidación del depósito de CTS</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Boleta de CTS › Imprimir › Liquidación de depósito de CTS (PE)</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Certificado de rentas y retenciones de 5.ª</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Nómina PE › Certificado de 5.ª categoría</w:t>
            </w:r>
          </w:p>
        </w:tc>
        <w:tc>
          <w:tcPr>
            <w:tcW w:type="dxa" w:w="15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w:t>
            </w:r>
          </w:p>
        </w:tc>
      </w:tr>
    </w:tbl>
    <w:p>
      <w:pPr>
        <w:pBdr>
          <w:top w:val="single" w:color="BFBFBF" w:sz="4" w:space="4"/>
        </w:pBdr>
        <w:spacing w:before="240"/>
      </w:pPr>
      <w:r>
        <w:rPr>
          <w:color w:val="777777"/>
          <w:sz w:val="16"/>
          <w:szCs w:val="16"/>
        </w:rPr>
        <w:t xml:space="preserve">Versiones mostradas: ce 19.0.1.27.1.</w:t>
      </w:r>
      <w:r>
        <w:rPr>
          <w:color w:val="777777"/>
          <w:sz w:val="16"/>
          <w:szCs w:val="16"/>
        </w:rPr>
        <w:t xml:space="preserve">  Ítems de la versión 2: N-07, N-08.</w:t>
      </w:r>
    </w:p>
    <w:p>
      <w:pPr>
        <w:pStyle w:val="Heading1"/>
        <w:pageBreakBefore/>
      </w:pPr>
      <w:bookmarkStart w:name="t91" w:id="1"/>
      <w:r>
        <w:t xml:space="preserve">29. T-Registro</w:t>
      </w:r>
      <w:bookmarkEnd w:id="1"/>
    </w:p>
    <w:p>
      <w:pPr>
        <w:spacing w:after="120"/>
      </w:pPr>
      <w:r>
        <w:rPr>
          <w:b/>
          <w:bCs/>
        </w:rPr>
        <w:t xml:space="preserve">Nómina PE › T-Registro (carga masiva)</w:t>
      </w:r>
      <w:r>
        <w:t xml:space="preserve"> genera los archivos de la carga masiva del T-Registro con la estructura del </w:t>
      </w:r>
      <w:r>
        <w:rPr>
          <w:b/>
          <w:bCs/>
        </w:rPr>
        <w:t xml:space="preserve">Manual del PVS T-Registro v2.22</w:t>
      </w:r>
      <w:r>
        <w:t xml:space="preserve"> (N-02). Hay cinco operaciones; cada una es un envío 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600"/>
        <w:gridCol w:w="1938"/>
      </w:tblGrid>
      <w:tr>
        <w:trPr>
          <w:tblHeader/>
        </w:trPr>
        <w:tc>
          <w:tcPr>
            <w:tcW w:type="dxa" w:w="21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Operación</w:t>
            </w:r>
          </w:p>
        </w:tc>
        <w:tc>
          <w:tcPr>
            <w:tcW w:type="dxa" w:w="30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Qué propone</w:t>
            </w:r>
          </w:p>
        </w:tc>
        <w:tc>
          <w:tcPr>
            <w:tcW w:type="dxa" w:w="2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Archivos</w:t>
            </w:r>
          </w:p>
        </w:tc>
        <w:tc>
          <w:tcPr>
            <w:tcW w:type="dxa" w:w="19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Se valida en</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periodos laborales que </w:t>
            </w:r>
            <w:r>
              <w:rPr>
                <w:b/>
                <w:bCs/>
                <w:sz w:val="19"/>
                <w:szCs w:val="19"/>
              </w:rPr>
              <w:t xml:space="preserve">empiezan</w:t>
            </w:r>
            <w:r>
              <w:rPr>
                <w:sz w:val="19"/>
                <w:szCs w:val="19"/>
              </w:rPr>
              <w:t xml:space="preserve"> en el rango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RP_&lt;RUC&gt;.ide</w:t>
            </w:r>
            <w:r>
              <w:rPr>
                <w:sz w:val="19"/>
                <w:szCs w:val="19"/>
              </w:rPr>
              <w:t xml:space="preserve">, </w:t>
            </w:r>
            <w:r>
              <w:rPr>
                <w:rFonts w:ascii="Consolas" w:cs="Consolas" w:eastAsia="Consolas" w:hAnsi="Consolas"/>
                <w:color w:val="444444"/>
                <w:sz w:val="20"/>
                <w:szCs w:val="20"/>
              </w:rPr>
              <w:t xml:space="preserve">.tra</w:t>
            </w:r>
            <w:r>
              <w:rPr>
                <w:sz w:val="19"/>
                <w:szCs w:val="19"/>
              </w:rPr>
              <w:t xml:space="preserve">, </w:t>
            </w:r>
            <w:r>
              <w:rPr>
                <w:rFonts w:ascii="Consolas" w:cs="Consolas" w:eastAsia="Consolas" w:hAnsi="Consolas"/>
                <w:color w:val="444444"/>
                <w:sz w:val="20"/>
                <w:szCs w:val="20"/>
              </w:rPr>
              <w:t xml:space="preserve">.per</w:t>
            </w:r>
            <w:r>
              <w:rPr>
                <w:sz w:val="19"/>
                <w:szCs w:val="19"/>
              </w:rPr>
              <w:t xml:space="preserve">, </w:t>
            </w:r>
            <w:r>
              <w:rPr>
                <w:rFonts w:ascii="Consolas" w:cs="Consolas" w:eastAsia="Consolas" w:hAnsi="Consolas"/>
                <w:color w:val="444444"/>
                <w:sz w:val="20"/>
                <w:szCs w:val="20"/>
              </w:rPr>
              <w:t xml:space="preserve">.est</w:t>
            </w:r>
            <w:r>
              <w:rPr>
                <w:sz w:val="19"/>
                <w:szCs w:val="19"/>
              </w:rPr>
              <w:t xml:space="preserve">, </w:t>
            </w:r>
            <w:r>
              <w:rPr>
                <w:rFonts w:ascii="Consolas" w:cs="Consolas" w:eastAsia="Consolas" w:hAnsi="Consolas"/>
                <w:color w:val="444444"/>
                <w:sz w:val="20"/>
                <w:szCs w:val="20"/>
              </w:rPr>
              <w:t xml:space="preserve">.cta</w:t>
            </w:r>
            <w:r>
              <w:rPr>
                <w:sz w:val="19"/>
                <w:szCs w:val="19"/>
              </w:rPr>
              <w:t xml:space="preserve">, </w:t>
            </w:r>
            <w:r>
              <w:rPr>
                <w:rFonts w:ascii="Consolas" w:cs="Consolas" w:eastAsia="Consolas" w:hAnsi="Consolas"/>
                <w:color w:val="444444"/>
                <w:sz w:val="20"/>
                <w:szCs w:val="20"/>
              </w:rPr>
              <w:t xml:space="preserve">.edu</w:t>
            </w:r>
            <w:r>
              <w:rPr>
                <w:sz w:val="19"/>
                <w:szCs w:val="19"/>
              </w:rPr>
              <w:t xml:space="preserve"> en un ZIP</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PVS T-Registro, que arma el ZIP para SOL</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que </w:t>
            </w:r>
            <w:r>
              <w:rPr>
                <w:b/>
                <w:bCs/>
                <w:sz w:val="19"/>
                <w:szCs w:val="19"/>
              </w:rPr>
              <w:t xml:space="preserve">terminan</w:t>
            </w:r>
            <w:r>
              <w:rPr>
                <w:sz w:val="19"/>
                <w:szCs w:val="19"/>
              </w:rPr>
              <w:t xml:space="preserve"> en el rango, con su motivo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RP_&lt;RUC&gt;.per</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PVS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Modificaciones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 concepto por envío, desde la «fecha del cambio»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archivos del concepto</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PVS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Altas de derechohabientes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derechohabientes con </w:t>
            </w:r>
            <w:r>
              <w:rPr>
                <w:b/>
                <w:bCs/>
                <w:sz w:val="19"/>
                <w:szCs w:val="19"/>
              </w:rPr>
              <w:t xml:space="preserve">alta</w:t>
            </w:r>
            <w:r>
              <w:rPr>
                <w:sz w:val="19"/>
                <w:szCs w:val="19"/>
              </w:rPr>
              <w:t xml:space="preserve"> en el rango (parentesco con código T19)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RD_&lt;RUC&gt;_&lt;DDMMAAAA&gt;_ALTA.TXT</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Directamente en SOL (no pasa por el PVS)</w:t>
            </w:r>
          </w:p>
        </w:tc>
      </w:tr>
      <w:t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Bajas de derechohabientes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Los que tienen </w:t>
            </w:r>
            <w:r>
              <w:rPr>
                <w:b/>
                <w:bCs/>
                <w:sz w:val="19"/>
                <w:szCs w:val="19"/>
              </w:rPr>
              <w:t xml:space="preserve">baja</w:t>
            </w:r>
            <w:r>
              <w:rPr>
                <w:sz w:val="19"/>
                <w:szCs w:val="19"/>
              </w:rPr>
              <w:t xml:space="preserve"> en el rango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RD_&lt;RUC&gt;_&lt;DDMMAAAA&gt;_BAJA.TXT</w:t>
            </w:r>
          </w:p>
        </w:tc>
        <w:tc>
          <w:tcPr>
            <w:tcW w:type="dxa" w:w="1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SOL</w:t>
            </w:r>
          </w:p>
        </w:tc>
      </w:tr>
    </w:tbl>
    <w:p>
      <w:pPr>
        <w:spacing w:after="120"/>
      </w:pPr>
      <w:r>
        <w:t xml:space="preserve">Plazos: el alta, el día del ingreso; la baja, al día siguiente del término; el alta de un derechohabiente, el día hábil siguiente a la fecha en que el trabajador lo comunicó.</w:t>
      </w:r>
    </w:p>
    <w:p>
      <w:pPr>
        <w:pStyle w:val="Heading2"/>
      </w:pPr>
      <w:bookmarkStart w:name="t92" w:id="1"/>
      <w:r>
        <w:t xml:space="preserve">29.1 Altas y bajas</w:t>
      </w:r>
      <w:bookmarkEnd w:id="1"/>
    </w:p>
    <w:p>
      <w:pPr>
        <w:pStyle w:val="ListParagraph"/>
        <w:numPr>
          <w:ilvl w:val="0"/>
          <w:numId w:val="14"/>
        </w:numPr>
        <w:spacing w:after="80"/>
      </w:pPr>
      <w:r>
        <w:t xml:space="preserve">Elija la </w:t>
      </w:r>
      <w:r>
        <w:rPr>
          <w:b/>
          <w:bCs/>
        </w:rPr>
        <w:t xml:space="preserve">Operación</w:t>
      </w:r>
      <w:r>
        <w:t xml:space="preserve"> y el rango </w:t>
      </w:r>
      <w:r>
        <w:rPr>
          <w:b/>
          <w:bCs/>
        </w:rPr>
        <w:t xml:space="preserve">Desde / Hasta</w:t>
      </w:r>
      <w:r>
        <w:t xml:space="preserve">.</w:t>
      </w:r>
    </w:p>
    <w:p>
      <w:pPr>
        <w:pStyle w:val="ListParagraph"/>
        <w:numPr>
          <w:ilvl w:val="0"/>
          <w:numId w:val="14"/>
        </w:numPr>
        <w:spacing w:after="80"/>
      </w:pPr>
      <w:r>
        <w:t xml:space="preserve">El asistente propone a los trabajadores. Quite o agregue los que correspondan.</w:t>
      </w:r>
    </w:p>
    <w:p>
      <w:pPr>
        <w:pStyle w:val="ListParagraph"/>
        <w:numPr>
          <w:ilvl w:val="0"/>
          <w:numId w:val="14"/>
        </w:numPr>
        <w:spacing w:after="80"/>
      </w:pPr>
      <w:r>
        <w:t xml:space="preserve">Pulse </w:t>
      </w:r>
      <w:r>
        <w:rPr>
          <w:b/>
          <w:bCs/>
        </w:rPr>
        <w:t xml:space="preserve">Generar archivos</w:t>
      </w:r>
      <w:r>
        <w:t xml:space="preserve">. El resumen dice cuántos se exportan y cuántos no, con el motivo de cada uno.</w:t>
      </w:r>
    </w:p>
    <w:p>
      <w:pPr>
        <w:pStyle w:val="ListParagraph"/>
        <w:numPr>
          <w:ilvl w:val="0"/>
          <w:numId w:val="14"/>
        </w:numPr>
        <w:spacing w:after="80"/>
      </w:pPr>
      <w:r>
        <w:t xml:space="preserve">Descargue el ZIP, valídelo en el </w:t>
      </w:r>
      <w:r>
        <w:rPr>
          <w:b/>
          <w:bCs/>
        </w:rPr>
        <w:t xml:space="preserve">PVS T-Registro</w:t>
      </w:r>
      <w:r>
        <w:t xml:space="preserve"> y súbalo a SOL desde el PVS.</w:t>
      </w:r>
    </w:p>
    <w:p>
      <w:pPr>
        <w:keepNext/>
        <w:spacing w:after="60" w:before="120"/>
        <w:jc w:val="center"/>
      </w:pPr>
      <w:r>
        <w:drawing>
          <wp:inline distT="0" distB="0" distL="0" distR="0">
            <wp:extent cx="5905500" cy="3324225"/>
            <wp:effectExtent t="0" r="0" b="0" l="0"/>
            <wp:docPr id="1" name="c29_01_altas_resultado" descr="Altas de octubre de 2026 (caso TREGISTRO): 4 exportados y 2 sin exportar; ide 4, tra 4, per 17, est 4, cta 2, edu 3." title="Altas de octubre de 2026 (caso TREGISTRO): 4 exportados y 2 sin exportar; ide 4, tra 4, per 17, est 4, cta 2, edu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122. </w:t>
      </w:r>
      <w:r>
        <w:rPr>
          <w:i/>
          <w:iCs/>
          <w:color w:val="555555"/>
          <w:sz w:val="18"/>
          <w:szCs w:val="18"/>
        </w:rPr>
        <w:t xml:space="preserve">Altas de octubre de 2026 (caso TREGISTRO): 4 exportados y 2 sin exportar; ide 4, tra 4, per 17, est 4, cta 2, edu 3.</w:t>
      </w:r>
    </w:p>
    <w:p>
      <w:pPr>
        <w:spacing w:after="120"/>
      </w:pPr>
      <w:r>
        <w:t xml:space="preserve">Antes de exportar, el asistente valida los datos que exige el PVS. Un trabajador incompleto </w:t>
      </w:r>
      <w:r>
        <w:rPr>
          <w:b/>
          <w:bCs/>
        </w:rPr>
        <w:t xml:space="preserve">no se exporta</w:t>
      </w:r>
      <w:r>
        <w:t xml:space="preserve"> y el resumen dice qué le falta y con qué regla del manual del PVS. Por ejemplo, 70000805: «falta el tipo de trabajador (Tabla 8) en el contrato · faltan los apellidos y los nombres separados (EPE1.4 a EPE1.6) · falta la fecha de nacimiento · falta el sexo · falta el celular (9 dígitos que empiece en 9; EPR1.65) · falta un correo personal válido · falta el domicilio…».</w:t>
      </w:r>
    </w:p>
    <w:p>
      <w:pPr>
        <w:spacing w:after="120"/>
      </w:pPr>
      <w:r>
        <w:t xml:space="preserve">Las bajas de octubre: un solo archivo </w:t>
      </w:r>
      <w:r>
        <w:rPr>
          <w:rFonts w:ascii="Consolas" w:cs="Consolas" w:eastAsia="Consolas" w:hAnsi="Consolas"/>
          <w:color w:val="444444"/>
          <w:sz w:val="20"/>
          <w:szCs w:val="20"/>
        </w:rPr>
        <w:t xml:space="preserve">RP_20603456786.per</w:t>
      </w:r>
      <w:r>
        <w:t xml:space="preserve"> con </w:t>
      </w:r>
      <w:r>
        <w:rPr>
          <w:rFonts w:ascii="Consolas" w:cs="Consolas" w:eastAsia="Consolas" w:hAnsi="Consolas"/>
          <w:color w:val="444444"/>
          <w:sz w:val="20"/>
          <w:szCs w:val="20"/>
        </w:rPr>
        <w:t xml:space="preserve">01|70001505||1|1||15/10/2026|01||</w:t>
      </w:r>
      <w:r>
        <w:t xml:space="preserve">, es decir, fin del periodo y motivo de baja 01.</w:t>
      </w:r>
    </w:p>
    <w:p>
      <w:pPr>
        <w:pStyle w:val="Heading2"/>
      </w:pPr>
      <w:bookmarkStart w:name="t93" w:id="1"/>
      <w:r>
        <w:t xml:space="preserve">29.2 Modificaciones</w:t>
      </w:r>
      <w:bookmarkEnd w:id="1"/>
    </w:p>
    <w:p>
      <w:pPr>
        <w:spacing w:after="120"/>
      </w:pPr>
      <w:r>
        <w:t xml:space="preserve">Elija </w:t>
      </w:r>
      <w:r>
        <w:rPr>
          <w:b/>
          <w:bCs/>
        </w:rPr>
        <w:t xml:space="preserve">Qué se modifica</w:t>
      </w:r>
      <w:r>
        <w:t xml:space="preserve"> y la </w:t>
      </w:r>
      <w:r>
        <w:rPr>
          <w:b/>
          <w:bCs/>
        </w:rPr>
        <w:t xml:space="preserve">Fecha del cambio</w:t>
      </w:r>
      <w:r>
        <w:t xml:space="preserve">: el valor anterior se cierra el día previo y el nuevo rige desde esa fecha. El tipo de trabajador y los datos del contrato se proponen solos (los trabajadores con una versión del contrato que empieza en esa fecha y cambia el dato); en los demás conceptos se eligen los trabajadores.</w:t>
      </w:r>
    </w:p>
    <w:p>
      <w:pPr>
        <w:keepNext/>
        <w:spacing w:after="60" w:before="120"/>
        <w:jc w:val="center"/>
      </w:pPr>
      <w:r>
        <w:drawing>
          <wp:inline distT="0" distB="0" distL="0" distR="0">
            <wp:extent cx="5905500" cy="3324225"/>
            <wp:effectExtent t="0" r="0" b="0" l="0"/>
            <wp:docPr id="1" name="c29_03_modificacion_resultado" descr="Modificación del tipo de trabajador con fecha del cambio 16/10/2026: 70001508 propuesto y 2 líneas en el `.per`." title="Modificación del tipo de trabajador con fecha del cambio 16/10/2026: 70001508 propuesto y 2 líneas en el `.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123. </w:t>
      </w:r>
      <w:r>
        <w:rPr>
          <w:i/>
          <w:iCs/>
          <w:color w:val="555555"/>
          <w:sz w:val="18"/>
          <w:szCs w:val="18"/>
        </w:rPr>
        <w:t xml:space="preserve">Modificación del tipo de trabajador con fecha del cambio 16/10/2026: 70001508 propuesto y 2 líneas en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Concepto</w:t>
            </w:r>
          </w:p>
        </w:tc>
        <w:tc>
          <w:tcPr>
            <w:tcW w:type="dxa" w:w="64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Archivos (caso TREGISTRO, 16/10/2026)</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Tipo de trabajador</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.per</w:t>
            </w:r>
            <w:r>
              <w:rPr>
                <w:sz w:val="19"/>
                <w:szCs w:val="19"/>
              </w:rPr>
              <w:t xml:space="preserve"> 2: </w:t>
            </w:r>
            <w:r>
              <w:rPr>
                <w:rFonts w:ascii="Consolas" w:cs="Consolas" w:eastAsia="Consolas" w:hAnsi="Consolas"/>
                <w:color w:val="444444"/>
                <w:sz w:val="20"/>
                <w:szCs w:val="20"/>
              </w:rPr>
              <w:t xml:space="preserve">01|70001508||1|2||15/10/2026|||</w:t>
            </w:r>
            <w:r>
              <w:rPr>
                <w:sz w:val="19"/>
                <w:szCs w:val="19"/>
              </w:rPr>
              <w:t xml:space="preserve"> y </w:t>
            </w:r>
            <w:r>
              <w:rPr>
                <w:rFonts w:ascii="Consolas" w:cs="Consolas" w:eastAsia="Consolas" w:hAnsi="Consolas"/>
                <w:color w:val="444444"/>
                <w:sz w:val="20"/>
                <w:szCs w:val="20"/>
              </w:rPr>
              <w:t xml:space="preserve">01|70001508||1|2|16/10/2026||21||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Datos del contrato</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.tra</w:t>
            </w:r>
            <w:r>
              <w:rPr>
                <w:sz w:val="19"/>
                <w:szCs w:val="19"/>
              </w:rPr>
              <w:t xml:space="preserve"> 1 (solo los campos que cambian), </w:t>
            </w:r>
            <w:r>
              <w:rPr>
                <w:rFonts w:ascii="Consolas" w:cs="Consolas" w:eastAsia="Consolas" w:hAnsi="Consolas"/>
                <w:color w:val="444444"/>
                <w:sz w:val="20"/>
                <w:szCs w:val="20"/>
              </w:rPr>
              <w:t xml:space="preserve">.per</w:t>
            </w:r>
            <w:r>
              <w:rPr>
                <w:sz w:val="19"/>
                <w:szCs w:val="19"/>
              </w:rPr>
              <w:t xml:space="preserve"> 1, </w:t>
            </w:r>
            <w:r>
              <w:rPr>
                <w:rFonts w:ascii="Consolas" w:cs="Consolas" w:eastAsia="Consolas" w:hAnsi="Consolas"/>
                <w:color w:val="444444"/>
                <w:sz w:val="20"/>
                <w:szCs w:val="20"/>
              </w:rPr>
              <w:t xml:space="preserve">.cta</w:t>
            </w:r>
            <w:r>
              <w:rPr>
                <w:sz w:val="19"/>
                <w:szCs w:val="19"/>
              </w:rPr>
              <w:t xml:space="preserve"> 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Cuenta de abono</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.per</w:t>
            </w:r>
            <w:r>
              <w:rPr>
                <w:sz w:val="19"/>
                <w:szCs w:val="19"/>
              </w:rPr>
              <w:t xml:space="preserve"> 1 y </w:t>
            </w:r>
            <w:r>
              <w:rPr>
                <w:rFonts w:ascii="Consolas" w:cs="Consolas" w:eastAsia="Consolas" w:hAnsi="Consolas"/>
                <w:color w:val="444444"/>
                <w:sz w:val="20"/>
                <w:szCs w:val="20"/>
              </w:rPr>
              <w:t xml:space="preserve">.cta</w:t>
            </w:r>
            <w:r>
              <w:rPr>
                <w:sz w:val="19"/>
                <w:szCs w:val="19"/>
              </w:rPr>
              <w:t xml:space="preserve"> 1 (</w:t>
            </w:r>
            <w:r>
              <w:rPr>
                <w:rFonts w:ascii="Consolas" w:cs="Consolas" w:eastAsia="Consolas" w:hAnsi="Consolas"/>
                <w:color w:val="444444"/>
                <w:sz w:val="20"/>
                <w:szCs w:val="20"/>
              </w:rPr>
              <w:t xml:space="preserve">…|002|19187654321098|</w:t>
            </w:r>
            <w:r>
              <w:rPr>
                <w:sz w:val="19"/>
                <w:szCs w:val="19"/>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Régimen pensionario</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.per</w:t>
            </w:r>
            <w:r>
              <w:rPr>
                <w:sz w:val="19"/>
                <w:szCs w:val="19"/>
              </w:rPr>
              <w:t xml:space="preserve"> 3 (tipo de trabajador, cierre el 15/10 y nuevo régimen desde el 16/10) y </w:t>
            </w:r>
            <w:r>
              <w:rPr>
                <w:rFonts w:ascii="Consolas" w:cs="Consolas" w:eastAsia="Consolas" w:hAnsi="Consolas"/>
                <w:color w:val="444444"/>
                <w:sz w:val="20"/>
                <w:szCs w:val="20"/>
              </w:rPr>
              <w:t xml:space="preserve">.tra</w:t>
            </w:r>
            <w:r>
              <w:rPr>
                <w:sz w:val="19"/>
                <w:szCs w:val="19"/>
              </w:rPr>
              <w:t xml:space="preserve"> con el CUSPP</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Régimen de salud / EPS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.per</w:t>
            </w:r>
            <w:r>
              <w:rPr>
                <w:sz w:val="19"/>
                <w:szCs w:val="19"/>
              </w:rPr>
              <w:t xml:space="preserve"> 3; el último </w:t>
            </w:r>
            <w:r>
              <w:rPr>
                <w:rFonts w:ascii="Consolas" w:cs="Consolas" w:eastAsia="Consolas" w:hAnsi="Consolas"/>
                <w:color w:val="444444"/>
                <w:sz w:val="20"/>
                <w:szCs w:val="20"/>
              </w:rPr>
              <w:t xml:space="preserve">…|1|3|16/10/2026||01|2|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SCTR salud (Alta, Baja o Cambio de entidad)</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.per</w:t>
            </w:r>
            <w:r>
              <w:rPr>
                <w:sz w:val="19"/>
                <w:szCs w:val="19"/>
              </w:rPr>
              <w:t xml:space="preserve"> 2; el segundo </w:t>
            </w:r>
            <w:r>
              <w:rPr>
                <w:rFonts w:ascii="Consolas" w:cs="Consolas" w:eastAsia="Consolas" w:hAnsi="Consolas"/>
                <w:color w:val="444444"/>
                <w:sz w:val="20"/>
                <w:szCs w:val="20"/>
              </w:rPr>
              <w:t xml:space="preserve">…|1|5|16/10/2026||1||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Establecimiento adicional</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.est</w:t>
            </w:r>
            <w:r>
              <w:rPr>
                <w:sz w:val="19"/>
                <w:szCs w:val="19"/>
              </w:rPr>
              <w:t xml:space="preserve"> 1 (</w:t>
            </w:r>
            <w:r>
              <w:rPr>
                <w:rFonts w:ascii="Consolas" w:cs="Consolas" w:eastAsia="Consolas" w:hAnsi="Consolas"/>
                <w:color w:val="444444"/>
                <w:sz w:val="20"/>
                <w:szCs w:val="20"/>
              </w:rPr>
              <w:t xml:space="preserve">…|20603456786|0001|</w:t>
            </w:r>
            <w:r>
              <w:rPr>
                <w:sz w:val="19"/>
                <w:szCs w:val="19"/>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Situación educativa y estudios</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.tra</w:t>
            </w:r>
            <w:r>
              <w:rPr>
                <w:sz w:val="19"/>
                <w:szCs w:val="19"/>
              </w:rPr>
              <w:t xml:space="preserve"> 1, </w:t>
            </w:r>
            <w:r>
              <w:rPr>
                <w:rFonts w:ascii="Consolas" w:cs="Consolas" w:eastAsia="Consolas" w:hAnsi="Consolas"/>
                <w:color w:val="444444"/>
                <w:sz w:val="20"/>
                <w:szCs w:val="20"/>
              </w:rPr>
              <w:t xml:space="preserve">.per</w:t>
            </w:r>
            <w:r>
              <w:rPr>
                <w:sz w:val="19"/>
                <w:szCs w:val="19"/>
              </w:rPr>
              <w:t xml:space="preserve"> 1 y </w:t>
            </w:r>
            <w:r>
              <w:rPr>
                <w:rFonts w:ascii="Consolas" w:cs="Consolas" w:eastAsia="Consolas" w:hAnsi="Consolas"/>
                <w:color w:val="444444"/>
                <w:sz w:val="20"/>
                <w:szCs w:val="20"/>
              </w:rPr>
              <w:t xml:space="preserve">.edu</w:t>
            </w:r>
            <w:r>
              <w:rPr>
                <w:sz w:val="19"/>
                <w:szCs w:val="19"/>
              </w:rPr>
              <w:t xml:space="preserve"> 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Celular, correo y domicilio</w:t>
            </w:r>
          </w:p>
        </w:tc>
        <w:tc>
          <w:tcPr>
            <w:tcW w:type="dxa" w:w="64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444444"/>
                <w:sz w:val="20"/>
                <w:szCs w:val="20"/>
              </w:rPr>
              <w:t xml:space="preserve">.ide</w:t>
            </w:r>
            <w:r>
              <w:rPr>
                <w:sz w:val="19"/>
                <w:szCs w:val="19"/>
              </w:rPr>
              <w:t xml:space="preserve"> 1 (41 campos, sin nombres ni sexo)</w:t>
            </w:r>
          </w:p>
        </w:tc>
      </w:tr>
    </w:tbl>
    <w:p>
      <w:pPr>
        <w:pStyle w:val="Heading2"/>
      </w:pPr>
      <w:bookmarkStart w:name="t94" w:id="1"/>
      <w:r>
        <w:t xml:space="preserve">29.3 Derechohabientes</w:t>
      </w:r>
      <w:bookmarkEnd w:id="1"/>
    </w:p>
    <w:p>
      <w:pPr>
        <w:spacing w:after="120"/>
      </w:pPr>
      <w:r>
        <w:t xml:space="preserve">El registro de derechohabientes toma de la ficha (capítulo 8) el documento, los apellidos y nombres, el vínculo de la </w:t>
      </w:r>
      <w:r>
        <w:rPr>
          <w:b/>
          <w:bCs/>
        </w:rPr>
        <w:t xml:space="preserve">Tabla 19</w:t>
      </w:r>
      <w:r>
        <w:t xml:space="preserve">, la fecha de alta y el domicilio </w:t>
      </w:r>
      <w:r>
        <w:rPr>
          <w:b/>
          <w:bCs/>
        </w:rPr>
        <w:t xml:space="preserve">del titular</w:t>
      </w:r>
      <w:r>
        <w:t xml:space="preserve">. Exporta solo a quien tiene derecho: un hijo mayor de edad sin incapacidad permanente </w:t>
      </w:r>
      <w:r>
        <w:rPr>
          <w:b/>
          <w:bCs/>
        </w:rPr>
        <w:t xml:space="preserve">no se exporta</w:t>
      </w:r>
      <w:r>
        <w:t xml:space="preserve">.</w:t>
      </w:r>
    </w:p>
    <w:p>
      <w:pPr>
        <w:keepNext/>
        <w:spacing w:after="60" w:before="120"/>
        <w:jc w:val="center"/>
      </w:pPr>
      <w:r>
        <w:drawing>
          <wp:inline distT="0" distB="0" distL="0" distR="0">
            <wp:extent cx="5905500" cy="3324225"/>
            <wp:effectExtent t="0" r="0" b="0" l="0"/>
            <wp:docPr id="1" name="c29_04_dh_altas_resultado" descr="Altas de derechohabientes de octubre de 2026: 4 exportados en RD_20603456786_22102026_ALTA.TXT y 5 sin exportar (hijos de otros casos sin documento ni apellidos separados)." title="Altas de derechohabientes de octubre de 2026: 4 exportados en RD_20603456786_22102026_ALTA.TXT y 5 sin exportar (hijos de otros casos sin documento ni apellidos sepa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b/>
          <w:bCs/>
          <w:color w:val="714B67"/>
          <w:sz w:val="18"/>
          <w:szCs w:val="18"/>
        </w:rPr>
        <w:t xml:space="preserve">Figura 124. </w:t>
      </w:r>
      <w:r>
        <w:rPr>
          <w:i/>
          <w:iCs/>
          <w:color w:val="555555"/>
          <w:sz w:val="18"/>
          <w:szCs w:val="18"/>
        </w:rPr>
        <w:t xml:space="preserve">Altas de derechohabientes de octubre de 2026: 4 exportados en RD_20603456786_22102026_ALTA.TXT y 5 sin exportar (hijos de otros casos sin documento ni apellidos separados).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tblHeader/>
        </w:trPr>
        <w:tc>
          <w:tcPr>
            <w:tcW w:type="dxa" w:w="4600"/>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Derechohabiente (caso TREGISTRO)</w:t>
            </w:r>
          </w:p>
        </w:tc>
        <w:tc>
          <w:tcPr>
            <w:tcW w:type="dxa" w:w="5038"/>
            <w:tcBorders>
              <w:top w:val="single" w:color="BFBFBF" w:sz="4"/>
              <w:left w:val="single" w:color="BFBFBF" w:sz="4"/>
              <w:bottom w:val="single" w:color="BFBFBF" w:sz="4"/>
              <w:right w:val="single" w:color="BFBFBF" w:sz="4"/>
            </w:tcBorders>
            <w:shd w:fill="714B67" w:color="auto" w:val="clear"/>
            <w:tcMar>
              <w:top w:type="dxa" w:w="60"/>
              <w:left w:type="dxa" w:w="100"/>
              <w:bottom w:type="dxa" w:w="60"/>
              <w:right w:type="dxa" w:w="100"/>
            </w:tcMar>
          </w:tcPr>
          <w:p>
            <w:r>
              <w:rPr>
                <w:b/>
                <w:bCs/>
                <w:color w:val="FFFFFF"/>
                <w:sz w:val="19"/>
                <w:szCs w:val="19"/>
              </w:rPr>
              <w:t xml:space="preserve">Resultado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78001502 (hijo) y 40001502 (cónyuge) del titular 70001502</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Exportados</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CD7654321, pasaporte con país 862, del titular 001234567</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Exportado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78001501 (hijo) del titular 70001501</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Exportado</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71001502, hijo de 19 años</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SE EXPORTA: hijo mayor de edad sin incapacidad permanente»</w:t>
            </w:r>
          </w:p>
        </w:tc>
      </w:tr>
      <w:t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40001510, cónyuge con baja el 15/10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 va en el alta; va en la </w:t>
            </w:r>
            <w:r>
              <w:rPr>
                <w:b/>
                <w:bCs/>
                <w:sz w:val="19"/>
                <w:szCs w:val="19"/>
              </w:rPr>
              <w:t xml:space="preserve">baja</w:t>
            </w:r>
            <w:r>
              <w:rPr>
                <w:sz w:val="19"/>
                <w:szCs w:val="19"/>
              </w:rPr>
              <w:t xml:space="preserve">: </w:t>
            </w:r>
            <w:r>
              <w:rPr>
                <w:rFonts w:ascii="Consolas" w:cs="Consolas" w:eastAsia="Consolas" w:hAnsi="Consolas"/>
                <w:color w:val="444444"/>
                <w:sz w:val="20"/>
                <w:szCs w:val="20"/>
              </w:rPr>
              <w:t xml:space="preserve">01|70001510|01|40001510||04/04/1990|MENDOZA|SILVA|CARMEN|02|15/10/2026|04</w:t>
            </w:r>
          </w:p>
        </w:tc>
      </w:tr>
    </w:tbl>
    <w:p>
      <w:pPr>
        <w:pBdr>
          <w:left w:val="single" w:color="E08A1E" w:sz="18" w:space="8"/>
        </w:pBdr>
        <w:shd w:fill="FDF2E6" w:color="auto" w:val="clear"/>
        <w:spacing w:after="160" w:before="120"/>
        <w:ind w:left="120" w:right="120"/>
      </w:pPr>
      <w:r>
        <w:rPr>
          <w:b/>
          <w:bCs/>
          <w:color w:val="E08A1E"/>
        </w:rPr>
        <w:t xml:space="preserve">Importante: </w:t>
      </w:r>
      <w:r>
        <w:t xml:space="preserve">Cada línea del TXT de altas tiene </w:t>
      </w:r>
      <w:r>
        <w:rPr>
          <w:b/>
          <w:bCs/>
        </w:rPr>
        <w:t xml:space="preserve">46 campos</w:t>
      </w:r>
      <w:r>
        <w:t xml:space="preserve"> (45 separadores; el último campo va vacío). Los TXT de derechohabientes </w:t>
      </w:r>
      <w:r>
        <w:rPr>
          <w:b/>
          <w:bCs/>
        </w:rPr>
        <w:t xml:space="preserve">no pasan por el PVS</w:t>
      </w:r>
      <w:r>
        <w:t xml:space="preserve">: se suben en SOL (Mi RUC y Otros Registros › T-Registro › Registro de Derechohabientes › Carga masiva). No los suba con datos del laboratorio: una carga en SOL es un registro real.</w:t>
      </w:r>
    </w:p>
    <w:p>
      <w:pPr>
        <w:pBdr>
          <w:left w:val="single" w:color="3C8D40" w:sz="18" w:space="8"/>
        </w:pBdr>
        <w:shd w:fill="EEF7EE" w:color="auto" w:val="clear"/>
        <w:spacing w:after="160" w:before="120"/>
        <w:ind w:left="120" w:right="120"/>
      </w:pPr>
      <w:r>
        <w:rPr>
          <w:b/>
          <w:bCs/>
          <w:color w:val="3C8D40"/>
        </w:rPr>
        <w:t xml:space="preserve">Compruébelo con el laboratorio: </w:t>
      </w:r>
      <w:r>
        <w:t xml:space="preserve">Caso TREGISTRO (262 celdas): altas, bajas, las 9 modificaciones y los derechohabientes. Las cifras de esta sección son las de la re-medición del lote 11 (22/10/2026).</w:t>
      </w:r>
    </w:p>
    <w:p>
      <w:pPr>
        <w:pBdr>
          <w:left w:val="single" w:color="B23B3B" w:sz="18" w:space="8"/>
        </w:pBdr>
        <w:shd w:fill="F7EEEE" w:color="auto" w:val="clear"/>
        <w:spacing w:after="160" w:before="120"/>
        <w:ind w:left="120" w:right="120"/>
      </w:pPr>
      <w:r>
        <w:rPr>
          <w:b/>
          <w:bCs/>
          <w:color w:val="B23B3B"/>
        </w:rPr>
        <w:t xml:space="preserve">Límite: </w:t>
      </w:r>
      <w:r>
        <w:t xml:space="preserve">No cubre pensionistas, personal en formación, personal de terceros, el domicilio 2, borrar valores (por ejemplo el CUSPP al volver a la ONP) ni quitar establecimientos; tampoco la modificación masiva de derechohabientes. La prueba en el PVS v2.22 la hace el implementador con su versión del PVS (capítulo 31).</w:t>
      </w:r>
    </w:p>
    <w:p>
      <w:pPr>
        <w:pBdr>
          <w:top w:val="single" w:color="BFBFBF" w:sz="4" w:space="4"/>
        </w:pBdr>
        <w:spacing w:before="240"/>
      </w:pPr>
      <w:r>
        <w:rPr>
          <w:color w:val="777777"/>
          <w:sz w:val="16"/>
          <w:szCs w:val="16"/>
        </w:rPr>
        <w:t xml:space="preserve">Versiones mostradas: ce 19.0.1.27.1 · ce_demo 19.0.2.25.1.</w:t>
      </w:r>
      <w:r>
        <w:rPr>
          <w:color w:val="777777"/>
          <w:sz w:val="16"/>
          <w:szCs w:val="16"/>
        </w:rPr>
        <w:t xml:space="preserve">  Ítems de la versión 2: N-02, U-04.</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Manual de Nómina Peruana · Odoo 19 Community · versión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714B67"/>
      <w:sz w:val="36"/>
      <w:szCs w:val="36"/>
    </w:rPr>
  </w:style>
  <w:style w:type="paragraph" w:styleId="Heading2">
    <w:name w:val="Heading 2"/>
    <w:basedOn w:val="Normal"/>
    <w:next w:val="Normal"/>
    <w:qFormat/>
    <w:pPr>
      <w:spacing w:after="140" w:before="280"/>
      <w:outlineLvl w:val="1"/>
    </w:pPr>
    <w:rPr>
      <w:b/>
      <w:bCs/>
      <w:color w:val="333333"/>
      <w:sz w:val="28"/>
      <w:szCs w:val="28"/>
    </w:rPr>
  </w:style>
  <w:style w:type="paragraph" w:styleId="Heading3">
    <w:name w:val="Heading 3"/>
    <w:basedOn w:val="Normal"/>
    <w:next w:val="Normal"/>
    <w:qFormat/>
    <w:pPr>
      <w:spacing w:after="100" w:before="200"/>
      <w:outlineLvl w:val="2"/>
    </w:pPr>
    <w:rPr>
      <w:b/>
      <w:bCs/>
      <w:color w:val="714B6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33c988af4c53cc94fa942539e0378e41e405f3.png"/><Relationship Id="rId10" Type="http://schemas.openxmlformats.org/officeDocument/2006/relationships/image" Target="media/a27c0f8881538836af4168ecc9529bee3e7a26b3.png"/><Relationship Id="rId11" Type="http://schemas.openxmlformats.org/officeDocument/2006/relationships/image" Target="media/a37ddaa9682d1ae69c286915d269a9d2214ff8f4.png"/><Relationship Id="rId12" Type="http://schemas.openxmlformats.org/officeDocument/2006/relationships/image" Target="media/00feb5593f1996b76d14e3ff3c7e612a40e43aa9.png"/><Relationship Id="rId13" Type="http://schemas.openxmlformats.org/officeDocument/2006/relationships/image" Target="media/659f4b01d72ff01273f15520c6d1dd20c9883942.png"/><Relationship Id="rId14" Type="http://schemas.openxmlformats.org/officeDocument/2006/relationships/image" Target="media/c5e8661bf811e875dbdd86a21b332241269d654e.png"/><Relationship Id="rId15" Type="http://schemas.openxmlformats.org/officeDocument/2006/relationships/image" Target="media/0ccc46a921b13950197e88241e2c0d48d9ad5d49.png"/><Relationship Id="rId16" Type="http://schemas.openxmlformats.org/officeDocument/2006/relationships/image" Target="media/1a7f1668c9a2873f187da5c5e818d816fa82dee6.png"/><Relationship Id="rId17" Type="http://schemas.openxmlformats.org/officeDocument/2006/relationships/image" Target="media/7c1a8eb8f53e9aedd225566d1ae347b014e5d930.png"/><Relationship Id="rId18" Type="http://schemas.openxmlformats.org/officeDocument/2006/relationships/image" Target="media/9da4845c99a8ba53a10a3bd6a123fefabbc306a2.png"/><Relationship Id="rId19" Type="http://schemas.openxmlformats.org/officeDocument/2006/relationships/image" Target="media/ca2e460ddf9e0488c81ebe3bc75ae39ec0adc846.png"/><Relationship Id="rId20" Type="http://schemas.openxmlformats.org/officeDocument/2006/relationships/image" Target="media/091d5cbf6c8b61280cd43b7f5d6b2955ee74bbf6.png"/><Relationship Id="rId21" Type="http://schemas.openxmlformats.org/officeDocument/2006/relationships/image" Target="media/68694a8f201da5606fa6e63047de22b5b73bb859.png"/><Relationship Id="rId22" Type="http://schemas.openxmlformats.org/officeDocument/2006/relationships/image" Target="media/cfa419ff264bb649e9774c0f92040c2fca8cc528.png"/><Relationship Id="rId23" Type="http://schemas.openxmlformats.org/officeDocument/2006/relationships/image" Target="media/9b18337c695e7e4a7febb3ffb19171baf2e9992e.png"/><Relationship Id="rId24" Type="http://schemas.openxmlformats.org/officeDocument/2006/relationships/image" Target="media/065aee4a45c9f7cef743dcd289c6a88beed3c804.png"/><Relationship Id="rId25" Type="http://schemas.openxmlformats.org/officeDocument/2006/relationships/image" Target="media/bc1e056555716111d1f3d3c932c58e558ba61e56.png"/><Relationship Id="rId26" Type="http://schemas.openxmlformats.org/officeDocument/2006/relationships/image" Target="media/196042b399f85f159faa0cf5c7c02a6ba5a95d16.png"/><Relationship Id="rId27" Type="http://schemas.openxmlformats.org/officeDocument/2006/relationships/image" Target="media/ea7556b28033a504fda30863295da9c23dd6382b.png"/><Relationship Id="rId28" Type="http://schemas.openxmlformats.org/officeDocument/2006/relationships/image" Target="media/861a38c65e34989b67f9785ec87d2cef70ee9e47.png"/><Relationship Id="rId29" Type="http://schemas.openxmlformats.org/officeDocument/2006/relationships/image" Target="media/efa93857250d0ef13b5d812353df9b9877ab6e73.png"/><Relationship Id="rId30" Type="http://schemas.openxmlformats.org/officeDocument/2006/relationships/image" Target="media/0d5766cd67af216c609fe41fb6bb56a8dcd45ce6.png"/><Relationship Id="rId31" Type="http://schemas.openxmlformats.org/officeDocument/2006/relationships/image" Target="media/4a397cb186864d466d60356d648e3139c36a66d4.png"/><Relationship Id="rId32" Type="http://schemas.openxmlformats.org/officeDocument/2006/relationships/image" Target="media/820370e09ac4a6873a35906e5b9ba65b3850a25f.png"/><Relationship Id="rId33" Type="http://schemas.openxmlformats.org/officeDocument/2006/relationships/image" Target="media/8bf13e779b6f2edff94c077899e777f7180d932a.png"/><Relationship Id="rId34" Type="http://schemas.openxmlformats.org/officeDocument/2006/relationships/image" Target="media/61a53c5167eb621463d53bbc5c29c19a921df100.png"/><Relationship Id="rId35" Type="http://schemas.openxmlformats.org/officeDocument/2006/relationships/image" Target="media/6579b6f777968eda68ae13b67ce5202dcec2717c.png"/><Relationship Id="rId36" Type="http://schemas.openxmlformats.org/officeDocument/2006/relationships/image" Target="media/68c31e710640236573f82faed19262a55ee67001.png"/><Relationship Id="rId37" Type="http://schemas.openxmlformats.org/officeDocument/2006/relationships/image" Target="media/9eab0c8886c8bfee68338b41336778ef9a324394.png"/><Relationship Id="rId38" Type="http://schemas.openxmlformats.org/officeDocument/2006/relationships/image" Target="media/5e55c20394e61d82850ed3995d31cef41f772344.png"/><Relationship Id="rId39" Type="http://schemas.openxmlformats.org/officeDocument/2006/relationships/image" Target="media/fd08d129681f39a770086369f8c6d2c34796b138.png"/><Relationship Id="rId40" Type="http://schemas.openxmlformats.org/officeDocument/2006/relationships/image" Target="media/07bac71d5352a9a480114af35898ee568c8b6e43.png"/><Relationship Id="rId41" Type="http://schemas.openxmlformats.org/officeDocument/2006/relationships/image" Target="media/786478bb3bc55b92f710c39213f0efb976b005a9.png"/><Relationship Id="rId42" Type="http://schemas.openxmlformats.org/officeDocument/2006/relationships/image" Target="media/46b025630023275ccbd14bbe991e3a33b0062dec.png"/><Relationship Id="rId43" Type="http://schemas.openxmlformats.org/officeDocument/2006/relationships/image" Target="media/ec0cf9d6c27ef1bf04c8f3e16ea619b655c28e7d.png"/><Relationship Id="rId44" Type="http://schemas.openxmlformats.org/officeDocument/2006/relationships/image" Target="media/3769de773bbeaa510992b143185b08a26a8d0992.png"/><Relationship Id="rId45" Type="http://schemas.openxmlformats.org/officeDocument/2006/relationships/image" Target="media/52e1a3b730e82d287df0f465a9470791670625ff.png"/><Relationship Id="rId46" Type="http://schemas.openxmlformats.org/officeDocument/2006/relationships/image" Target="media/836ffe11aaaa54f685a583543b3e8efe5da501ec.png"/><Relationship Id="rId47" Type="http://schemas.openxmlformats.org/officeDocument/2006/relationships/image" Target="media/80f4bc8e203ce4c9a42ddad078d878562a313966.png"/><Relationship Id="rId48" Type="http://schemas.openxmlformats.org/officeDocument/2006/relationships/image" Target="media/94be01dca911cc4d2d622ad20158eed3d57dbbf5.png"/><Relationship Id="rId49" Type="http://schemas.openxmlformats.org/officeDocument/2006/relationships/image" Target="media/376da8acc32eadbfc09ca5f5947898d2df41d2c5.png"/><Relationship Id="rId50" Type="http://schemas.openxmlformats.org/officeDocument/2006/relationships/image" Target="media/8237f8ff1467491c7140c4b191afe0f2caa0a6af.png"/><Relationship Id="rId51" Type="http://schemas.openxmlformats.org/officeDocument/2006/relationships/image" Target="media/125be07d2613078d022587a536e094e212fb1f32.png"/><Relationship Id="rId52" Type="http://schemas.openxmlformats.org/officeDocument/2006/relationships/image" Target="media/9f288e9a84103b9691ca21a5117979556479fadd.png"/><Relationship Id="rId53" Type="http://schemas.openxmlformats.org/officeDocument/2006/relationships/image" Target="media/035cf972d048b147160b0df96320cd111fbf8fc5.png"/><Relationship Id="rId54" Type="http://schemas.openxmlformats.org/officeDocument/2006/relationships/image" Target="media/e18c137c0c7cb4b32a8174791d3e6646741a4edf.png"/><Relationship Id="rId55" Type="http://schemas.openxmlformats.org/officeDocument/2006/relationships/image" Target="media/027f634f1d9944315f2151a36059548924311672.png"/><Relationship Id="rId56" Type="http://schemas.openxmlformats.org/officeDocument/2006/relationships/image" Target="media/8ca4e8bf68fe292a61cec3a9736742516b87139b.png"/><Relationship Id="rId57" Type="http://schemas.openxmlformats.org/officeDocument/2006/relationships/image" Target="media/29d0564bc599850da7caa0d46dde71ae22e58f62.png"/><Relationship Id="rId58" Type="http://schemas.openxmlformats.org/officeDocument/2006/relationships/image" Target="media/710b3d82c9cac68b19c109a06d640abcac70bcaf.png"/><Relationship Id="rId59" Type="http://schemas.openxmlformats.org/officeDocument/2006/relationships/image" Target="media/2370349934df1671b7eca61769d099e423fb903c.png"/><Relationship Id="rId60" Type="http://schemas.openxmlformats.org/officeDocument/2006/relationships/image" Target="media/36a980541371bb51eb7cff12948e71ffc9f206a2.png"/><Relationship Id="rId61" Type="http://schemas.openxmlformats.org/officeDocument/2006/relationships/image" Target="media/d1eee74ddbe7994b5563c0bdf5ba41f91e0ba7be.png"/><Relationship Id="rId62" Type="http://schemas.openxmlformats.org/officeDocument/2006/relationships/image" Target="media/d19e7363e05d1e891154cbfbf24d0e1ad418013e.png"/><Relationship Id="rId63" Type="http://schemas.openxmlformats.org/officeDocument/2006/relationships/image" Target="media/7ec4176f8f6fdd16c857abc88d7daf28e37e0d96.png"/><Relationship Id="rId64" Type="http://schemas.openxmlformats.org/officeDocument/2006/relationships/image" Target="media/f24a7840a05cb558c25cfba8ce455c0d3c18b57b.png"/><Relationship Id="rId65" Type="http://schemas.openxmlformats.org/officeDocument/2006/relationships/image" Target="media/5900a5059b9a215360390d27ab4d80b86e1a27af.png"/><Relationship Id="rId66" Type="http://schemas.openxmlformats.org/officeDocument/2006/relationships/image" Target="media/d5c32dbc42ba5f9a9dfdb9555ec345d8a188f5fa.png"/><Relationship Id="rId67" Type="http://schemas.openxmlformats.org/officeDocument/2006/relationships/image" Target="media/4951d5ecd3c6ef3da2b3fb2c67d6975fba005c91.png"/><Relationship Id="rId68" Type="http://schemas.openxmlformats.org/officeDocument/2006/relationships/image" Target="media/0231b42ce32c0f22ec5fc1da2bc5dab82e094263.png"/><Relationship Id="rId69" Type="http://schemas.openxmlformats.org/officeDocument/2006/relationships/image" Target="media/4b63b58f3af610bd9e000ed637a10ffcbb6b3320.png"/><Relationship Id="rId70" Type="http://schemas.openxmlformats.org/officeDocument/2006/relationships/image" Target="media/b9509291c7c668541613ba2f8b14f9f65241f4bf.png"/><Relationship Id="rId71" Type="http://schemas.openxmlformats.org/officeDocument/2006/relationships/image" Target="media/41d8d77efacc9cf1e5fb6d6ffe9181c812118bf8.png"/><Relationship Id="rId72" Type="http://schemas.openxmlformats.org/officeDocument/2006/relationships/image" Target="media/2159a34def87af6e2aa3adc4066fd8ec55940a72.png"/><Relationship Id="rId73" Type="http://schemas.openxmlformats.org/officeDocument/2006/relationships/image" Target="media/9e661a563e6f47e4a61a731afcaaeb2cc4fa6287.png"/><Relationship Id="rId74" Type="http://schemas.openxmlformats.org/officeDocument/2006/relationships/image" Target="media/b51179e1edbaebfb8143a3abd8d9025235bd8605.png"/><Relationship Id="rId75" Type="http://schemas.openxmlformats.org/officeDocument/2006/relationships/image" Target="media/f0feacc0f5133798368f0bcb17230e9fc14419bc.png"/><Relationship Id="rId76" Type="http://schemas.openxmlformats.org/officeDocument/2006/relationships/image" Target="media/cb4e9ebb26933c7eeda2c0cdbbe4f4c037fa59f4.png"/><Relationship Id="rId77" Type="http://schemas.openxmlformats.org/officeDocument/2006/relationships/image" Target="media/4d6bec80e41149bda0e8697d34a50801bae209d6.png"/><Relationship Id="rId78" Type="http://schemas.openxmlformats.org/officeDocument/2006/relationships/image" Target="media/d3b9436aa83c0fb8509e571f221a8d8edfa2f456.png"/><Relationship Id="rId79" Type="http://schemas.openxmlformats.org/officeDocument/2006/relationships/image" Target="media/d5bb75d52c7e0b01f50f501db9bb522b13610861.png"/><Relationship Id="rId80" Type="http://schemas.openxmlformats.org/officeDocument/2006/relationships/image" Target="media/e1ad5a562b3600f71ab39cc7701ca9a5814b8321.png"/><Relationship Id="rId81" Type="http://schemas.openxmlformats.org/officeDocument/2006/relationships/image" Target="media/2e61f250d351b8e7faa5110ce2d11ced90185cfa.png"/><Relationship Id="rId82" Type="http://schemas.openxmlformats.org/officeDocument/2006/relationships/image" Target="media/9f06eb2a5faad17a1afe8a0b91f7539dc9ac1661.png"/><Relationship Id="rId83" Type="http://schemas.openxmlformats.org/officeDocument/2006/relationships/image" Target="media/784187ce66d5f8b7716e772d0c26c6f3b3a42d3e.png"/><Relationship Id="rId84" Type="http://schemas.openxmlformats.org/officeDocument/2006/relationships/image" Target="media/1b8b6e2e04c699b317931b11ede4aacd04ce30e5.png"/><Relationship Id="rId85" Type="http://schemas.openxmlformats.org/officeDocument/2006/relationships/image" Target="media/12f414b862916b86afb8d8998fef01d22ab747e9.png"/><Relationship Id="rId86" Type="http://schemas.openxmlformats.org/officeDocument/2006/relationships/image" Target="media/f891f3a53a4d215c4dc0b55ba3ede77d1df0101e.png"/><Relationship Id="rId87" Type="http://schemas.openxmlformats.org/officeDocument/2006/relationships/image" Target="media/cb6b466841da478faabdc538fb4babed86f26d39.png"/><Relationship Id="rId88" Type="http://schemas.openxmlformats.org/officeDocument/2006/relationships/image" Target="media/d633787522bcf846c821133a01d2544bc44078bd.png"/><Relationship Id="rId89" Type="http://schemas.openxmlformats.org/officeDocument/2006/relationships/image" Target="media/082ed0a6ecbfdb7780e408d3e5842f2844f8878c.png"/><Relationship Id="rId90" Type="http://schemas.openxmlformats.org/officeDocument/2006/relationships/image" Target="media/760ecea5425b7ab1b1c287d167e6448e7c109513.png"/><Relationship Id="rId91" Type="http://schemas.openxmlformats.org/officeDocument/2006/relationships/image" Target="media/36244c830179284583ad683fbd231f6b00333809.png"/><Relationship Id="rId92" Type="http://schemas.openxmlformats.org/officeDocument/2006/relationships/image" Target="media/5653caa86101a05b42c48b23941ad845dcc2d384.png"/><Relationship Id="rId93" Type="http://schemas.openxmlformats.org/officeDocument/2006/relationships/image" Target="media/d3168be06c53384ddfbb09cbd4e3e0515bcc2d84.png"/><Relationship Id="rId94" Type="http://schemas.openxmlformats.org/officeDocument/2006/relationships/image" Target="media/1b7d596c48ad54262f7aabcb9f30101ee32c08d2.png"/><Relationship Id="rId95" Type="http://schemas.openxmlformats.org/officeDocument/2006/relationships/image" Target="media/1e899aefcae60609505357062d6d27cfd471eaa5.png"/><Relationship Id="rId96" Type="http://schemas.openxmlformats.org/officeDocument/2006/relationships/image" Target="media/90b44f494efad228d103927c8ac24926c2d39275.png"/><Relationship Id="rId97" Type="http://schemas.openxmlformats.org/officeDocument/2006/relationships/image" Target="media/8e262672c346efd45eeb565fd3ae03d4c3a0484f.png"/><Relationship Id="rId98" Type="http://schemas.openxmlformats.org/officeDocument/2006/relationships/image" Target="media/84306611b019aaee905b5569c070fc4ec58b8097.png"/><Relationship Id="rId99" Type="http://schemas.openxmlformats.org/officeDocument/2006/relationships/image" Target="media/cc8c74adf574f97ae637bae949c939cb55d03da2.png"/><Relationship Id="rId100" Type="http://schemas.openxmlformats.org/officeDocument/2006/relationships/image" Target="media/6d6e40cdf937501d524ff2f79b0eea1251e009c2.png"/><Relationship Id="rId101" Type="http://schemas.openxmlformats.org/officeDocument/2006/relationships/image" Target="media/278b1f580ea7051e4e5b3c0c8dfa14f2a1c68e5d.png"/><Relationship Id="rId102" Type="http://schemas.openxmlformats.org/officeDocument/2006/relationships/image" Target="media/50e774e7f6a7417e109e02d787ed8930f10cda19.png"/><Relationship Id="rId103" Type="http://schemas.openxmlformats.org/officeDocument/2006/relationships/image" Target="media/aca93aaf1a3c5768c202aa10176f8af6b81d6cc1.png"/><Relationship Id="rId104" Type="http://schemas.openxmlformats.org/officeDocument/2006/relationships/image" Target="media/57968998c47c740c30cab654e09d34ece2a62d78.png"/><Relationship Id="rId105" Type="http://schemas.openxmlformats.org/officeDocument/2006/relationships/image" Target="media/cf0c0b4fd7f1d3c4d5f7889160bf5e87581d92ca.png"/><Relationship Id="rId106" Type="http://schemas.openxmlformats.org/officeDocument/2006/relationships/image" Target="media/d7dc2df4f25419458cb852fadc1974155ac9ae3e.png"/><Relationship Id="rId107" Type="http://schemas.openxmlformats.org/officeDocument/2006/relationships/image" Target="media/fff40049373413955784b04737c11d99ebd267bc.png"/><Relationship Id="rId108" Type="http://schemas.openxmlformats.org/officeDocument/2006/relationships/image" Target="media/c74a19e477ce8078793b804339d3e72049a90bda.png"/><Relationship Id="rId109" Type="http://schemas.openxmlformats.org/officeDocument/2006/relationships/image" Target="media/3aed4aa9ad9e388f23473b990157590b04a73657.png"/><Relationship Id="rId110" Type="http://schemas.openxmlformats.org/officeDocument/2006/relationships/image" Target="media/d0fb5183445fde14454bef6230b674db25af2451.png"/><Relationship Id="rId111" Type="http://schemas.openxmlformats.org/officeDocument/2006/relationships/image" Target="media/3b5f57d70988112d35db0389a47616c049886826.png"/><Relationship Id="rId112" Type="http://schemas.openxmlformats.org/officeDocument/2006/relationships/image" Target="media/4493321432d2c00a5fc7c260844e8c4d608bcd83.png"/><Relationship Id="rId113" Type="http://schemas.openxmlformats.org/officeDocument/2006/relationships/image" Target="media/f3d7631ada4276504f708484359115224db69acc.png"/><Relationship Id="rId114" Type="http://schemas.openxmlformats.org/officeDocument/2006/relationships/image" Target="media/944e59dcf3682e088cb8e33405b621548118e7d7.png"/><Relationship Id="rId115" Type="http://schemas.openxmlformats.org/officeDocument/2006/relationships/image" Target="media/228d886e3935f1e464af7d3a5473617906939c90.png"/><Relationship Id="rId116" Type="http://schemas.openxmlformats.org/officeDocument/2006/relationships/image" Target="media/ada066eaa63a9a19180cb2f5c776fddd6e83e13e.png"/><Relationship Id="rId117" Type="http://schemas.openxmlformats.org/officeDocument/2006/relationships/image" Target="media/523b78d15fbfb884ff38a354303bf6efd5c36b5b.png"/><Relationship Id="rId118" Type="http://schemas.openxmlformats.org/officeDocument/2006/relationships/image" Target="media/e36b48334383a987d323cd94933876cffe0020d7.png"/><Relationship Id="rId119" Type="http://schemas.openxmlformats.org/officeDocument/2006/relationships/image" Target="media/06c98db438f8d514f442ccf5bfcc75e58ecac96c.png"/><Relationship Id="rId120" Type="http://schemas.openxmlformats.org/officeDocument/2006/relationships/image" Target="media/120785260a267017a422194a4df00e5b01323e18.png"/><Relationship Id="rId121" Type="http://schemas.openxmlformats.org/officeDocument/2006/relationships/image" Target="media/9abc20e3c42d6745100f33484a6fc62c432cfb9f.png"/><Relationship Id="rId122" Type="http://schemas.openxmlformats.org/officeDocument/2006/relationships/image" Target="media/46330e9572cb9abc9e7b93dd07bf4e8c5137d63c.png"/><Relationship Id="rId123" Type="http://schemas.openxmlformats.org/officeDocument/2006/relationships/image" Target="media/1f370b20729fbaad10f3cc435c6a2d1e2b3f188b.png"/><Relationship Id="rId124" Type="http://schemas.openxmlformats.org/officeDocument/2006/relationships/image" Target="media/9513b91bfa708dc03c9e034e2224a6942b2ac417.png"/><Relationship Id="rId125" Type="http://schemas.openxmlformats.org/officeDocument/2006/relationships/image" Target="media/f431e8b0e6fb685780333d5afe14ce8117f00869.png"/><Relationship Id="rId126" Type="http://schemas.openxmlformats.org/officeDocument/2006/relationships/image" Target="media/dfd1e943e2a8bf3fcb723219712d67227f53cc73.png"/><Relationship Id="rId127" Type="http://schemas.openxmlformats.org/officeDocument/2006/relationships/image" Target="media/d953f80a8d68ac43b577d8498394b19f522ee5ed.png"/><Relationship Id="rId128" Type="http://schemas.openxmlformats.org/officeDocument/2006/relationships/image" Target="media/3042bd9f4f2f649bebeb23199ded769667ec8c2f.png"/><Relationship Id="rId129" Type="http://schemas.openxmlformats.org/officeDocument/2006/relationships/image" Target="media/c58ed442850195f293658986ec5ff9b46a2337cc.png"/><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Nómina Peruana - Odoo 19 Community (v2)</dc:title>
  <dc:creator>SOLSE - Implementación Odoo</dc:creator>
  <dc:description>Manual de usuario de la nómina peruana (localización SOLSE) en Odoo 19 Community, versión 2</dc:description>
  <cp:lastModifiedBy>Un-named</cp:lastModifiedBy>
  <cp:revision>1</cp:revision>
  <dcterms:created xsi:type="dcterms:W3CDTF">2026-10-22T20:02:52.562Z</dcterms:created>
  <dcterms:modified xsi:type="dcterms:W3CDTF">2026-10-22T20:02:52.563Z</dcterms:modified>
</cp:coreProperties>
</file>

<file path=docProps/custom.xml><?xml version="1.0" encoding="utf-8"?>
<Properties xmlns="http://schemas.openxmlformats.org/officeDocument/2006/custom-properties" xmlns:vt="http://schemas.openxmlformats.org/officeDocument/2006/docPropsVTypes"/>
</file>