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r>
        <w:rPr>
          <w:b/>
          <w:bCs/>
          <w:color w:val="888888"/>
          <w:sz w:val="28"/>
          <w:szCs w:val="28"/>
        </w:rPr>
        <w:t xml:space="preserve">DOCUMENTO DE MEJORAS</w:t>
      </w:r>
    </w:p>
    <w:p>
      <w:pPr>
        <w:spacing w:after="200"/>
      </w:pPr>
      <w:r>
        <w:rPr>
          <w:b/>
          <w:bCs/>
          <w:color w:val="714B67"/>
          <w:sz w:val="56"/>
          <w:szCs w:val="56"/>
        </w:rPr>
        <w:t xml:space="preserve">Nómina peruana · Odoo 19 Community</w:t>
      </w:r>
    </w:p>
    <w:p>
      <w:pPr>
        <w:spacing w:after="500"/>
      </w:pPr>
      <w:r>
        <w:rPr>
          <w:color w:val="444444"/>
          <w:sz w:val="28"/>
          <w:szCs w:val="28"/>
        </w:rPr>
        <w:t xml:space="preserve">Correcciones, mejoras de interfaz, validaciones y cobertura nueva detectadas al elaborar el manual de usuario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solse_pe_payroll_base 19.0.1.6.0 · solse_pe_payroll_ce 19.0.1.8.0 · solse_pe_payroll_asistencia 19.0.1.0.0 · solse_pe_plame_rxh 19.0.1.2.0 · solse_pe_plame_4ta 19.0.1.0.0 · demos · om_hr_payroll 19.0.1.0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medición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contable19 (servidor de pruebas), 7 y 8 de octubre de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Fuente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de usuario Community, sus evidencias (rama claude/odoo-payroll-manual-pe-ce-lhjakl, manuales_ce/evidencias) y biblia rama manual-nomina-ce (99-sintesis/manual-ce-hallazgos-nuevos.md)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Destino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 de desarrollo de los módulos de nómina</w:t>
            </w:r>
          </w:p>
        </w:tc>
      </w:tr>
    </w:tbl>
    <w:p>
      <w:pPr>
        <w:spacing w:after="120"/>
      </w:pPr>
    </w:p>
    <w:p>
      <w:pPr>
        <w:pBdr>
          <w:left w:val="single" w:color="2E86AB" w:sz="18" w:space="8"/>
        </w:pBdr>
        <w:shd w:fill="EAF4F8" w:color="auto" w:val="clear"/>
        <w:spacing w:after="160" w:before="120"/>
        <w:ind w:left="120" w:right="120"/>
      </w:pPr>
      <w:r>
        <w:rPr>
          <w:b/>
          <w:bCs/>
          <w:color w:val="2E86AB"/>
        </w:rPr>
        <w:t xml:space="preserve">Nota: </w:t>
      </w:r>
      <w:r>
        <w:t xml:space="preserve">Cada ítem tiene un </w:t>
      </w:r>
      <w:r>
        <w:rPr>
          <w:b/>
          <w:bCs/>
        </w:rPr>
        <w:t xml:space="preserve">ID estable</w:t>
      </w:r>
      <w:r>
        <w:t xml:space="preserve"> (C = corrección, U = interfaz, V = validación, N = funcionalidad nueva, Q = calidad). Los problemas marcados «medido» se reprodujeron en la base; los criterios de aceptación indican cómo comprobar el arreglo con una corrida, siguiendo el estándar «mide, no deduzcas» de la biblia. No se tocó código: este documento solo describe.</w:t>
      </w:r>
    </w:p>
    <w:p>
      <w:r>
        <w:br w:type="page"/>
      </w:r>
    </w:p>
    <w:p>
      <w:pPr>
        <w:spacing w:after="200"/>
      </w:pPr>
      <w:r>
        <w:rPr>
          <w:b/>
          <w:bCs/>
          <w:color w:val="714B67"/>
          <w:sz w:val="32"/>
          <w:szCs w:val="32"/>
        </w:rPr>
        <w:t xml:space="preserve">Contenido</w:t>
      </w:r>
    </w:p>
    <w:p>
      <w:pPr>
        <w:spacing w:after="40" w:before="120"/>
        <w:ind w:left="0"/>
      </w:pPr>
      <w:hyperlink w:history="1" w:anchor="t1">
        <w:r>
          <w:rPr>
            <w:b/>
            <w:bCs/>
            <w:color w:val="714B67"/>
            <w:sz w:val="22"/>
            <w:szCs w:val="22"/>
          </w:rPr>
          <w:t xml:space="preserve">Resumen y orden sugerido</w:t>
        </w:r>
      </w:hyperlink>
    </w:p>
    <w:p>
      <w:pPr>
        <w:spacing w:after="40" w:before="120"/>
        <w:ind w:left="0"/>
      </w:pPr>
      <w:hyperlink w:history="1" w:anchor="t2">
        <w:r>
          <w:rPr>
            <w:b/>
            <w:bCs/>
            <w:color w:val="714B67"/>
            <w:sz w:val="22"/>
            <w:szCs w:val="22"/>
          </w:rPr>
          <w:t xml:space="preserve">1. Correcciones funcionales</w:t>
        </w:r>
      </w:hyperlink>
    </w:p>
    <w:p>
      <w:pPr>
        <w:spacing w:after="20" w:before="0"/>
        <w:ind w:left="400"/>
      </w:pPr>
      <w:hyperlink w:history="1" w:anchor="t3">
        <w:r>
          <w:rPr>
            <w:b w:val="false"/>
            <w:bCs w:val="false"/>
            <w:color w:val="333333"/>
            <w:sz w:val="20"/>
            <w:szCs w:val="20"/>
          </w:rPr>
          <w:t xml:space="preserve">C-01 · TXT BCP: código de banco por BIC; el TXT de CTS sale vacío</w:t>
        </w:r>
      </w:hyperlink>
    </w:p>
    <w:p>
      <w:pPr>
        <w:spacing w:after="20" w:before="0"/>
        <w:ind w:left="400"/>
      </w:pPr>
      <w:hyperlink w:history="1" w:anchor="t4">
        <w:r>
          <w:rPr>
            <w:b w:val="false"/>
            <w:bCs w:val="false"/>
            <w:color w:val="333333"/>
            <w:sz w:val="20"/>
            <w:szCs w:val="20"/>
          </w:rPr>
          <w:t xml:space="preserve">C-02 · Vigencias faltantes en la data de parámetros</w:t>
        </w:r>
      </w:hyperlink>
    </w:p>
    <w:p>
      <w:pPr>
        <w:spacing w:after="20" w:before="0"/>
        <w:ind w:left="400"/>
      </w:pPr>
      <w:hyperlink w:history="1" w:anchor="t5">
        <w:r>
          <w:rPr>
            <w:b w:val="false"/>
            <w:bCs w:val="false"/>
            <w:color w:val="333333"/>
            <w:sz w:val="20"/>
            <w:szCs w:val="20"/>
          </w:rPr>
          <w:t xml:space="preserve">C-03 · Renta de 5.ª: proyección de gratificaciones sin asignación familiar</w:t>
        </w:r>
      </w:hyperlink>
    </w:p>
    <w:p>
      <w:pPr>
        <w:spacing w:after="20" w:before="0"/>
        <w:ind w:left="400"/>
      </w:pPr>
      <w:hyperlink w:history="1" w:anchor="t6">
        <w:r>
          <w:rPr>
            <w:b w:val="false"/>
            <w:bCs w:val="false"/>
            <w:color w:val="333333"/>
            <w:sz w:val="20"/>
            <w:szCs w:val="20"/>
          </w:rPr>
          <w:t xml:space="preserve">C-04 · Asignación familiar duplicada en el mes de goce parcial</w:t>
        </w:r>
      </w:hyperlink>
    </w:p>
    <w:p>
      <w:pPr>
        <w:spacing w:after="20" w:before="0"/>
        <w:ind w:left="400"/>
      </w:pPr>
      <w:hyperlink w:history="1" w:anchor="t7">
        <w:r>
          <w:rPr>
            <w:b w:val="false"/>
            <w:bCs w:val="false"/>
            <w:color w:val="333333"/>
            <w:sz w:val="20"/>
            <w:szCs w:val="20"/>
          </w:rPr>
          <w:t xml:space="preserve">C-05 · Boleta impresa descuadrada por redondeo</w:t>
        </w:r>
      </w:hyperlink>
    </w:p>
    <w:p>
      <w:pPr>
        <w:spacing w:after="20" w:before="0"/>
        <w:ind w:left="400"/>
      </w:pPr>
      <w:hyperlink w:history="1" w:anchor="t8">
        <w:r>
          <w:rPr>
            <w:b w:val="false"/>
            <w:bCs w:val="false"/>
            <w:color w:val="333333"/>
            <w:sz w:val="20"/>
            <w:szCs w:val="20"/>
          </w:rPr>
          <w:t xml:space="preserve">C-06 · Diario Planillas por defecto</w:t>
        </w:r>
      </w:hyperlink>
    </w:p>
    <w:p>
      <w:pPr>
        <w:spacing w:after="20" w:before="0"/>
        <w:ind w:left="400"/>
      </w:pPr>
      <w:hyperlink w:history="1" w:anchor="t9">
        <w:r>
          <w:rPr>
            <w:b w:val="false"/>
            <w:bCs w:val="false"/>
            <w:color w:val="333333"/>
            <w:sz w:val="20"/>
            <w:szCs w:val="20"/>
          </w:rPr>
          <w:t xml:space="preserve">C-07 · Estructura por defecto en el contrato</w:t>
        </w:r>
      </w:hyperlink>
    </w:p>
    <w:p>
      <w:pPr>
        <w:spacing w:after="20" w:before="0"/>
        <w:ind w:left="400"/>
      </w:pPr>
      <w:hyperlink w:history="1" w:anchor="t10">
        <w:r>
          <w:rPr>
            <w:b w:val="false"/>
            <w:bCs w:val="false"/>
            <w:color w:val="333333"/>
            <w:sz w:val="20"/>
            <w:szCs w:val="20"/>
          </w:rPr>
          <w:t xml:space="preserve">C-08 · TXT bancario: no bloquear por un trabajador sin cuenta</w:t>
        </w:r>
      </w:hyperlink>
    </w:p>
    <w:p>
      <w:pPr>
        <w:spacing w:after="20" w:before="0"/>
        <w:ind w:left="400"/>
      </w:pPr>
      <w:hyperlink w:history="1" w:anchor="t11">
        <w:r>
          <w:rPr>
            <w:b w:val="false"/>
            <w:bCs w:val="false"/>
            <w:color w:val="333333"/>
            <w:sz w:val="20"/>
            <w:szCs w:val="20"/>
          </w:rPr>
          <w:t xml:space="preserve">C-09 · Días laborados con feriados en boleta y .jor</w:t>
        </w:r>
      </w:hyperlink>
    </w:p>
    <w:p>
      <w:pPr>
        <w:spacing w:after="20" w:before="0"/>
        <w:ind w:left="400"/>
      </w:pPr>
      <w:hyperlink w:history="1" w:anchor="t12">
        <w:r>
          <w:rPr>
            <w:b w:val="false"/>
            <w:bCs w:val="false"/>
            <w:color w:val="333333"/>
            <w:sz w:val="20"/>
            <w:szCs w:val="20"/>
          </w:rPr>
          <w:t xml:space="preserve">C-10 · La tardanza no reduce la base afecta</w:t>
        </w:r>
      </w:hyperlink>
    </w:p>
    <w:p>
      <w:pPr>
        <w:spacing w:after="20" w:before="0"/>
        <w:ind w:left="400"/>
      </w:pPr>
      <w:hyperlink w:history="1" w:anchor="t13">
        <w:r>
          <w:rPr>
            <w:b w:val="false"/>
            <w:bCs w:val="false"/>
            <w:color w:val="333333"/>
            <w:sz w:val="20"/>
            <w:szCs w:val="20"/>
          </w:rPr>
          <w:t xml:space="preserve">C-11 · Renta de 5.ª en el mes de vacaciones</w:t>
        </w:r>
      </w:hyperlink>
    </w:p>
    <w:p>
      <w:pPr>
        <w:spacing w:after="20" w:before="0"/>
        <w:ind w:left="400"/>
      </w:pPr>
      <w:hyperlink w:history="1" w:anchor="t14">
        <w:r>
          <w:rPr>
            <w:b w:val="false"/>
            <w:bCs w:val="false"/>
            <w:color w:val="333333"/>
            <w:sz w:val="20"/>
            <w:szCs w:val="20"/>
          </w:rPr>
          <w:t xml:space="preserve">C-12 · TXT bancario con tildes</w:t>
        </w:r>
      </w:hyperlink>
    </w:p>
    <w:p>
      <w:pPr>
        <w:spacing w:after="20" w:before="0"/>
        <w:ind w:left="400"/>
      </w:pPr>
      <w:hyperlink w:history="1" w:anchor="t15">
        <w:r>
          <w:rPr>
            <w:b w:val="false"/>
            <w:bCs w:val="false"/>
            <w:color w:val="333333"/>
            <w:sz w:val="20"/>
            <w:szCs w:val="20"/>
          </w:rPr>
          <w:t xml:space="preserve">C-13 · La opción Scotiabank genera el TXT con formato de Interbank</w:t>
        </w:r>
      </w:hyperlink>
    </w:p>
    <w:p>
      <w:pPr>
        <w:spacing w:after="40" w:before="120"/>
        <w:ind w:left="0"/>
      </w:pPr>
      <w:hyperlink w:history="1" w:anchor="t16">
        <w:r>
          <w:rPr>
            <w:b/>
            <w:bCs/>
            <w:color w:val="714B67"/>
            <w:sz w:val="22"/>
            <w:szCs w:val="22"/>
          </w:rPr>
          <w:t xml:space="preserve">2. Mejoras de interfaz</w:t>
        </w:r>
      </w:hyperlink>
    </w:p>
    <w:p>
      <w:pPr>
        <w:spacing w:after="20" w:before="0"/>
        <w:ind w:left="400"/>
      </w:pPr>
      <w:hyperlink w:history="1" w:anchor="t17">
        <w:r>
          <w:rPr>
            <w:b w:val="false"/>
            <w:bCs w:val="false"/>
            <w:color w:val="333333"/>
            <w:sz w:val="20"/>
            <w:szCs w:val="20"/>
          </w:rPr>
          <w:t xml:space="preserve">U-01 · Planes EPS: la lista solo muestra el ID</w:t>
        </w:r>
      </w:hyperlink>
    </w:p>
    <w:p>
      <w:pPr>
        <w:spacing w:after="20" w:before="0"/>
        <w:ind w:left="400"/>
      </w:pPr>
      <w:hyperlink w:history="1" w:anchor="t18">
        <w:r>
          <w:rPr>
            <w:b w:val="false"/>
            <w:bCs w:val="false"/>
            <w:color w:val="333333"/>
            <w:sz w:val="20"/>
            <w:szCs w:val="20"/>
          </w:rPr>
          <w:t xml:space="preserve">U-02 · Contratos: la lista no muestra al trabajador</w:t>
        </w:r>
      </w:hyperlink>
    </w:p>
    <w:p>
      <w:pPr>
        <w:spacing w:after="20" w:before="0"/>
        <w:ind w:left="400"/>
      </w:pPr>
      <w:hyperlink w:history="1" w:anchor="t19">
        <w:r>
          <w:rPr>
            <w:b w:val="false"/>
            <w:bCs w:val="false"/>
            <w:color w:val="333333"/>
            <w:sz w:val="20"/>
            <w:szCs w:val="20"/>
          </w:rPr>
          <w:t xml:space="preserve">U-03 · Reglas salariales: filas repetidas, sin estructura, con reglas de India</w:t>
        </w:r>
      </w:hyperlink>
    </w:p>
    <w:p>
      <w:pPr>
        <w:spacing w:after="20" w:before="0"/>
        <w:ind w:left="400"/>
      </w:pPr>
      <w:hyperlink w:history="1" w:anchor="t20">
        <w:r>
          <w:rPr>
            <w:b w:val="false"/>
            <w:bCs w:val="false"/>
            <w:color w:val="333333"/>
            <w:sz w:val="20"/>
            <w:szCs w:val="20"/>
          </w:rPr>
          <w:t xml:space="preserve">U-04 · Maestros SUNAT: solo la abreviatura</w:t>
        </w:r>
      </w:hyperlink>
    </w:p>
    <w:p>
      <w:pPr>
        <w:spacing w:after="20" w:before="0"/>
        <w:ind w:left="400"/>
      </w:pPr>
      <w:hyperlink w:history="1" w:anchor="t21">
        <w:r>
          <w:rPr>
            <w:b w:val="false"/>
            <w:bCs w:val="false"/>
            <w:color w:val="333333"/>
            <w:sz w:val="20"/>
            <w:szCs w:val="20"/>
          </w:rPr>
          <w:t xml:space="preserve">U-05 · Registros que se muestran como «modelo,id»</w:t>
        </w:r>
      </w:hyperlink>
    </w:p>
    <w:p>
      <w:pPr>
        <w:spacing w:after="20" w:before="0"/>
        <w:ind w:left="400"/>
      </w:pPr>
      <w:hyperlink w:history="1" w:anchor="t22">
        <w:r>
          <w:rPr>
            <w:b w:val="false"/>
            <w:bCs w:val="false"/>
            <w:color w:val="333333"/>
            <w:sz w:val="20"/>
            <w:szCs w:val="20"/>
          </w:rPr>
          <w:t xml:space="preserve">U-06 · Textos en inglés y traducciones erróneas</w:t>
        </w:r>
      </w:hyperlink>
    </w:p>
    <w:p>
      <w:pPr>
        <w:spacing w:after="20" w:before="0"/>
        <w:ind w:left="400"/>
      </w:pPr>
      <w:hyperlink w:history="1" w:anchor="t23">
        <w:r>
          <w:rPr>
            <w:b w:val="false"/>
            <w:bCs w:val="false"/>
            <w:color w:val="333333"/>
            <w:sz w:val="20"/>
            <w:szCs w:val="20"/>
          </w:rPr>
          <w:t xml:space="preserve">U-07 · Campos de India en el contrato</w:t>
        </w:r>
      </w:hyperlink>
    </w:p>
    <w:p>
      <w:pPr>
        <w:spacing w:after="20" w:before="0"/>
        <w:ind w:left="400"/>
      </w:pPr>
      <w:hyperlink w:history="1" w:anchor="t24">
        <w:r>
          <w:rPr>
            <w:b w:val="false"/>
            <w:bCs w:val="false"/>
            <w:color w:val="333333"/>
            <w:sz w:val="20"/>
            <w:szCs w:val="20"/>
          </w:rPr>
          <w:t xml:space="preserve">U-08 · Editor de parámetros estructurados</w:t>
        </w:r>
      </w:hyperlink>
    </w:p>
    <w:p>
      <w:pPr>
        <w:spacing w:after="20" w:before="0"/>
        <w:ind w:left="400"/>
      </w:pPr>
      <w:hyperlink w:history="1" w:anchor="t25">
        <w:r>
          <w:rPr>
            <w:b w:val="false"/>
            <w:bCs w:val="false"/>
            <w:color w:val="333333"/>
            <w:sz w:val="20"/>
            <w:szCs w:val="20"/>
          </w:rPr>
          <w:t xml:space="preserve">U-09 · Menú de parámetros duplicado</w:t>
        </w:r>
      </w:hyperlink>
    </w:p>
    <w:p>
      <w:pPr>
        <w:spacing w:after="40" w:before="120"/>
        <w:ind w:left="0"/>
      </w:pPr>
      <w:hyperlink w:history="1" w:anchor="t26">
        <w:r>
          <w:rPr>
            <w:b/>
            <w:bCs/>
            <w:color w:val="714B67"/>
            <w:sz w:val="22"/>
            <w:szCs w:val="22"/>
          </w:rPr>
          <w:t xml:space="preserve">3. Validaciones y controles</w:t>
        </w:r>
      </w:hyperlink>
    </w:p>
    <w:p>
      <w:pPr>
        <w:spacing w:after="20" w:before="0"/>
        <w:ind w:left="400"/>
      </w:pPr>
      <w:hyperlink w:history="1" w:anchor="t27">
        <w:r>
          <w:rPr>
            <w:b w:val="false"/>
            <w:bCs w:val="false"/>
            <w:color w:val="333333"/>
            <w:sz w:val="20"/>
            <w:szCs w:val="20"/>
          </w:rPr>
          <w:t xml:space="preserve">V-01 · Validar el valor de los parámetros al guardar</w:t>
        </w:r>
      </w:hyperlink>
    </w:p>
    <w:p>
      <w:pPr>
        <w:spacing w:after="20" w:before="0"/>
        <w:ind w:left="400"/>
      </w:pPr>
      <w:hyperlink w:history="1" w:anchor="t28">
        <w:r>
          <w:rPr>
            <w:b w:val="false"/>
            <w:bCs w:val="false"/>
            <w:color w:val="333333"/>
            <w:sz w:val="20"/>
            <w:szCs w:val="20"/>
          </w:rPr>
          <w:t xml:space="preserve">V-02 · Aviso previo de vigencias faltantes</w:t>
        </w:r>
      </w:hyperlink>
    </w:p>
    <w:p>
      <w:pPr>
        <w:spacing w:after="20" w:before="0"/>
        <w:ind w:left="400"/>
      </w:pPr>
      <w:hyperlink w:history="1" w:anchor="t29">
        <w:r>
          <w:rPr>
            <w:b w:val="false"/>
            <w:bCs w:val="false"/>
            <w:color w:val="333333"/>
            <w:sz w:val="20"/>
            <w:szCs w:val="20"/>
          </w:rPr>
          <w:t xml:space="preserve">V-03 · Alertas de RMA y RMV visibles</w:t>
        </w:r>
      </w:hyperlink>
    </w:p>
    <w:p>
      <w:pPr>
        <w:spacing w:after="40" w:before="120"/>
        <w:ind w:left="0"/>
      </w:pPr>
      <w:hyperlink w:history="1" w:anchor="t30">
        <w:r>
          <w:rPr>
            <w:b/>
            <w:bCs/>
            <w:color w:val="714B67"/>
            <w:sz w:val="22"/>
            <w:szCs w:val="22"/>
          </w:rPr>
          <w:t xml:space="preserve">4. Calidad, datos y demo</w:t>
        </w:r>
      </w:hyperlink>
    </w:p>
    <w:p>
      <w:pPr>
        <w:spacing w:after="20" w:before="0"/>
        <w:ind w:left="400"/>
      </w:pPr>
      <w:hyperlink w:history="1" w:anchor="t31">
        <w:r>
          <w:rPr>
            <w:b w:val="false"/>
            <w:bCs w:val="false"/>
            <w:color w:val="333333"/>
            <w:sz w:val="20"/>
            <w:szCs w:val="20"/>
          </w:rPr>
          <w:t xml:space="preserve">Q-01 · La demo activa SENATI en la compañía donde corre</w:t>
        </w:r>
      </w:hyperlink>
    </w:p>
    <w:p>
      <w:pPr>
        <w:spacing w:after="20" w:before="0"/>
        <w:ind w:left="400"/>
      </w:pPr>
      <w:hyperlink w:history="1" w:anchor="t32">
        <w:r>
          <w:rPr>
            <w:b w:val="false"/>
            <w:bCs w:val="false"/>
            <w:color w:val="333333"/>
            <w:sz w:val="20"/>
            <w:szCs w:val="20"/>
          </w:rPr>
          <w:t xml:space="preserve">Q-02 · Maestro T12 sin datos</w:t>
        </w:r>
      </w:hyperlink>
    </w:p>
    <w:p>
      <w:pPr>
        <w:spacing w:after="20" w:before="0"/>
        <w:ind w:left="400"/>
      </w:pPr>
      <w:hyperlink w:history="1" w:anchor="t33">
        <w:r>
          <w:rPr>
            <w:b w:val="false"/>
            <w:bCs w:val="false"/>
            <w:color w:val="333333"/>
            <w:sz w:val="20"/>
            <w:szCs w:val="20"/>
          </w:rPr>
          <w:t xml:space="preserve">Q-03 · Estructuras con compañía fija</w:t>
        </w:r>
      </w:hyperlink>
    </w:p>
    <w:p>
      <w:pPr>
        <w:spacing w:after="20" w:before="0"/>
        <w:ind w:left="400"/>
      </w:pPr>
      <w:hyperlink w:history="1" w:anchor="t34">
        <w:r>
          <w:rPr>
            <w:b w:val="false"/>
            <w:bCs w:val="false"/>
            <w:color w:val="333333"/>
            <w:sz w:val="20"/>
            <w:szCs w:val="20"/>
          </w:rPr>
          <w:t xml:space="preserve">Q-04 · Casos QA para las salidas sin cobertura</w:t>
        </w:r>
      </w:hyperlink>
    </w:p>
    <w:p>
      <w:pPr>
        <w:spacing w:after="40" w:before="120"/>
        <w:ind w:left="0"/>
      </w:pPr>
      <w:hyperlink w:history="1" w:anchor="t35">
        <w:r>
          <w:rPr>
            <w:b/>
            <w:bCs/>
            <w:color w:val="714B67"/>
            <w:sz w:val="22"/>
            <w:szCs w:val="22"/>
          </w:rPr>
          <w:t xml:space="preserve">5. Funcionalidades nuevas (cobertura)</w:t>
        </w:r>
      </w:hyperlink>
    </w:p>
    <w:p>
      <w:pPr>
        <w:spacing w:after="20" w:before="0"/>
        <w:ind w:left="400"/>
      </w:pPr>
      <w:hyperlink w:history="1" w:anchor="t36">
        <w:r>
          <w:rPr>
            <w:b w:val="false"/>
            <w:bCs w:val="false"/>
            <w:color w:val="333333"/>
            <w:sz w:val="20"/>
            <w:szCs w:val="20"/>
          </w:rPr>
          <w:t xml:space="preserve">N-01 · Subsidios (incapacidad temporal y maternidad)</w:t>
        </w:r>
      </w:hyperlink>
    </w:p>
    <w:p>
      <w:pPr>
        <w:spacing w:after="20" w:before="0"/>
        <w:ind w:left="400"/>
      </w:pPr>
      <w:hyperlink w:history="1" w:anchor="t37">
        <w:r>
          <w:rPr>
            <w:b w:val="false"/>
            <w:bCs w:val="false"/>
            <w:color w:val="333333"/>
            <w:sz w:val="20"/>
            <w:szCs w:val="20"/>
          </w:rPr>
          <w:t xml:space="preserve">N-02 · Exportación del T-Registro</w:t>
        </w:r>
      </w:hyperlink>
    </w:p>
    <w:p>
      <w:pPr>
        <w:spacing w:after="20" w:before="0"/>
        <w:ind w:left="400"/>
      </w:pPr>
      <w:hyperlink w:history="1" w:anchor="t38">
        <w:r>
          <w:rPr>
            <w:b w:val="false"/>
            <w:bCs w:val="false"/>
            <w:color w:val="333333"/>
            <w:sz w:val="20"/>
            <w:szCs w:val="20"/>
          </w:rPr>
          <w:t xml:space="preserve">N-03 · Indemnización por despido arbitrario</w:t>
        </w:r>
      </w:hyperlink>
    </w:p>
    <w:p>
      <w:pPr>
        <w:spacing w:after="20" w:before="0"/>
        <w:ind w:left="400"/>
      </w:pPr>
      <w:hyperlink w:history="1" w:anchor="t39">
        <w:r>
          <w:rPr>
            <w:b w:val="false"/>
            <w:bCs w:val="false"/>
            <w:color w:val="333333"/>
            <w:sz w:val="20"/>
            <w:szCs w:val="20"/>
          </w:rPr>
          <w:t xml:space="preserve">N-04 · Regularización de la renta de 5.ª al cese</w:t>
        </w:r>
      </w:hyperlink>
    </w:p>
    <w:p>
      <w:pPr>
        <w:spacing w:after="20" w:before="0"/>
        <w:ind w:left="400"/>
      </w:pPr>
      <w:hyperlink w:history="1" w:anchor="t40">
        <w:r>
          <w:rPr>
            <w:b w:val="false"/>
            <w:bCs w:val="false"/>
            <w:color w:val="333333"/>
            <w:sz w:val="20"/>
            <w:szCs w:val="20"/>
          </w:rPr>
          <w:t xml:space="preserve">N-05 · Prima de Vida Ley</w:t>
        </w:r>
      </w:hyperlink>
    </w:p>
    <w:p>
      <w:pPr>
        <w:spacing w:after="20" w:before="0"/>
        <w:ind w:left="400"/>
      </w:pPr>
      <w:hyperlink w:history="1" w:anchor="t41">
        <w:r>
          <w:rPr>
            <w:b w:val="false"/>
            <w:bCs w:val="false"/>
            <w:color w:val="333333"/>
            <w:sz w:val="20"/>
            <w:szCs w:val="20"/>
          </w:rPr>
          <w:t xml:space="preserve">N-06 · TXT de Scotiabank y Banco de la Nación</w:t>
        </w:r>
      </w:hyperlink>
    </w:p>
    <w:p>
      <w:pPr>
        <w:spacing w:after="20" w:before="0"/>
        <w:ind w:left="400"/>
      </w:pPr>
      <w:hyperlink w:history="1" w:anchor="t42">
        <w:r>
          <w:rPr>
            <w:b w:val="false"/>
            <w:bCs w:val="false"/>
            <w:color w:val="333333"/>
            <w:sz w:val="20"/>
            <w:szCs w:val="20"/>
          </w:rPr>
          <w:t xml:space="preserve">N-07 · Pago de la planilla</w:t>
        </w:r>
      </w:hyperlink>
    </w:p>
    <w:p>
      <w:pPr>
        <w:spacing w:after="20" w:before="0"/>
        <w:ind w:left="400"/>
      </w:pPr>
      <w:hyperlink w:history="1" w:anchor="t43">
        <w:r>
          <w:rPr>
            <w:b w:val="false"/>
            <w:bCs w:val="false"/>
            <w:color w:val="333333"/>
            <w:sz w:val="20"/>
            <w:szCs w:val="20"/>
          </w:rPr>
          <w:t xml:space="preserve">N-08 · Envío masivo de boletas y constancias</w:t>
        </w:r>
      </w:hyperlink>
    </w:p>
    <w:p>
      <w:pPr>
        <w:spacing w:after="20" w:before="0"/>
        <w:ind w:left="400"/>
      </w:pPr>
      <w:hyperlink w:history="1" w:anchor="t44">
        <w:r>
          <w:rPr>
            <w:b w:val="false"/>
            <w:bCs w:val="false"/>
            <w:color w:val="333333"/>
            <w:sz w:val="20"/>
            <w:szCs w:val="20"/>
          </w:rPr>
          <w:t xml:space="preserve">Q-05 · Cobertura pendiente de medición</w:t>
        </w:r>
      </w:hyperlink>
    </w:p>
    <w:p>
      <w:pPr>
        <w:spacing w:after="40" w:before="120"/>
        <w:ind w:left="0"/>
      </w:pPr>
      <w:hyperlink w:history="1" w:anchor="t45">
        <w:r>
          <w:rPr>
            <w:b/>
            <w:bCs/>
            <w:color w:val="714B67"/>
            <w:sz w:val="22"/>
            <w:szCs w:val="22"/>
          </w:rPr>
          <w:t xml:space="preserve">6. Al confirmar los cambios: qué se vuelve a correr</w:t>
        </w:r>
      </w:hyperlink>
    </w:p>
    <w:p>
      <w:pPr>
        <w:pStyle w:val="Heading1"/>
        <w:pageBreakBefore/>
      </w:pPr>
      <w:bookmarkStart w:name="t1" w:id="1"/>
      <w:r>
        <w:t xml:space="preserve">Resumen y orden sugerido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500"/>
        <w:gridCol w:w="13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TXT BCP: código de banco por BIC; CTS sale vacío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Vigencias faltantes: comisión AFP 2025, RMA trimestral, RMV 1.230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Datos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V-01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Validar el valor de los parámetros al guardar (tipo y formato)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Renta de 5.ª: proyección de gratificaciones sin asignación familiar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Asignación familiar 1,5 veces en mes de goce parcial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(consultar)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Boleta impresa descuadrada por redondeo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Diario Planillas por defecto en contrato, boleta y lote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Estructura por defecto en el contrato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TXT: omitir trabajadores sin cuenta con aviso, en lugar de bloquear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Planes EPS: la lista solo muestra el 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Contratos: la lista no muestra al trabajador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Reglas salariales: 135 filas repetidas sin estructura, con reglas de India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Maestros SUNAT: solo la abreviatura, sin código ni descripción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Mapeo PCGE y T12 sin nombre (se ve «modelo,id»)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Textos en inglés y traducciones erróneas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Campos de India en el contrato (HRA, DA, allowances)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Editor de parámetros estructurados (comisiones, tramos, factores)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«Parámetros de Nómina PE» duplicado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V-02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Aviso previo de vigencias faltantes al calcular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V-03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Alerta de RMA y RMV visible en el tablero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Días laborados en boleta y .jor con feriados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Consultar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C-10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Tardanza no reduce la base afecta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Consultar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C-11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5.ª cae en el mes de vacaciones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C-12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TXT bancario con tildes (latin-1)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C-13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Opción Scotiabank genera el formato de Interbank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Q-01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demo activa SENATI en la compañía donde corre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Calidad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Q-02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Maestro T12 sin datos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Calidad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Q-03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Estructuras con compañía fija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Calidad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Q-04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Pruebas automáticas de las salidas (TXT, AFPnet)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Calidad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Q-05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Cobertura pendiente de medición (utilidades, microempresa, alerta RMA…)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Calidad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N-01 … N-08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Subsidios, T-Registro, indemnización, regularización de 5.ª, Vida Ley, Scotiabank/BN, pagos, envío de boletas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Según demanda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Nueva</w:t>
            </w:r>
          </w:p>
        </w:tc>
      </w:tr>
    </w:tbl>
    <w:p>
      <w:pPr>
        <w:spacing w:after="120"/>
      </w:pPr>
      <w:r>
        <w:rPr>
          <w:b/>
          <w:bCs/>
        </w:rPr>
        <w:t xml:space="preserve">Orden sugerido</w:t>
      </w:r>
      <w:r>
        <w:t xml:space="preserve">: C-01, C-13, C-02 y V-01 (afectan dinero o bloquean la planilla), luego U-01 a U-03 (lo primero que ve el cliente), después C-03 a C-08 y el resto. Los marcados «consultar» necesitan respuesta de la contadora antes de programar.</w:t>
      </w:r>
    </w:p>
    <w:p>
      <w:pPr>
        <w:pStyle w:val="Heading1"/>
        <w:pageBreakBefore/>
      </w:pPr>
      <w:bookmarkStart w:name="t2" w:id="1"/>
      <w:r>
        <w:t xml:space="preserve">1. Correcciones funcionales</w:t>
      </w:r>
      <w:bookmarkEnd w:id="1"/>
    </w:p>
    <w:p>
      <w:pPr>
        <w:pStyle w:val="Heading2"/>
      </w:pPr>
      <w:bookmarkStart w:name="t3" w:id="1"/>
      <w:r>
        <w:t xml:space="preserve">C-01 · TXT BCP: código de banco por BIC; el TXT de CTS sale vacío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solse_pe_payroll_ce/wizard/bancos.py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_cuenta_empleado</w:t>
            </w:r>
            <w:r>
              <w:rPr>
                <w:sz w:val="19"/>
                <w:szCs w:val="19"/>
              </w:rPr>
              <w:t xml:space="preserve"> (l. 128-147) y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_generar_bcp</w:t>
            </w:r>
            <w:r>
              <w:rPr>
                <w:sz w:val="19"/>
                <w:szCs w:val="19"/>
              </w:rPr>
              <w:t xml:space="preserve"> (l. 191-193)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código de banco se toma de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bank_id.bic</w:t>
            </w:r>
            <w:r>
              <w:rPr>
                <w:sz w:val="19"/>
                <w:szCs w:val="19"/>
              </w:rPr>
              <w:t xml:space="preserve">. En la base el BCP tiene bic «BCPLPEPL», nunca «02». Resultado medido: en haberes una cuenta BCP sale como registro «2B» con CCI (interbancaria) en lugar de «2A» con número de cuenta; en CTS la línea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if self.tipo == 'cts' and codigo != CODIGO_BCP: continue</w:t>
            </w:r>
            <w:r>
              <w:rPr>
                <w:sz w:val="19"/>
                <w:szCs w:val="19"/>
              </w:rPr>
              <w:t xml:space="preserve"> salta a todos: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ABONO_BCP_CTS_202611.txt</w:t>
            </w:r>
            <w:r>
              <w:rPr>
                <w:sz w:val="19"/>
                <w:szCs w:val="19"/>
              </w:rPr>
              <w:t xml:space="preserve"> solo trae la cabecera con total 0.00 aunque había 2 CTS validadas (2,695.92 y 1,283.33). No hay aviso.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Resolver el banco por una tabla propia (res.bank → código SBS 02/03/09/18) o por los BIC de la base (medidos: BCP «BCPLPEPL» → 02, Interbank «BINPPEPL» → 03). Si un trabajador queda fuera por banco no soportado, listarlo en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resumen</w:t>
            </w:r>
            <w:r>
              <w:rPr>
                <w:sz w:val="19"/>
                <w:szCs w:val="19"/>
              </w:rPr>
              <w:t xml:space="preserve"> y no silenciarlo.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 la cuenta BCP de Lucía (99999901): haberes sale «2A» con su número de cuenta; CTS de noviembre 2026 trae 2 líneas y total 3,979.25 (si Héctor tiene cuenta BCP) o 1 línea y el aviso de Héctor (Interbank).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4" w:id="1"/>
      <w:r>
        <w:t xml:space="preserve">C-02 · Vigencias faltantes en la data de parámetros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solse_pe_payroll_base/data/hr_rule_parameter_data.xml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una boleta AFP de 2025 se detiene con «No existe una vigencia del parámetro de nómina "pe_afp_comision_flujo" para la fecha 2025-01-31». La comisión arranca 2026-01-01 y la RMA 2026-04-01 (sin las actualizaciones siguientes). La RMV 1,230 desde 2026-10-01 (D.S. 015-2026-TR) no está: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pe_rmv</w:t>
            </w:r>
            <w:r>
              <w:rPr>
                <w:sz w:val="19"/>
                <w:szCs w:val="19"/>
              </w:rPr>
              <w:t xml:space="preserve"> 1130 y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pe_asig_familiar</w:t>
            </w:r>
            <w:r>
              <w:rPr>
                <w:sz w:val="19"/>
                <w:szCs w:val="19"/>
              </w:rPr>
              <w:t xml:space="preserve"> 113.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Agregar vigencias oficiales (SBS) de comisiones 2025, RMA por trimestre desde 2025-01 y RMV/AF de 2026-10. Documentar en la data la fuente y fecha de cada valor. Como es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noupdate</w:t>
            </w:r>
            <w:r>
              <w:rPr>
                <w:sz w:val="19"/>
                <w:szCs w:val="19"/>
              </w:rPr>
              <w:t xml:space="preserve">, prever un script de migración que agregue vigencias sin pisar las del cliente.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boleta AFP de enero 2025 calcula sin error; ASF_001 de octubre 2026 = 123.00; la RMA vigente a la fecha de hoy existe.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5" w:id="1"/>
      <w:r>
        <w:t xml:space="preserve">C-03 · Renta de 5.ª: proyección de gratificaciones sin asignación familiar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solse_pe_payroll_ce/data/hr_salary_rule_bloque4_data.xml</w:t>
            </w:r>
            <w:r>
              <w:rPr>
                <w:sz w:val="19"/>
                <w:szCs w:val="19"/>
              </w:rPr>
              <w:t xml:space="preserve"> · R5TA_001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proyeccion_gratis = version.wage * factor_grati * (1.0 + bono) * gratis_pendientes</w:t>
            </w:r>
            <w:r>
              <w:rPr>
                <w:sz w:val="19"/>
                <w:szCs w:val="19"/>
              </w:rPr>
              <w:t xml:space="preserve"> usa el sueldo, pero GRATI_001 paga sueldo + AF. En diciembre la grati del mes cuenta como «pendiente» con esa base. Medido (Lucía, 4,500 + AF 113): retención 2025 = 2,292.45; con la renta real (65,412.34) corresponde 2,309.73. Diferencia 17.28 ≈ 113 × 1.09 × 14 %.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Proyectar la gratificación con la misma base que GRATI_001 (sueldo + AF vigente) o, en julio y diciembre, usar el importe de la boleta GRAT ya validada del mes.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Repetir la corrida 2025 de Lucía: suma de R5TA_001 = 2,309.73 ± 0.05.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6" w:id="1"/>
      <w:r>
        <w:t xml:space="preserve">C-04 · Asignación familiar duplicada en el mes de goce parcial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· </w:t>
            </w:r>
            <w:r>
              <w:rPr>
                <w:b/>
                <w:bCs/>
                <w:sz w:val="19"/>
                <w:szCs w:val="19"/>
              </w:rPr>
              <w:t xml:space="preserve">consultar con la contadora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bloque8</w:t>
            </w:r>
            <w:r>
              <w:rPr>
                <w:sz w:val="19"/>
                <w:szCs w:val="19"/>
              </w:rPr>
              <w:t xml:space="preserve"> VAC_001 y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bloque1</w:t>
            </w:r>
            <w:r>
              <w:rPr>
                <w:sz w:val="19"/>
                <w:szCs w:val="19"/>
              </w:rPr>
              <w:t xml:space="preserve"> ASF_001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VAC_001 = (sueldo + AF) × días/30 y la mensual paga ASF_001 completa. Medido (Lucía, goce 02–16/02/2026): VAC 2,306.50 + RB 2,250.00 + ASF 113.00 = 4,669.50 frente a 4,613.00 de un mes normal (+56.50).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la contadora confirma: prorratear ASF_001 por los días no gozados, o sacar la AF de VAC_001 y dejarla solo en la mensual.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Febrero 2026 de Lucía: VAC + mensual = 4,613.00.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7" w:id="1"/>
      <w:r>
        <w:t xml:space="preserve">C-05 · Boleta impresa descuadrada por redondeo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om_hr_payroll</w:t>
            </w:r>
            <w:r>
              <w:rPr>
                <w:sz w:val="19"/>
                <w:szCs w:val="19"/>
              </w:rPr>
              <w:t xml:space="preserve"> (líneas sin redondear) y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solse_pe_payroll_ce/report/boleta_pago_report.xml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líneas guardan importes sin redondear (AFP_COM 71.6565, AFP_PRI 63.3351, R5TA 199.7378, BONO_GRATI 243.8775). Medido en la boleta de Lucía de diciembre 2026: «Total descuentos 797.03» + «Neto 3825.96» = 4,622.99 ≠ 4,623.00. El asiento sí cuadra.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Redondear cada regla a 2 decimales al calcular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round(result, 2)</w:t>
            </w:r>
            <w:r>
              <w:rPr>
                <w:sz w:val="19"/>
                <w:szCs w:val="19"/>
              </w:rPr>
              <w:t xml:space="preserve"> o precisión de la moneda en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_get_payslip_lines</w:t>
            </w:r>
            <w:r>
              <w:rPr>
                <w:sz w:val="19"/>
                <w:szCs w:val="19"/>
              </w:rPr>
              <w:t xml:space="preserve">), y sumar en el reporte con las líneas redondeadas.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Ingresos − descuentos = neto exacto en la boleta PDF de los 64 meses medidos; PLAME, planilla y asiento con los mismos importes.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8" w:id="1"/>
      <w:r>
        <w:t xml:space="preserve">C-06 · Diario Planillas por defecto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om_hr_payroll_account</w:t>
            </w:r>
            <w:r>
              <w:rPr>
                <w:sz w:val="19"/>
                <w:szCs w:val="19"/>
              </w:rPr>
              <w:t xml:space="preserve"> (default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journal_id</w:t>
            </w:r>
            <w:r>
              <w:rPr>
                <w:sz w:val="19"/>
                <w:szCs w:val="19"/>
              </w:rPr>
              <w:t xml:space="preserve">) ·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solse_pe_payroll_ce/models/plataforma_ce.py</w:t>
            </w:r>
            <w:r>
              <w:rPr>
                <w:sz w:val="19"/>
                <w:szCs w:val="19"/>
              </w:rPr>
              <w:t xml:space="preserve"> · inicializador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diario en el contrato, la boleta se asienta en el primer diario general. Medido: MISCE/2026/12/0002 («Miscellaneous Operations»); con Planillas elegido a mano: PLLA/2026/12/0001. El diario de la estructura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hr.payroll.structure.journal_id</w:t>
            </w:r>
            <w:r>
              <w:rPr>
                <w:sz w:val="19"/>
                <w:szCs w:val="19"/>
              </w:rPr>
              <w:t xml:space="preserve">) no se usa.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de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journal_id</w:t>
            </w:r>
            <w:r>
              <w:rPr>
                <w:sz w:val="19"/>
                <w:szCs w:val="19"/>
              </w:rPr>
              <w:t xml:space="preserve"> en boleta y lote: diario de la estructura → del contrato → PLLA de la compañía. El inicializador puede completar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version.journal_id</w:t>
            </w:r>
            <w:r>
              <w:rPr>
                <w:sz w:val="19"/>
                <w:szCs w:val="19"/>
              </w:rPr>
              <w:t xml:space="preserve"> vacío con PLLA.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boleta nueva sin tocar el diario se asienta en PLLA.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9" w:id="1"/>
      <w:r>
        <w:t xml:space="preserve">C-07 · Estructura por defecto en el contrato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hr.version.struct_id</w:t>
            </w:r>
            <w:r>
              <w:rPr>
                <w:sz w:val="19"/>
                <w:szCs w:val="19"/>
              </w:rPr>
              <w:t xml:space="preserve"> · om_hr_payroll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onchange_employee_id</w:t>
            </w:r>
            <w:r>
              <w:rPr>
                <w:sz w:val="19"/>
                <w:szCs w:val="19"/>
              </w:rPr>
              <w:t xml:space="preserve"> (hr_payslip.py:531-533)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alta por la ficha del empleado deja «Salary Structure» vacía y entonces la boleta nueva no carga estructura ni días trabajados (medido).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de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struct_id</w:t>
            </w:r>
            <w:r>
              <w:rPr>
                <w:sz w:val="19"/>
                <w:szCs w:val="19"/>
              </w:rPr>
              <w:t xml:space="preserve"> desde la categoría del pago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structure_type_id</w:t>
            </w:r>
            <w:r>
              <w:rPr>
                <w:sz w:val="19"/>
                <w:szCs w:val="19"/>
              </w:rPr>
              <w:t xml:space="preserve"> → estructura NME/NSO) y aviso en la boleta si el contrato no tiene estructura.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 nueva con «Régimen General» → contrato con NME; boleta nueva con días trabajados.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10" w:id="1"/>
      <w:r>
        <w:t xml:space="preserve">C-08 · TXT bancario: no bloquear por un trabajador sin cuenta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bancos.py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action_generar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trabajador sin cuenta de sueldo bloquea todo el archivo (ValidationError «Trabajadores sin cuenta de Haberes (sueldo) registrada»). La biblia (§6, caso 16) esperaba «omitido con motivo».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Generar el TXT con los que tienen cuenta y listar los omitidos con su motivo en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resumen</w:t>
            </w:r>
            <w:r>
              <w:rPr>
                <w:sz w:val="19"/>
                <w:szCs w:val="19"/>
              </w:rPr>
              <w:t xml:space="preserve"> (y opcionalmente un modo estricto).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 Héctor sin cuenta: se genera el TXT de Lucía y el resumen dice «Omitido: Héctor … sin cuenta de sueldo».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11" w:id="1"/>
      <w:r>
        <w:t xml:space="preserve">C-09 · Días laborados con feriados en boleta y .jor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Consultar con la contadora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wizard/plame.py</w:t>
            </w:r>
            <w:r>
              <w:rPr>
                <w:sz w:val="19"/>
                <w:szCs w:val="19"/>
              </w:rPr>
              <w:t xml:space="preserve"> (.jor) y boleta PDF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Diciembre 2026, mes pagado completo: la boleta y el .jor declaran 20 días / 160 h (23 hábiles − feriados 8, 9 y 25 como GLOBAL).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Según respuesta: sumar los feriados pagados a los días declarados, o mantener y documentar.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Definido por la contadora; corrida de diciembre 2026.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12" w:id="1"/>
      <w:r>
        <w:t xml:space="preserve">C-10 · La tardanza no reduce la base afecta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Consultar con la contadora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bloque10</w:t>
            </w:r>
            <w:r>
              <w:rPr>
                <w:sz w:val="19"/>
                <w:szCs w:val="19"/>
              </w:rPr>
              <w:t xml:space="preserve"> TARD_001 (y TAR_001 de asistencia)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TARD_001 descuenta del neto (30 min → 4.58) pero ONP/AFP y 5.ª se calculan sobre la RB completa (medido: ONP sobre 2,389.75).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corresponde, mover la tardanza a la categoría que reduce la remuneración afecta (como FALTA).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Según respuesta.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13" w:id="1"/>
      <w:r>
        <w:t xml:space="preserve">C-11 · Renta de 5.ª en el mes de vacaciones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R5TA_001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febrero 2026 retiene 12.77 (normal 177.77): la proyección multiplica el INA reducido por los meses restantes y la boleta VAC del mismo mes no entra en lo percibido. Se recupera desde marzo.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Incluir en la proyección las boletas validadas del mes en curso (VAC) o proyectar con la remuneración del contrato en lugar del INA del mes.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Febrero 2026 de Lucía con retención del orden de los meses vecinos.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14" w:id="1"/>
      <w:r>
        <w:t xml:space="preserve">C-12 · TXT bancario con tildes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bancos.py</w:t>
            </w:r>
            <w:r>
              <w:rPr>
                <w:sz w:val="19"/>
                <w:szCs w:val="19"/>
              </w:rPr>
              <w:t xml:space="preserve"> (codificación latin-1)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nombres salen con tildes (Héctor, Lucía) codificados en latin-1.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Normalizar a ASCII mayúsculas sin tildes si el banco lo exige (como ya hace el PLAME de 4.ª).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TXT solo con caracteres ASCII.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15" w:id="1"/>
      <w:r>
        <w:t xml:space="preserve">C-13 · La opción Scotiabank genera el TXT con formato de Interbank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solse_pe_payroll_ce/wizard/bancos.py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action_generar</w:t>
            </w:r>
            <w:r>
              <w:rPr>
                <w:sz w:val="19"/>
                <w:szCs w:val="19"/>
              </w:rPr>
              <w:t xml:space="preserve"> (l. 150-162)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Verificado en el código: el campo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banco</w:t>
            </w:r>
            <w:r>
              <w:rPr>
                <w:sz w:val="19"/>
                <w:szCs w:val="19"/>
              </w:rPr>
              <w:t xml:space="preserve"> ofrece BCP, Interbank y </w:t>
            </w:r>
            <w:r>
              <w:rPr>
                <w:b/>
                <w:bCs/>
                <w:sz w:val="19"/>
                <w:szCs w:val="19"/>
              </w:rPr>
              <w:t xml:space="preserve">Scotiabank</w:t>
            </w:r>
            <w:r>
              <w:rPr>
                <w:sz w:val="19"/>
                <w:szCs w:val="19"/>
              </w:rPr>
              <w:t xml:space="preserve"> (l. 80-83), pero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action_generar</w:t>
            </w:r>
            <w:r>
              <w:rPr>
                <w:sz w:val="19"/>
                <w:szCs w:val="19"/>
              </w:rPr>
              <w:t xml:space="preserve"> hace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if self.banco == 'bcp': _generar_bcp(...) else: _generar_interbank(...)</w:t>
            </w:r>
            <w:r>
              <w:rPr>
                <w:sz w:val="19"/>
                <w:szCs w:val="19"/>
              </w:rPr>
              <w:t xml:space="preserve">. Elegir Scotiabank produce un archivo con formato Interbank y nombre «ABONO_SCOTIABANK_…», sin aviso;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_generar_scotiabank</w:t>
            </w:r>
            <w:r>
              <w:rPr>
                <w:sz w:val="19"/>
                <w:szCs w:val="19"/>
              </w:rPr>
              <w:t xml:space="preserve"> (l. 272) nunca se llama.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Despachar por banco (bcp / interbank / scotiabank) y, mientras un formato no esté validado, ocultarlo del selector o bloquearlo con un mensaje claro.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Elegir Scotiabank genera el formato de Scotiabank (o un aviso de «no disponible»), nunca el de Interbank.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t16" w:id="1"/>
      <w:r>
        <w:t xml:space="preserve">2. Mejoras de interfaz</w:t>
      </w:r>
      <w:bookmarkEnd w:id="1"/>
    </w:p>
    <w:p>
      <w:pPr>
        <w:pStyle w:val="Heading2"/>
      </w:pPr>
      <w:bookmarkStart w:name="t17" w:id="1"/>
      <w:r>
        <w:t xml:space="preserve">U-01 · Planes EPS: la lista solo muestra el ID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solse_pe_payroll_ce/models/maestros.py</w:t>
            </w:r>
            <w:r>
              <w:rPr>
                <w:sz w:val="19"/>
                <w:szCs w:val="19"/>
              </w:rPr>
              <w:t xml:space="preserve"> (eps.management) y su vista lista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la lista «Planes EPS» tiene una sola columna «ID» y el registro se muestra como «eps.management,1» (el modelo no tiene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name</w:t>
            </w:r>
            <w:r>
              <w:rPr>
                <w:sz w:val="19"/>
                <w:szCs w:val="19"/>
              </w:rPr>
              <w:t xml:space="preserve"> ni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_rec_name</w:t>
            </w:r>
            <w:r>
              <w:rPr>
                <w:sz w:val="19"/>
                <w:szCs w:val="19"/>
              </w:rPr>
              <w:t xml:space="preserve">). En la ficha del trabajador el plan EPS tampoco se identifica.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_rec_name = 'entity'</w:t>
            </w:r>
            <w:r>
              <w:rPr>
                <w:sz w:val="19"/>
                <w:szCs w:val="19"/>
              </w:rPr>
              <w:t xml:space="preserve"> (o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_compute_display_name</w:t>
            </w:r>
            <w:r>
              <w:rPr>
                <w:sz w:val="19"/>
                <w:szCs w:val="19"/>
              </w:rPr>
              <w:t xml:space="preserve"> «Entidad – póliza») y lista con Entidad, N.° de póliza, inicio, fin, tasa empleador, tasa trabajador y cantidad de empleados.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lista y el campo del trabajador muestran «PACIFICO EPS (DEMO)».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18" w:id="1"/>
      <w:r>
        <w:t xml:space="preserve">U-02 · Contratos: la lista no muestra al trabajador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› Empleados › Contratos (hr.version, acción de om_hr_payroll)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cada fila se llama por su fecha («1 ene. 2025») y la lista no tiene la columna del empleado: con 28 contratos no se distingue de quién es cada uno.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Agregar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employee_id</w:t>
            </w:r>
            <w:r>
              <w:rPr>
                <w:sz w:val="19"/>
                <w:szCs w:val="19"/>
              </w:rPr>
              <w:t xml:space="preserve"> como primera columna, agrupar por empleado y mostrar fechas de inicio y fin, sueldo, estructura y régimen laboral.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lista de contratos se lee sin abrir cada registro.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19" w:id="1"/>
      <w:r>
        <w:t xml:space="preserve">U-03 · Reglas salariales: filas repetidas, sin estructura, con reglas de India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› Configuración › Reglas salariales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135 reglas; la misma regla aparece varias veces (copia por estructura: Reglas Básicas 30, NME 29, NSO 29, VAC 21…) sin columna de estructura, y aparecen reglas de India de om_hr_payroll (HRA «House Rent Allowance», DA, Travel, Meal, Medical, sin estructura).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Columna y agrupación por estructura; filtro por defecto «Estructuras peruanas»; archivar en la instalación las reglas sin estructura ajenas a Perú (HRA, DA, Travel, Meal, Medical).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lista abre agrupada por estructura y sin reglas de India.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20" w:id="1"/>
      <w:r>
        <w:t xml:space="preserve">U-04 · Maestros SUNAT: solo la abreviatura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Listas de T8 (type.contract), T9 (academic.degree), T17 (low.reason), T35 (special.situation); T19 sin código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estas listas muestran solo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name</w:t>
            </w:r>
            <w:r>
              <w:rPr>
                <w:sz w:val="19"/>
                <w:szCs w:val="19"/>
              </w:rPr>
              <w:t xml:space="preserve"> (la abreviatura); el </w:t>
            </w:r>
            <w:r>
              <w:rPr>
                <w:b/>
                <w:bCs/>
                <w:sz w:val="19"/>
                <w:szCs w:val="19"/>
              </w:rPr>
              <w:t xml:space="preserve">código SUNAT</w:t>
            </w:r>
            <w:r>
              <w:rPr>
                <w:sz w:val="19"/>
                <w:szCs w:val="19"/>
              </w:rPr>
              <w:t xml:space="preserve"> y la descripción existen en el modelo pero no se ven, y el desplegable del trabajador tampoco muestra el código.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Listas con Código · Abreviatura · Descripción;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display_name</w:t>
            </w:r>
            <w:r>
              <w:rPr>
                <w:sz w:val="19"/>
                <w:szCs w:val="19"/>
              </w:rPr>
              <w:t xml:space="preserve"> = «[código] descripción» (como ya hace Conceptos PLAME T22); búsqueda por código.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la ficha, «Motivo de baja» muestra p. ej. «[01] RENUNCIA».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21" w:id="1"/>
      <w:r>
        <w:t xml:space="preserve">U-05 · Registros que se muestran como «modelo,id»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solse.payroll.mapeo.contable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mintra.contract</w:t>
            </w:r>
            <w:r>
              <w:rPr>
                <w:sz w:val="19"/>
                <w:szCs w:val="19"/>
              </w:rPr>
              <w:t xml:space="preserve">, asistentes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el mapeo contable se muestra «solse.payroll.mapeo.contable,1» (en la miga de pan al abrirlo); T12 no tiene nombre y su lista solo tiene la columna ID.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_compute_display_name</w:t>
            </w:r>
            <w:r>
              <w:rPr>
                <w:sz w:val="19"/>
                <w:szCs w:val="19"/>
              </w:rPr>
              <w:t xml:space="preserve"> en el mapeo («RB_001 → 6211 / 4111») y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_rec_name</w:t>
            </w:r>
            <w:r>
              <w:rPr>
                <w:sz w:val="19"/>
                <w:szCs w:val="19"/>
              </w:rPr>
              <w:t xml:space="preserve"> en T12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mintra_description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Ningún registro de nómina se muestra como «modelo,id».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22" w:id="1"/>
      <w:r>
        <w:t xml:space="preserve">U-06 · Textos en inglés y traducciones erróneas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om_hr_payroll i18n/es (o un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es_PE.po</w:t>
            </w:r>
            <w:r>
              <w:rPr>
                <w:sz w:val="19"/>
                <w:szCs w:val="19"/>
              </w:rPr>
              <w:t xml:space="preserve"> en solse_pe_payroll_ce)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 en la interfaz en español: boleta nombrada «Salary Slip of … for diciembre-2026»; campos «Salary Structure», «Salary Journal», «Scheduled Pay», «Employee Category», «Analytic Account», «Employment Version/Contract»; días «Normal Working Days paid at 100%» y «Global Leaves»; botón del lote «Marcar como echo»;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credit_note</w:t>
            </w:r>
            <w:r>
              <w:rPr>
                <w:sz w:val="19"/>
                <w:szCs w:val="19"/>
              </w:rPr>
              <w:t xml:space="preserve"> traducido como «Factura rectificativa».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Traducciones: «Boleta de {empleado} – {mes año}», «Estructura salarial», «Diario de planillas», «Periodicidad de pago», «Contrato», «Días laborados (100 %)», «Feriados», «Marcar como hecho», «Boleta rectificativa».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Ningún texto en inglés en boleta, lote y contrato con idioma es_PE.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23" w:id="1"/>
      <w:r>
        <w:t xml:space="preserve">U-07 · Campos de India en el contrato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Formulario de hr.version (om_hr_payroll)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el contrato muestra «Beneficios mensuales en efectivo» con HRA, DA, travel_allowance, meal_allowance, medical_allowance y other_allowance, que no aplican en Perú.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Ocultarlos en la vista heredada de solse_pe_payroll_ce.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contrato solo muestra datos peruanos.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24" w:id="1"/>
      <w:r>
        <w:t xml:space="preserve">U-08 · Editor de parámetros estructurados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hr.rule.parameter.value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parameter_value</w:t>
            </w:r>
            <w:r>
              <w:rPr>
                <w:sz w:val="19"/>
                <w:szCs w:val="19"/>
              </w:rPr>
              <w:t xml:space="preserve"> texto)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 comisiones, tramos y factores se escriben como texto Python (p. ej. «{'habitat': 0.0147, 'integra': 0.0155, …}»). Es fácil equivocarse y el error recién aparece al calcular la boleta (ver V-01).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Vista amigable: para parámetros tipo diccionario, una tabla clave/valor; para tramos, filas «hasta UIT / tasa»; conservar el texto como respaldo técnico.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usuario de RR. HH. actualiza la comisión de una AFP sin escribir sintaxis.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25" w:id="1"/>
      <w:r>
        <w:t xml:space="preserve">U-09 · Menú de parámetros duplicado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menu_views.xml (payroll_base y payroll_ce)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«Parámetros de Nómina PE» aparece en Configuración y en Nómina PE (misma acción).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Dejar uno solo (Nómina PE) o renombrar.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solo acceso.</w:t>
            </w:r>
          </w:p>
        </w:tc>
      </w:tr>
    </w:tbl>
    <w:p>
      <w:pPr>
        <w:spacing w:after="120"/>
      </w:pPr>
    </w:p>
    <w:p>
      <w:pPr>
        <w:pBdr>
          <w:left w:val="single" w:color="2E86AB" w:sz="18" w:space="8"/>
        </w:pBdr>
        <w:shd w:fill="EAF4F8" w:color="auto" w:val="clear"/>
        <w:spacing w:after="160" w:before="120"/>
        <w:ind w:left="120" w:right="120"/>
      </w:pPr>
      <w:r>
        <w:rPr>
          <w:b/>
          <w:bCs/>
          <w:color w:val="2E86AB"/>
        </w:rPr>
        <w:t xml:space="preserve">Nota: </w:t>
      </w:r>
      <w:r>
        <w:t xml:space="preserve">Pantallas de referencia para U-01 a U-03: capturas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p06_01_planes_eps.png</w:t>
      </w:r>
      <w:r>
        <w:t xml:space="preserve">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p09_03_reglas_salariales.png</w:t>
      </w:r>
      <w:r>
        <w:t xml:space="preserve"> y la lista de Contratos (Nómina › Empleados › Contratos) en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manuales_ce/capturas/</w:t>
      </w:r>
      <w:r>
        <w:t xml:space="preserve">.</w:t>
      </w:r>
    </w:p>
    <w:p>
      <w:pPr>
        <w:pStyle w:val="Heading1"/>
        <w:pageBreakBefore/>
      </w:pPr>
      <w:bookmarkStart w:name="t26" w:id="1"/>
      <w:r>
        <w:t xml:space="preserve">3. Validaciones y controles</w:t>
      </w:r>
      <w:bookmarkEnd w:id="1"/>
    </w:p>
    <w:p>
      <w:pPr>
        <w:pStyle w:val="Heading2"/>
      </w:pPr>
      <w:bookmarkStart w:name="t27" w:id="1"/>
      <w:r>
        <w:t xml:space="preserve">V-01 · Validar el valor de los parámetros al guardar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solse_pe_payroll_base/models/hr_rule_parameter.py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_verificar_valor</w:t>
            </w:r>
            <w:r>
              <w:rPr>
                <w:sz w:val="19"/>
                <w:szCs w:val="19"/>
              </w:rPr>
              <w:t xml:space="preserve"> (l. 197)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restricción solo comprueba que el texto no esté vacío; el valor se evalúa recién en la boleta con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ast.literal_eval</w:t>
            </w:r>
            <w:r>
              <w:rPr>
                <w:sz w:val="19"/>
                <w:szCs w:val="19"/>
              </w:rPr>
              <w:t xml:space="preserve">. Un valor escrito con coma de miles, como «1,230», se guarda sin error y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literal_eval</w:t>
            </w:r>
            <w:r>
              <w:rPr>
                <w:sz w:val="19"/>
                <w:szCs w:val="19"/>
              </w:rPr>
              <w:t xml:space="preserve"> lo convierte en la tupla (1, 230): la regla falla o calcula mal en todas las boletas.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la restricción: ejecutar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literal_eval</w:t>
            </w:r>
            <w:r>
              <w:rPr>
                <w:sz w:val="19"/>
                <w:szCs w:val="19"/>
              </w:rPr>
              <w:t xml:space="preserve"> y validar el tipo esperado por parámetro (número, dict con claves AFP, lista de tramos, dict de factores), con mensaje claro.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Guardar «1,230» en RMV muestra «Use punto decimal y sin separador de miles».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28" w:id="1"/>
      <w:r>
        <w:t xml:space="preserve">V-02 · Aviso previo de vigencias faltantes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hr.payslip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compute_sheet</w:t>
            </w:r>
            <w:r>
              <w:rPr>
                <w:sz w:val="19"/>
                <w:szCs w:val="19"/>
              </w:rPr>
              <w:t xml:space="preserve"> / lote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Hoy la falta de vigencia aparece como «Wrong python code defined for salary rule AFP - Comisión (AFP_COM_001)…» (error técnico de om_hr_payroll).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Antes de calcular, verificar las vigencias que usarán las reglas a la fecha de la boleta y mostrar un mensaje funcional: «Falta registrar la comisión AFP vigente al 31/01/2025 (Nómina PE › Parámetros)».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Mensaje funcional en lugar del error de regla.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29" w:id="1"/>
      <w:r>
        <w:t xml:space="preserve">V-03 · Alertas de RMA y RMV visibles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payroll_base (cron RMA de 95 días)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alerta de la RMA es una actividad sobre el parámetro: poco visible. Ninguna alerta para RMV/UIT al inicio de año.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Banda de aviso en la lista de boletas y lotes cuando la RMA tenga más de 95 días o falte la UIT del año en curso.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aviso aparece al abrir Nóminas del empleado.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t30" w:id="1"/>
      <w:r>
        <w:t xml:space="preserve">4. Calidad, datos y demo</w:t>
      </w:r>
      <w:bookmarkEnd w:id="1"/>
    </w:p>
    <w:p>
      <w:pPr>
        <w:pStyle w:val="Heading2"/>
      </w:pPr>
      <w:bookmarkStart w:name="t31" w:id="1"/>
      <w:r>
        <w:t xml:space="preserve">Q-01 · La demo activa SENATI en la compañía donde corre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solse_pe_payroll_ce_demo/models/seeder.py:125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sembrador hace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compania.afecto_senati = True</w:t>
            </w:r>
            <w:r>
              <w:rPr>
                <w:sz w:val="19"/>
                <w:szCs w:val="19"/>
              </w:rPr>
              <w:t xml:space="preserve">. En contable19 FM SYSTEMS (servicios) quedó afecta a SENATI por una siembra antigua del asistente «Datos de prueba»; todas sus boletas llevan SENATI_001.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 la demo solo toque compañías del laboratorio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solse_es_demo</w:t>
            </w:r>
            <w:r>
              <w:rPr>
                <w:sz w:val="19"/>
                <w:szCs w:val="19"/>
              </w:rPr>
              <w:t xml:space="preserve">) y que el asistente «Datos de prueba» no aparezca en compañías reales.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Correr la demo no cambia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afecto_senati</w:t>
            </w:r>
            <w:r>
              <w:rPr>
                <w:sz w:val="19"/>
                <w:szCs w:val="19"/>
              </w:rPr>
              <w:t xml:space="preserve"> de una compañía real.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32" w:id="1"/>
      <w:r>
        <w:t xml:space="preserve">Q-02 · Maestro T12 sin datos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solse_pe_payroll_ce/data/</w:t>
            </w:r>
            <w:r>
              <w:rPr>
                <w:sz w:val="19"/>
                <w:szCs w:val="19"/>
              </w:rPr>
              <w:t xml:space="preserve"> (falta mintra_contract)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mintra.contract</w:t>
            </w:r>
            <w:r>
              <w:rPr>
                <w:sz w:val="19"/>
                <w:szCs w:val="19"/>
              </w:rPr>
              <w:t xml:space="preserve"> con 0 registros y sin archivo de datos; el campo del contrato queda vacío.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Cargar la tabla 12 de la Planilla Electrónica (CSV como work.occupation).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Contratos MINTRA (T12) con sus códigos SUNAT.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33" w:id="1"/>
      <w:r>
        <w:t xml:space="preserve">Q-03 · Estructuras con compañía fija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hr.payroll.structure (inicializador)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Medido: las 9 estructuras tienen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company_id</w:t>
            </w:r>
            <w:r>
              <w:rPr>
                <w:sz w:val="19"/>
                <w:szCs w:val="19"/>
              </w:rPr>
              <w:t xml:space="preserve"> = compañía 1 y las usan las boletas de otras compañías (el caso NOMINA corre en «servicios» al 100 %).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Estructuras sin compañía (compartidas) o una copia por compañía, coherente con N-4.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 restringido a otra compañía calcula boletas sin error de acceso.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34" w:id="1"/>
      <w:r>
        <w:t xml:space="preserve">Q-04 · Casos QA para las salidas sin cobertura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Laboratorio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solse_pe_demo_libros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casos actuales no cubren TXT bancarios, AFPnet ni la boleta PDF; por eso C-01, C-05 y C-08 no se detectaron.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Caso «BANCOS»: TXT BCP/Interbank haberes y CTS con cuentas propias e interbancarias y un trabajador sin cuenta; caso «BOLETA»: cuadre ingresos − descuentos = neto.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casos nuevos fallan con el código actual y pasan con las correcciones.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t35" w:id="1"/>
      <w:r>
        <w:t xml:space="preserve">5. Funcionalidades nuevas (cobertura)</w:t>
      </w:r>
      <w:bookmarkEnd w:id="1"/>
    </w:p>
    <w:p>
      <w:pPr>
        <w:spacing w:after="120"/>
      </w:pPr>
      <w:r>
        <w:t xml:space="preserve">Lo que hoy </w:t>
      </w:r>
      <w:r>
        <w:rPr>
          <w:b/>
          <w:bCs/>
        </w:rPr>
        <w:t xml:space="preserve">no existe en el código</w:t>
      </w:r>
      <w:r>
        <w:t xml:space="preserve"> y el manual (capítulo 23) y el video resumen (tarjeta «Lo que hoy no cubre la localización») declaran como no cubierto. Cada ficha indica qué se verificó en el código para afirmar que falta.</w:t>
      </w:r>
    </w:p>
    <w:p>
      <w:pPr>
        <w:pStyle w:val="Heading2"/>
      </w:pPr>
      <w:bookmarkStart w:name="t36" w:id="1"/>
      <w:r>
        <w:t xml:space="preserve">N-01 · Subsidios (incapacidad temporal y maternidad)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 (aparece en el video y el manual)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</w:t>
            </w:r>
            <w:r>
              <w:rPr>
                <w:sz w:val="19"/>
                <w:szCs w:val="19"/>
              </w:rPr>
              <w:t xml:space="preserve">: reglas,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wizard/plame.py</w:t>
            </w:r>
            <w:r>
              <w:rPr>
                <w:sz w:val="19"/>
                <w:szCs w:val="19"/>
              </w:rPr>
              <w:t xml:space="preserve"> (.snl), tipos de ausencia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Verificado en el código: no hay reglas de subsidio; la categoría BSM_001 (subsidios) existe pero ninguna regla la usa;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plame.py</w:t>
            </w:r>
            <w:r>
              <w:rPr>
                <w:sz w:val="19"/>
                <w:szCs w:val="19"/>
              </w:rPr>
              <w:t xml:space="preserve"> escribe el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.snl</w:t>
            </w:r>
            <w:r>
              <w:rPr>
                <w:sz w:val="19"/>
                <w:szCs w:val="19"/>
              </w:rPr>
              <w:t xml:space="preserve"> vacío con el comentario «suspensiones aún no gestionadas» (l. 14-16 y 156). Medido: el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.snl</w:t>
            </w:r>
            <w:r>
              <w:rPr>
                <w:sz w:val="19"/>
                <w:szCs w:val="19"/>
              </w:rPr>
              <w:t xml:space="preserve"> de diciembre 2026 sale vacío.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Tipos de ausencia subsidiada con su código de suspensión (tabla 21: 21 incapacidad temporal, 22 maternidad, etc.); los días subsidiados no pagados en la mensual; regla de subsidio (pagado por el empleador y recuperable de EsSalud) en BSM_001; el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.snl</w:t>
            </w:r>
            <w:r>
              <w:rPr>
                <w:sz w:val="19"/>
                <w:szCs w:val="19"/>
              </w:rPr>
              <w:t xml:space="preserve"> con tipo de documento, documento, código de suspensión y días.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Trabajador con 10 días de descanso médico: la mensual paga 20 días + subsidio de 10, el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.snl</w:t>
            </w:r>
            <w:r>
              <w:rPr>
                <w:sz w:val="19"/>
                <w:szCs w:val="19"/>
              </w:rPr>
              <w:t xml:space="preserve"> trae la línea con el código de suspensión y 10 días, y el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.jor</w:t>
            </w:r>
            <w:r>
              <w:rPr>
                <w:sz w:val="19"/>
                <w:szCs w:val="19"/>
              </w:rPr>
              <w:t xml:space="preserve"> declara 20 días.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37" w:id="1"/>
      <w:r>
        <w:t xml:space="preserve">N-02 · Exportación del T-Registro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(aparece en el video y el manual)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Nuevo asistente en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Verificado: no hay asistente ni exportación; solo campos y etiquetas «Identificación T-Registro» y «Perú - Datos laborales (T-Registro / PLAME)» (hr_employee.py:6, hr_version_views.xml:12).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Asistente de altas, bajas y modificaciones que genere los archivos de importación del T-Registro (estructuras de datos personales, datos laborales, periodos, derechohabientes) a partir de la ficha, el contrato y los derechohabientes ya cargados; validación previa de datos faltantes.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 de Lucía (99999901) exportada; los archivos se importan en el T-Registro de prueba sin rechazos (validación externa como el PDT).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38" w:id="1"/>
      <w:r>
        <w:t xml:space="preserve">N-03 · Indemnización por despido arbitrario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(aparece en el video y el manual)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Estructura LIQ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bloque9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Verificado: la estructura Liquidación solo tiene vacaciones, gratificación, bonificación y CTS truncas (medido: Carmen, neto 3,547.22); no hay regla de indemnización.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 opcional activada por el motivo de baja (T17) o por una entrada: 1.5 remuneraciones por año completo (proporcional por meses y días) con tope de 12 remuneraciones (D.S. 003-97-TR, art. 38); para plazo fijo, 1.5 por mes restante con el mismo tope.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Cese con despido arbitrario de un trabajador con 1 año y 8 meses: indemnización calculada y verificada por la contadora.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39" w:id="1"/>
      <w:r>
        <w:t xml:space="preserve">N-04 · Regularización de la renta de 5.ª al cese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(aparece en el video y el manual)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Estructura LIQ / R5TA_001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Verificado: la estructura LIQ excluye R5TA y no recalcula el impuesto anual con los ingresos reales del año al cese.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 en LIQ que calcule el impuesto anual con lo percibido + la liquidación (sin proyección) y retenga la diferencia contra lo ya retenido.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Cese en agosto: retención total del año igual al impuesto anual recalculado con los ingresos reales.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40" w:id="1"/>
      <w:r>
        <w:t xml:space="preserve">N-05 · Prima de Vida Ley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life.insurance</w:t>
            </w:r>
            <w:r>
              <w:rPr>
                <w:sz w:val="19"/>
                <w:szCs w:val="19"/>
              </w:rPr>
              <w:t xml:space="preserve"> + nueva regla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Verificado: existe el catálogo (entidad, póliza, vigencia, tasa, importe, empleados) pero ninguna regla salarial lo usa; en la base el catálogo está vacío.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Regla de aporte del empleador (tasa sobre la remuneración o importe fijo) con cuentas 6273/46xx, solo para los empleados de la póliza vigente.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Trabajador en la póliza: aporte del empleador en la boleta y en el asiento.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41" w:id="1"/>
      <w:r>
        <w:t xml:space="preserve">N-06 · TXT de Scotiabank y Banco de la Nación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(aparece en el video y el manual)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wizard/bancos.py</w:t>
            </w:r>
            <w:r>
              <w:rPr>
                <w:sz w:val="19"/>
                <w:szCs w:val="19"/>
              </w:rPr>
              <w:t xml:space="preserve"> (l. 5-13 lo declara pendiente)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Verificado: el selector ofrece BCP, Interbank y Scotiabank, y existe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_generar_scotiabank</w:t>
            </w:r>
            <w:r>
              <w:rPr>
                <w:sz w:val="19"/>
                <w:szCs w:val="19"/>
              </w:rPr>
              <w:t xml:space="preserve"> (l. 272), pero nunca se llama (ver C-13). Banco de la Nación no existe.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Conectar Scotiabank (haberes y CTS) y agregar Banco de la Nación con sus formatos oficiales; resolver antes C-01 y C-13.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TXT de prueba aceptado por la banca por internet de cada banco (validación externa).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42" w:id="1"/>
      <w:r>
        <w:t xml:space="preserve">N-07 · Pago de la planilla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hr.payslip / hr.payslip.run (Community)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Verificado: en Community no hay flujo de pagos de nómina;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paid_amount</w:t>
            </w:r>
            <w:r>
              <w:rPr>
                <w:sz w:val="19"/>
                <w:szCs w:val="19"/>
              </w:rPr>
              <w:t xml:space="preserve"> es un campo manual con valor 0 (payroll_base).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Botón en el lote para registrar el pago (asiento 4111 contra banco) a partir del TXT generado, y marcar las boletas como pagadas.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Lote de diciembre pagado: cuenta 4111 en cero para esos trabajadores.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43" w:id="1"/>
      <w:r>
        <w:t xml:space="preserve">N-08 · Envío masivo de boletas y constancias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hr.payslip.run · reportes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 (medido)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boleta se imprime una por una; om_hr_payroll tiene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action_send_email</w:t>
            </w:r>
            <w:r>
              <w:rPr>
                <w:sz w:val="19"/>
                <w:szCs w:val="19"/>
              </w:rPr>
              <w:t xml:space="preserve"> por boleta pero no hay envío desde el lote con la boleta PE, ni constancia de depósito de CTS ni certificado de retenciones de 5.ª.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Envío desde el lote con la plantilla «Boleta de Pago (PE)»; reportes de constancia de CTS y certificado anual de 5.ª.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Lote de diciembre: cada trabajador recibe su boleta en PDF.</w:t>
            </w:r>
          </w:p>
        </w:tc>
      </w:tr>
    </w:tbl>
    <w:p>
      <w:pPr>
        <w:spacing w:after="120"/>
      </w:pPr>
    </w:p>
    <w:p>
      <w:pPr>
        <w:pStyle w:val="Heading2"/>
      </w:pPr>
      <w:bookmarkStart w:name="t44" w:id="1"/>
      <w:r>
        <w:t xml:space="preserve">Q-05 · Cobertura pendiente de medición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 / archivo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Laboratorio (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solse_pe_demo_libros</w:t>
            </w:r>
            <w:r>
              <w:rPr>
                <w:sz w:val="19"/>
                <w:szCs w:val="19"/>
              </w:rPr>
              <w:t xml:space="preserve">) y casos de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solse_pe_payroll_ce_demo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Problema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Funciones que existen pero que ni el laboratorio ni este manual midieron: </w:t>
            </w:r>
            <w:r>
              <w:rPr>
                <w:b/>
                <w:bCs/>
                <w:sz w:val="19"/>
                <w:szCs w:val="19"/>
              </w:rPr>
              <w:t xml:space="preserve">reparto de utilidades</w:t>
            </w:r>
            <w:r>
              <w:rPr>
                <w:sz w:val="19"/>
                <w:szCs w:val="19"/>
              </w:rPr>
              <w:t xml:space="preserve"> (asistente D.Leg. 892), </w:t>
            </w:r>
            <w:r>
              <w:rPr>
                <w:b/>
                <w:bCs/>
                <w:sz w:val="19"/>
                <w:szCs w:val="19"/>
              </w:rPr>
              <w:t xml:space="preserve">microempresa</w:t>
            </w:r>
            <w:r>
              <w:rPr>
                <w:sz w:val="19"/>
                <w:szCs w:val="19"/>
              </w:rPr>
              <w:t xml:space="preserve"> (sin gratificación ni CTS), </w:t>
            </w:r>
            <w:r>
              <w:rPr>
                <w:b/>
                <w:bCs/>
                <w:sz w:val="19"/>
                <w:szCs w:val="19"/>
              </w:rPr>
              <w:t xml:space="preserve">alerta de la RMA</w:t>
            </w:r>
            <w:r>
              <w:rPr>
                <w:sz w:val="19"/>
                <w:szCs w:val="19"/>
              </w:rPr>
              <w:t xml:space="preserve"> a los 95 días, </w:t>
            </w:r>
            <w:r>
              <w:rPr>
                <w:b/>
                <w:bCs/>
                <w:sz w:val="19"/>
                <w:szCs w:val="19"/>
              </w:rPr>
              <w:t xml:space="preserve">AFPnet</w:t>
            </w:r>
            <w:r>
              <w:rPr>
                <w:sz w:val="19"/>
                <w:szCs w:val="19"/>
              </w:rPr>
              <w:t xml:space="preserve"> solo con afiliados con CUSPP, </w:t>
            </w:r>
            <w:r>
              <w:rPr>
                <w:b/>
                <w:bCs/>
                <w:sz w:val="19"/>
                <w:szCs w:val="19"/>
              </w:rPr>
              <w:t xml:space="preserve">checksum</w:t>
            </w:r>
            <w:r>
              <w:rPr>
                <w:sz w:val="19"/>
                <w:szCs w:val="19"/>
              </w:rPr>
              <w:t xml:space="preserve"> del TXT BCP, nómina </w:t>
            </w:r>
            <w:r>
              <w:rPr>
                <w:b/>
                <w:bCs/>
                <w:sz w:val="19"/>
                <w:szCs w:val="19"/>
              </w:rPr>
              <w:t xml:space="preserve">semanal</w:t>
            </w:r>
            <w:r>
              <w:rPr>
                <w:sz w:val="19"/>
                <w:szCs w:val="19"/>
              </w:rPr>
              <w:t xml:space="preserve"> de obreros en FM SYSTEMS y </w:t>
            </w:r>
            <w:r>
              <w:rPr>
                <w:b/>
                <w:bCs/>
                <w:sz w:val="19"/>
                <w:szCs w:val="19"/>
              </w:rPr>
              <w:t xml:space="preserve">descuento judicial / cuota sindical</w:t>
            </w:r>
            <w:r>
              <w:rPr>
                <w:sz w:val="19"/>
                <w:szCs w:val="19"/>
              </w:rPr>
              <w:t xml:space="preserve"> fuera de la demo. Son los casos 7, 15, 16, 17 y 19 abiertos en la biblia (§6).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Propuesta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Agregar estas filas a los casos NOMINA y PLAME (o un caso BANCOS, ver Q-04).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función con al menos un valor esperado comparado en el laboratorio.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t45" w:id="1"/>
      <w:r>
        <w:t xml:space="preserve">6. Al confirmar los cambios: qué se vuelve a correr</w:t>
      </w:r>
      <w:bookmarkEnd w:id="1"/>
    </w:p>
    <w:p>
      <w:pPr>
        <w:spacing w:after="120"/>
      </w:pPr>
      <w:r>
        <w:t xml:space="preserve">Cuando el chat de desarrollo entregue las correcciones, la sesión del manual vuelve a medir y actualiza manual y videos con este orden: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Actualizar los módulos en contable19 (antes, rechazar las vacaciones aprobadas de prueba: N-6 de la biblia).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Laboratorio: Limpiar, Sembrar, Generar y Comparar los cuatro casos (deben seguir al 100 %) y los casos nuevos de Q-04 y Q-05.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FM SYSTEMS: recalcular la planilla de enero de 2025 a diciembre de 2026 (borrar y regenerar las 64 boletas) y comparar contra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anio_completo_fm.json</w:t>
      </w:r>
      <w:r>
        <w:t xml:space="preserve">. Las diferencias esperadas son solo las de C-03, C-04, C-05 y C-11.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Repetir los archivos legales: PLAME, AFPnet, planilla y TXT de haberes y de CTS (C-01, C-08 y C-12).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Recapturar las pantallas afectadas por U-01 a U-09 y por las funcionalidades nuevas, y volver a difuminar.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Manual: actualizar los capítulos 4, 10, 13, 15, 17, 21 y 23, y el Anexo A (cerrar las observaciones resueltas).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resumen: regrabar los clips afectados y cambiar la tarjeta «Lo que hoy no cubre» según lo que se haya implementado. Promo: agregar escenas si entran N-01 o N-02.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Capítulo del manual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Segmento del video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C-01, C-08, C-12, N-06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 Reportes (pago a bancos), 15 CTS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Nuevo clip de pago a bancos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C-02, V-01, V-02, U-08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Parámetros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Parámetros con vigencia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C-03, C-11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Renta de 5.ª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C-04, C-09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 Vacaciones, 18 Feriados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Vacaciones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C-05, C-06, C-07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Contabilidad, 8 Alta, 10 Boleta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 del trabajador; boleta, asiento y PDF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U-01 a U-07, U-09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3, 5, 6, 8, 9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 Nómina PE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N-01 a N-05, N-07, N-08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 Liquidación, 21, 23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Tarjeta «Alcance» y clips nuevos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Mejoras · Nómina Peruana Odoo 19 Community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714B6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714B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Mejoras de la nómina peruana - Odoo 19 Community</dc:title>
  <dc:creator>SOLSE - Implementación Odoo</dc:creator>
  <dc:description>Documento de mejoras para el desarrollo de la nómina peruana Community</dc:description>
  <cp:lastModifiedBy>Un-named</cp:lastModifiedBy>
  <cp:revision>1</cp:revision>
  <dcterms:created xsi:type="dcterms:W3CDTF">2026-10-09T16:23:23.713Z</dcterms:created>
  <dcterms:modified xsi:type="dcterms:W3CDTF">2026-10-09T16:23:23.713Z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