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120"/>
        <w:jc w:val="center"/>
      </w:pPr>
      <w:r>
        <w:rPr>
          <w:rFonts w:ascii="Arial" w:cs="Arial" w:eastAsia="Arial" w:hAnsi="Arial"/>
          <w:b/>
          <w:bCs/>
          <w:color w:val="1A7A6D"/>
          <w:sz w:val="40"/>
          <w:szCs w:val="40"/>
        </w:rPr>
        <w:t xml:space="preserve">WEEK 1 BRIEF ADDENDUM</w:t>
      </w:r>
    </w:p>
    <w:p>
      <w:pPr>
        <w:spacing w:after="200"/>
        <w:jc w:val="center"/>
      </w:pPr>
      <w:r>
        <w:rPr>
          <w:rFonts w:ascii="Arial" w:cs="Arial" w:eastAsia="Arial" w:hAnsi="Arial"/>
          <w:color w:val="333333"/>
          <w:sz w:val="28"/>
          <w:szCs w:val="28"/>
        </w:rPr>
        <w:t xml:space="preserve">Data Governance, Messiness &amp; Quality Profiling</w:t>
      </w:r>
    </w:p>
    <w:p>
      <w:pPr>
        <w:pBdr>
          <w:bottom w:val="single" w:color="1A7A6D" w:sz="6" w:space="8"/>
        </w:pBdr>
        <w:spacing w:after="400"/>
        <w:jc w:val="center"/>
      </w:pPr>
      <w:r>
        <w:rPr>
          <w:rFonts w:ascii="Arial" w:cs="Arial" w:eastAsia="Arial" w:hAnsi="Arial"/>
          <w:color w:val="666666"/>
          <w:sz w:val="22"/>
          <w:szCs w:val="22"/>
        </w:rPr>
        <w:t xml:space="preserve">Updates to the Week 1 Project Brief for Otacon Inc.</w:t>
      </w:r>
    </w:p>
    <w:p>
      <w:pPr>
        <w:spacing w:after="80"/>
      </w:pPr>
    </w:p>
    <w:p>
      <w:pPr>
        <w:spacing w:after="160"/>
      </w:pPr>
      <w:r>
        <w:rPr>
          <w:rFonts w:ascii="Arial" w:cs="Arial" w:eastAsia="Arial" w:hAnsi="Arial"/>
          <w:color w:val="333333"/>
          <w:sz w:val="22"/>
          <w:szCs w:val="22"/>
        </w:rPr>
        <w:t xml:space="preserve">This addendum updates the existing Week 1 Project Brief with three new components: controlled data quality degradation (messiness), a governance layer with clean views, and data quality profiling in the validation step. It also updates the build instructions, definition of done, and file structure.</w:t>
      </w:r>
    </w:p>
    <w:p>
      <w:pPr>
        <w:spacing w:after="80"/>
      </w:pPr>
    </w:p>
    <w:p>
      <w:pPr>
        <w:pBdr>
          <w:left w:val="single" w:color="1A7A6D" w:sz="12" w:space="8"/>
        </w:pBdr>
        <w:shd w:fill="E8F4F8" w:val="clear"/>
        <w:spacing w:before="200" w:after="200"/>
        <w:ind w:left="240"/>
      </w:pPr>
      <w:r>
        <w:rPr>
          <w:rFonts w:ascii="Arial" w:cs="Arial" w:eastAsia="Arial" w:hAnsi="Arial"/>
          <w:b/>
          <w:bCs/>
          <w:color w:val="1A7A6D"/>
          <w:sz w:val="22"/>
          <w:szCs w:val="22"/>
        </w:rPr>
        <w:t xml:space="preserve">Where this fits:  </w:t>
      </w:r>
      <w:r>
        <w:rPr>
          <w:rFonts w:ascii="Arial" w:cs="Arial" w:eastAsia="Arial" w:hAnsi="Arial"/>
          <w:color w:val="333333"/>
          <w:sz w:val="22"/>
          <w:szCs w:val="22"/>
        </w:rPr>
        <w:t xml:space="preserve">Read this after you have the original Week 1 brief. This addendum modifies Steps 7–8 of the build instructions and adds Steps 8–9. It also adds new definition-of-done criteria.</w:t>
      </w:r>
    </w:p>
    <w:p>
      <w:r>
        <w:br w:type="page"/>
      </w:r>
    </w:p>
    <w:p>
      <w:pPr>
        <w:pStyle w:val="Heading1"/>
        <w:spacing w:before="360" w:after="200"/>
      </w:pPr>
      <w:r>
        <w:rPr>
          <w:rFonts w:ascii="Arial" w:cs="Arial" w:eastAsia="Arial" w:hAnsi="Arial"/>
          <w:b/>
          <w:bCs/>
          <w:color w:val="1A7A6D"/>
          <w:sz w:val="32"/>
          <w:szCs w:val="32"/>
        </w:rPr>
        <w:t xml:space="preserve">1. Updated File Structure</w:t>
      </w:r>
    </w:p>
    <w:p>
      <w:pPr>
        <w:spacing w:after="160"/>
      </w:pPr>
      <w:r>
        <w:rPr>
          <w:rFonts w:ascii="Arial" w:cs="Arial" w:eastAsia="Arial" w:hAnsi="Arial"/>
          <w:color w:val="333333"/>
          <w:sz w:val="22"/>
          <w:szCs w:val="22"/>
        </w:rPr>
        <w:t xml:space="preserve">Three new files join the generate_otacon/ package: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676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constants, benchmarks, weights, storyline params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schema.py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~180</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 TABLE statements (unchanged)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generators.py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five layers + bridge builders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validation.py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~160</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Benchmark validation + data quality profiling (updated)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helpers.py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Shared utilities (unchanged)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messiness.py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~620</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NEW — Controlled data quality degradation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governance.py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 Clean views, flags table, region mapping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__main__.py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Entry point — now 9 steps instead of 7 (updated)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__init__.py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Package marker (unchanged)</w:t>
            </w:r>
          </w:p>
        </w:tc>
      </w:tr>
    </w:tbl>
    <w:p>
      <w:r>
        <w:br w:type="page"/>
      </w:r>
    </w:p>
    <w:p>
      <w:pPr>
        <w:pStyle w:val="Heading1"/>
        <w:spacing w:before="360" w:after="200"/>
      </w:pPr>
      <w:r>
        <w:rPr>
          <w:rFonts w:ascii="Arial" w:cs="Arial" w:eastAsia="Arial" w:hAnsi="Arial"/>
          <w:b/>
          <w:bCs/>
          <w:color w:val="1A7A6D"/>
          <w:sz w:val="32"/>
          <w:szCs w:val="32"/>
        </w:rPr>
        <w:t xml:space="preserve">2. Updated Build Instructions</w:t>
      </w:r>
    </w:p>
    <w:p>
      <w:pPr>
        <w:spacing w:after="160"/>
      </w:pPr>
      <w:r>
        <w:rPr>
          <w:rFonts w:ascii="Arial" w:cs="Arial" w:eastAsia="Arial" w:hAnsi="Arial"/>
          <w:color w:val="333333"/>
          <w:sz w:val="22"/>
          <w:szCs w:val="22"/>
        </w:rPr>
        <w:t xml:space="preserve">The original brief has 7 build steps. This addendum replaces Steps 7–8 and adds Steps 8–9. The new pipeline is:</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1000"/>
        <w:gridCol w:w="1500"/>
      </w:tblGrid>
      <w:tr>
        <w:tc>
          <w:tcPr>
            <w:tcW w:type="dxa" w:w="60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6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100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50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Setup environment + install Faker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Unchanged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E-Commerce layer (customers, products, orders, returns)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90 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Unchanged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SaaS layer (subscriptions, MRR, tickets)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Unchanged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Product Analytics layer (users, events, adoption)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 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Unchanged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Payments layer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Unchanged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CRM layer (accounts, activities, opportunities)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45 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Unchanged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Bridge layer (customer_xref, customer_360)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Unchanged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Messiness — apply controlled data quality degradation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30 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Governance — create clean views, flags, region mapping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w:t>
            </w:r>
          </w:p>
        </w:tc>
      </w:tr>
    </w:tbl>
    <w:p>
      <w:pPr>
        <w:spacing w:after="80"/>
      </w:pPr>
    </w:p>
    <w:p>
      <w:pPr>
        <w:pStyle w:val="Heading2"/>
        <w:spacing w:before="280" w:after="160"/>
      </w:pPr>
      <w:r>
        <w:rPr>
          <w:rFonts w:ascii="Arial" w:cs="Arial" w:eastAsia="Arial" w:hAnsi="Arial"/>
          <w:b/>
          <w:bCs/>
          <w:color w:val="333333"/>
          <w:sz w:val="26"/>
          <w:szCs w:val="26"/>
        </w:rPr>
        <w:t xml:space="preserve">2.1 Step 8: Apply Messiness (30 minutes)</w:t>
      </w:r>
    </w:p>
    <w:p>
      <w:pPr>
        <w:spacing w:after="160"/>
      </w:pPr>
      <w:r>
        <w:rPr>
          <w:rFonts w:ascii="Arial" w:cs="Arial" w:eastAsia="Arial" w:hAnsi="Arial"/>
          <w:color w:val="333333"/>
          <w:sz w:val="22"/>
          <w:szCs w:val="22"/>
        </w:rPr>
        <w:t xml:space="preserve">After the bridge tables are built, apply the messiness module. This injects realistic data quality issues into the clean data you just generated.</w:t>
      </w:r>
    </w:p>
    <w:p>
      <w:pPr>
        <w:spacing w:after="80"/>
      </w:pPr>
    </w:p>
    <w:p>
      <w:pPr>
        <w:pStyle w:val="ListParagraph"/>
        <w:numPr>
          <w:ilvl w:val="0"/>
          <w:numId w:val="2"/>
        </w:numPr>
        <w:spacing w:after="80"/>
      </w:pPr>
      <w:r>
        <w:rPr>
          <w:rFonts w:ascii="Arial" w:cs="Arial" w:eastAsia="Arial" w:hAnsi="Arial"/>
          <w:color w:val="333333"/>
          <w:sz w:val="22"/>
          <w:szCs w:val="22"/>
        </w:rPr>
        <w:t xml:space="preserve">Review MESSINESS_CONFIG in messiness.py. Understand what each category does: missing values, format inconsistencies, near duplicates, temporal anomalies, numeric anomalies, orphaned references, encoding issues.</w:t>
      </w:r>
    </w:p>
    <w:p>
      <w:pPr>
        <w:pStyle w:val="ListParagraph"/>
        <w:numPr>
          <w:ilvl w:val="0"/>
          <w:numId w:val="2"/>
        </w:numPr>
        <w:spacing w:after="80"/>
      </w:pPr>
      <w:r>
        <w:rPr>
          <w:rFonts w:ascii="Arial" w:cs="Arial" w:eastAsia="Arial" w:hAnsi="Arial"/>
          <w:color w:val="333333"/>
          <w:sz w:val="22"/>
          <w:szCs w:val="22"/>
        </w:rPr>
        <w:t xml:space="preserve">Run the messiness module as part of the pipeline. It runs automatically in __main__.py as Step 8.</w:t>
      </w:r>
    </w:p>
    <w:p>
      <w:pPr>
        <w:pStyle w:val="ListParagraph"/>
        <w:numPr>
          <w:ilvl w:val="0"/>
          <w:numId w:val="2"/>
        </w:numPr>
        <w:spacing w:after="80"/>
      </w:pPr>
      <w:r>
        <w:rPr>
          <w:rFonts w:ascii="Arial" w:cs="Arial" w:eastAsia="Arial" w:hAnsi="Arial"/>
          <w:color w:val="333333"/>
          <w:sz w:val="22"/>
          <w:szCs w:val="22"/>
        </w:rPr>
        <w:t xml:space="preserve">Review the messiness report output. Understand how many records were affected in each category.</w:t>
      </w:r>
    </w:p>
    <w:p>
      <w:pPr>
        <w:pStyle w:val="ListParagraph"/>
        <w:numPr>
          <w:ilvl w:val="0"/>
          <w:numId w:val="2"/>
        </w:numPr>
        <w:spacing w:after="80"/>
      </w:pPr>
      <w:r>
        <w:rPr>
          <w:rFonts w:ascii="Arial" w:cs="Arial" w:eastAsia="Arial" w:hAnsi="Arial"/>
          <w:color w:val="333333"/>
          <w:sz w:val="22"/>
          <w:szCs w:val="22"/>
        </w:rPr>
        <w:t xml:space="preserve">Verify that the mess is controlled: re-run the generator with the same seed and confirm you get identical results.</w:t>
      </w:r>
    </w:p>
    <w:p>
      <w:pPr>
        <w:spacing w:after="80"/>
      </w:pPr>
    </w:p>
    <w:p>
      <w:pPr>
        <w:pBdr>
          <w:left w:val="single" w:color="1A7A6D" w:sz="12" w:space="8"/>
        </w:pBdr>
        <w:shd w:fill="E8F4F8" w:val="clear"/>
        <w:spacing w:before="200" w:after="200"/>
        <w:ind w:left="240"/>
      </w:pPr>
      <w:r>
        <w:rPr>
          <w:rFonts w:ascii="Arial" w:cs="Arial" w:eastAsia="Arial" w:hAnsi="Arial"/>
          <w:b/>
          <w:bCs/>
          <w:color w:val="1A7A6D"/>
          <w:sz w:val="22"/>
          <w:szCs w:val="22"/>
        </w:rPr>
        <w:t xml:space="preserve">Why this matters:  </w:t>
      </w:r>
      <w:r>
        <w:rPr>
          <w:rFonts w:ascii="Arial" w:cs="Arial" w:eastAsia="Arial" w:hAnsi="Arial"/>
          <w:color w:val="333333"/>
          <w:sz w:val="22"/>
          <w:szCs w:val="22"/>
        </w:rPr>
        <w:t xml:space="preserve">Your downstream projects (prompts, dashboards, agents) will query this data. If you skip the messiness step, those projects work against pristine data that doesn’t exist in the real world. The mess is what makes your portfolio realistic.</w:t>
      </w:r>
    </w:p>
    <w:p>
      <w:pPr>
        <w:spacing w:after="80"/>
      </w:pPr>
    </w:p>
    <w:p>
      <w:pPr>
        <w:pStyle w:val="Heading2"/>
        <w:spacing w:before="280" w:after="160"/>
      </w:pPr>
      <w:r>
        <w:rPr>
          <w:rFonts w:ascii="Arial" w:cs="Arial" w:eastAsia="Arial" w:hAnsi="Arial"/>
          <w:b/>
          <w:bCs/>
          <w:color w:val="333333"/>
          <w:sz w:val="26"/>
          <w:szCs w:val="26"/>
        </w:rPr>
        <w:t xml:space="preserve">2.2 Step 9: Apply Governance (30 minutes)</w:t>
      </w:r>
    </w:p>
    <w:p>
      <w:pPr>
        <w:spacing w:after="160"/>
      </w:pPr>
      <w:r>
        <w:rPr>
          <w:rFonts w:ascii="Arial" w:cs="Arial" w:eastAsia="Arial" w:hAnsi="Arial"/>
          <w:color w:val="333333"/>
          <w:sz w:val="22"/>
          <w:szCs w:val="22"/>
        </w:rPr>
        <w:t xml:space="preserve">After messiness is applied, the governance module creates the clean views and flags that every downstream consumer uses.</w:t>
      </w:r>
    </w:p>
    <w:p>
      <w:pPr>
        <w:spacing w:after="80"/>
      </w:pPr>
    </w:p>
    <w:p>
      <w:pPr>
        <w:pStyle w:val="ListParagraph"/>
        <w:numPr>
          <w:ilvl w:val="0"/>
          <w:numId w:val="3"/>
        </w:numPr>
        <w:spacing w:after="80"/>
      </w:pPr>
      <w:r>
        <w:rPr>
          <w:rFonts w:ascii="Arial" w:cs="Arial" w:eastAsia="Arial" w:hAnsi="Arial"/>
          <w:color w:val="333333"/>
          <w:sz w:val="22"/>
          <w:szCs w:val="22"/>
        </w:rPr>
        <w:t xml:space="preserve">Review governance.md in your project root. This is the policy document that defines every rule.</w:t>
      </w:r>
    </w:p>
    <w:p>
      <w:pPr>
        <w:pStyle w:val="ListParagraph"/>
        <w:numPr>
          <w:ilvl w:val="0"/>
          <w:numId w:val="3"/>
        </w:numPr>
        <w:spacing w:after="80"/>
      </w:pPr>
      <w:r>
        <w:rPr>
          <w:rFonts w:ascii="Arial" w:cs="Arial" w:eastAsia="Arial" w:hAnsi="Arial"/>
          <w:color w:val="333333"/>
          <w:sz w:val="22"/>
          <w:szCs w:val="22"/>
        </w:rPr>
        <w:t xml:space="preserve">Run the governance module. It creates: region_mapping table, 10 clean views (v_*_clean), and the data_quality_flags table.</w:t>
      </w:r>
    </w:p>
    <w:p>
      <w:pPr>
        <w:pStyle w:val="ListParagraph"/>
        <w:numPr>
          <w:ilvl w:val="0"/>
          <w:numId w:val="3"/>
        </w:numPr>
        <w:spacing w:after="80"/>
      </w:pPr>
      <w:r>
        <w:rPr>
          <w:rFonts w:ascii="Arial" w:cs="Arial" w:eastAsia="Arial" w:hAnsi="Arial"/>
          <w:color w:val="333333"/>
          <w:sz w:val="22"/>
          <w:szCs w:val="22"/>
        </w:rPr>
        <w:t xml:space="preserve">Query a clean view and compare it to the raw table. Example: SELECT COUNT(*) FROM customers vs SELECT COUNT(*) FROM v_customers_clean. Understand what was excluded and why.</w:t>
      </w:r>
    </w:p>
    <w:p>
      <w:pPr>
        <w:pStyle w:val="ListParagraph"/>
        <w:numPr>
          <w:ilvl w:val="0"/>
          <w:numId w:val="3"/>
        </w:numPr>
        <w:spacing w:after="80"/>
      </w:pPr>
      <w:r>
        <w:rPr>
          <w:rFonts w:ascii="Arial" w:cs="Arial" w:eastAsia="Arial" w:hAnsi="Arial"/>
          <w:color w:val="333333"/>
          <w:sz w:val="22"/>
          <w:szCs w:val="22"/>
        </w:rPr>
        <w:t xml:space="preserve">Query the data_quality_flags table. Understand what FLG-001 through FLG-006 mean.</w:t>
      </w:r>
    </w:p>
    <w:p>
      <w:pPr>
        <w:pStyle w:val="ListParagraph"/>
        <w:numPr>
          <w:ilvl w:val="0"/>
          <w:numId w:val="3"/>
        </w:numPr>
        <w:spacing w:after="80"/>
      </w:pPr>
      <w:r>
        <w:rPr>
          <w:rFonts w:ascii="Arial" w:cs="Arial" w:eastAsia="Arial" w:hAnsi="Arial"/>
          <w:color w:val="333333"/>
          <w:sz w:val="22"/>
          <w:szCs w:val="22"/>
        </w:rPr>
        <w:t xml:space="preserve">Run a test query that you’ll use in Week 3: revenue by region using v_order_items_clean JOIN v_orders_clean JOIN v_customers_clean. Verify that the region values are standardized.</w:t>
      </w:r>
    </w:p>
    <w:p>
      <w:pPr>
        <w:spacing w:after="80"/>
      </w:pPr>
    </w:p>
    <w:p>
      <w:pPr>
        <w:pBdr>
          <w:left w:val="single" w:color="2E7D32" w:sz="12" w:space="8"/>
        </w:pBdr>
        <w:shd w:fill="E8F5E9" w:val="clear"/>
        <w:spacing w:before="200" w:after="200"/>
        <w:ind w:left="240"/>
      </w:pPr>
      <w:r>
        <w:rPr>
          <w:rFonts w:ascii="Arial" w:cs="Arial" w:eastAsia="Arial" w:hAnsi="Arial"/>
          <w:b/>
          <w:bCs/>
          <w:color w:val="2E7D32"/>
          <w:sz w:val="22"/>
          <w:szCs w:val="22"/>
        </w:rPr>
        <w:t xml:space="preserve">The rule from here forward:  </w:t>
      </w:r>
      <w:r>
        <w:rPr>
          <w:rFonts w:ascii="Arial" w:cs="Arial" w:eastAsia="Arial" w:hAnsi="Arial"/>
          <w:color w:val="333333"/>
          <w:sz w:val="22"/>
          <w:szCs w:val="22"/>
        </w:rPr>
        <w:t xml:space="preserve">Dashboards and agents query clean views. Notebooks and profiling query raw tables. This is defined in Section 5.2 of governance.md.</w:t>
      </w:r>
    </w:p>
    <w:p>
      <w:r>
        <w:br w:type="page"/>
      </w:r>
    </w:p>
    <w:p>
      <w:pPr>
        <w:pStyle w:val="Heading1"/>
        <w:spacing w:before="360" w:after="200"/>
      </w:pPr>
      <w:r>
        <w:rPr>
          <w:rFonts w:ascii="Arial" w:cs="Arial" w:eastAsia="Arial" w:hAnsi="Arial"/>
          <w:b/>
          <w:bCs/>
          <w:color w:val="1A7A6D"/>
          <w:sz w:val="32"/>
          <w:szCs w:val="32"/>
        </w:rPr>
        <w:t xml:space="preserve">3. Additional Definition of Done Criteria</w:t>
      </w:r>
    </w:p>
    <w:p>
      <w:pPr>
        <w:spacing w:after="160"/>
      </w:pPr>
      <w:r>
        <w:rPr>
          <w:rFonts w:ascii="Arial" w:cs="Arial" w:eastAsia="Arial" w:hAnsi="Arial"/>
          <w:color w:val="333333"/>
          <w:sz w:val="22"/>
          <w:szCs w:val="22"/>
        </w:rPr>
        <w:t xml:space="preserve">Add these to the existing definition of done checklist from the original brief: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w:tc>
          <w:tcPr>
            <w:tcW w:type="dxa" w:w="836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00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t>
            </w:r>
          </w:p>
        </w:tc>
      </w:tr>
      <w:tr>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messiness.py runs without errors after bridge tables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Messiness report shows records affected in all 7 categories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Re-running with same seed produces identical messiness results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governance.py creates all 10 clean views without errors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data_quality_flags table is populated with FLG-001 through FLG-006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region_mapping table exists with all variant-to-canonical mappings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v_customers_clean excludes CUST-DUP and CUST-GHOST records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v_order_items_clean excludes $0, negative, and &gt;$10K items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v_payments_clean excludes ORD-GHOST references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Revenue query using clean views returns standardized regions only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governance.md is in the project root and reviewed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Validation output includes data quality profiling section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bl>
    <w:p>
      <w:r>
        <w:br w:type="page"/>
      </w:r>
    </w:p>
    <w:p>
      <w:pPr>
        <w:pStyle w:val="Heading1"/>
        <w:spacing w:before="360" w:after="200"/>
      </w:pPr>
      <w:r>
        <w:rPr>
          <w:rFonts w:ascii="Arial" w:cs="Arial" w:eastAsia="Arial" w:hAnsi="Arial"/>
          <w:b/>
          <w:bCs/>
          <w:color w:val="1A7A6D"/>
          <w:sz w:val="32"/>
          <w:szCs w:val="32"/>
        </w:rPr>
        <w:t xml:space="preserve">4. Data Quality in Your EDA Notebooks</w:t>
      </w:r>
    </w:p>
    <w:p>
      <w:pPr>
        <w:spacing w:after="160"/>
      </w:pPr>
      <w:r>
        <w:rPr>
          <w:rFonts w:ascii="Arial" w:cs="Arial" w:eastAsia="Arial" w:hAnsi="Arial"/>
          <w:color w:val="333333"/>
          <w:sz w:val="22"/>
          <w:szCs w:val="22"/>
        </w:rPr>
        <w:t xml:space="preserve">When you explore each layer in Jupyter notebooks, data quality profiling is part of the exploration — not a separate step. Here’s what to include in each layer’s EDA:</w:t>
      </w:r>
    </w:p>
    <w:p>
      <w:pPr>
        <w:spacing w:after="80"/>
      </w:pPr>
    </w:p>
    <w:p>
      <w:pPr>
        <w:pStyle w:val="Heading2"/>
        <w:spacing w:before="280" w:after="160"/>
      </w:pPr>
      <w:r>
        <w:rPr>
          <w:rFonts w:ascii="Arial" w:cs="Arial" w:eastAsia="Arial" w:hAnsi="Arial"/>
          <w:b/>
          <w:bCs/>
          <w:color w:val="333333"/>
          <w:sz w:val="26"/>
          <w:szCs w:val="26"/>
        </w:rPr>
        <w:t xml:space="preserve">4.1 For Every Layer</w:t>
      </w:r>
    </w:p>
    <w:p>
      <w:pPr>
        <w:pStyle w:val="ListParagraph"/>
        <w:numPr>
          <w:ilvl w:val="0"/>
          <w:numId w:val="4"/>
        </w:numPr>
        <w:spacing w:after="80"/>
      </w:pPr>
      <w:r>
        <w:rPr>
          <w:rFonts w:ascii="Arial" w:cs="Arial" w:eastAsia="Arial" w:hAnsi="Arial"/>
          <w:color w:val="333333"/>
          <w:sz w:val="22"/>
          <w:szCs w:val="22"/>
        </w:rPr>
        <w:t xml:space="preserve">Run df.info() and df.describe() to get the baseline shape and stats</w:t>
      </w:r>
    </w:p>
    <w:p>
      <w:pPr>
        <w:pStyle w:val="ListParagraph"/>
        <w:numPr>
          <w:ilvl w:val="0"/>
          <w:numId w:val="4"/>
        </w:numPr>
        <w:spacing w:after="80"/>
      </w:pPr>
      <w:r>
        <w:rPr>
          <w:rFonts w:ascii="Arial" w:cs="Arial" w:eastAsia="Arial" w:hAnsi="Arial"/>
          <w:color w:val="333333"/>
          <w:sz w:val="22"/>
          <w:szCs w:val="22"/>
        </w:rPr>
        <w:t xml:space="preserve">Check NULL rates per column: df.isnull().sum() / len(df) — flag anything above 5%</w:t>
      </w:r>
    </w:p>
    <w:p>
      <w:pPr>
        <w:pStyle w:val="ListParagraph"/>
        <w:numPr>
          <w:ilvl w:val="0"/>
          <w:numId w:val="4"/>
        </w:numPr>
        <w:spacing w:after="80"/>
      </w:pPr>
      <w:r>
        <w:rPr>
          <w:rFonts w:ascii="Arial" w:cs="Arial" w:eastAsia="Arial" w:hAnsi="Arial"/>
          <w:color w:val="333333"/>
          <w:sz w:val="22"/>
          <w:szCs w:val="22"/>
        </w:rPr>
        <w:t xml:space="preserve">Check for unexpected values: df['column'].value_counts() on categorical columns</w:t>
      </w:r>
    </w:p>
    <w:p>
      <w:pPr>
        <w:pStyle w:val="ListParagraph"/>
        <w:numPr>
          <w:ilvl w:val="0"/>
          <w:numId w:val="4"/>
        </w:numPr>
        <w:spacing w:after="80"/>
      </w:pPr>
      <w:r>
        <w:rPr>
          <w:rFonts w:ascii="Arial" w:cs="Arial" w:eastAsia="Arial" w:hAnsi="Arial"/>
          <w:color w:val="333333"/>
          <w:sz w:val="22"/>
          <w:szCs w:val="22"/>
        </w:rPr>
        <w:t xml:space="preserve">Check distributions on numeric columns: look for zeros, negatives, and extreme outliers</w:t>
      </w:r>
    </w:p>
    <w:p>
      <w:pPr>
        <w:pStyle w:val="ListParagraph"/>
        <w:numPr>
          <w:ilvl w:val="0"/>
          <w:numId w:val="4"/>
        </w:numPr>
        <w:spacing w:after="80"/>
      </w:pPr>
      <w:r>
        <w:rPr>
          <w:rFonts w:ascii="Arial" w:cs="Arial" w:eastAsia="Arial" w:hAnsi="Arial"/>
          <w:color w:val="333333"/>
          <w:sz w:val="22"/>
          <w:szCs w:val="22"/>
        </w:rPr>
        <w:t xml:space="preserve">Compare raw table counts to clean view counts — understand what the governance layer excludes</w:t>
      </w:r>
    </w:p>
    <w:p>
      <w:pPr>
        <w:spacing w:after="80"/>
      </w:pPr>
    </w:p>
    <w:p>
      <w:pPr>
        <w:pStyle w:val="Heading2"/>
        <w:spacing w:before="280" w:after="160"/>
      </w:pPr>
      <w:r>
        <w:rPr>
          <w:rFonts w:ascii="Arial" w:cs="Arial" w:eastAsia="Arial" w:hAnsi="Arial"/>
          <w:b/>
          <w:bCs/>
          <w:color w:val="333333"/>
          <w:sz w:val="26"/>
          <w:szCs w:val="26"/>
        </w:rPr>
        <w:t xml:space="preserve">4.2 E-Commerce EDA</w:t>
      </w:r>
    </w:p>
    <w:p>
      <w:pPr>
        <w:pStyle w:val="ListParagraph"/>
        <w:numPr>
          <w:ilvl w:val="0"/>
          <w:numId w:val="4"/>
        </w:numPr>
        <w:spacing w:after="80"/>
      </w:pPr>
      <w:r>
        <w:rPr>
          <w:rFonts w:ascii="Arial" w:cs="Arial" w:eastAsia="Arial" w:hAnsi="Arial"/>
          <w:color w:val="333333"/>
          <w:sz w:val="22"/>
          <w:szCs w:val="22"/>
        </w:rPr>
        <w:t xml:space="preserve">Profile unit_price distribution — identify the $0 items, negatives, and decimal-shift outliers</w:t>
      </w:r>
    </w:p>
    <w:p>
      <w:pPr>
        <w:pStyle w:val="ListParagraph"/>
        <w:numPr>
          <w:ilvl w:val="0"/>
          <w:numId w:val="4"/>
        </w:numPr>
        <w:spacing w:after="80"/>
      </w:pPr>
      <w:r>
        <w:rPr>
          <w:rFonts w:ascii="Arial" w:cs="Arial" w:eastAsia="Arial" w:hAnsi="Arial"/>
          <w:color w:val="333333"/>
          <w:sz w:val="22"/>
          <w:szCs w:val="22"/>
        </w:rPr>
        <w:t xml:space="preserve">Check for orphaned orders (customer_id not in customers table)</w:t>
      </w:r>
    </w:p>
    <w:p>
      <w:pPr>
        <w:pStyle w:val="ListParagraph"/>
        <w:numPr>
          <w:ilvl w:val="0"/>
          <w:numId w:val="4"/>
        </w:numPr>
        <w:spacing w:after="80"/>
      </w:pPr>
      <w:r>
        <w:rPr>
          <w:rFonts w:ascii="Arial" w:cs="Arial" w:eastAsia="Arial" w:hAnsi="Arial"/>
          <w:color w:val="333333"/>
          <w:sz w:val="22"/>
          <w:szCs w:val="22"/>
        </w:rPr>
        <w:t xml:space="preserve">Verify November spike and seasonal patterns across all 3 years</w:t>
      </w:r>
    </w:p>
    <w:p>
      <w:pPr>
        <w:pStyle w:val="ListParagraph"/>
        <w:numPr>
          <w:ilvl w:val="0"/>
          <w:numId w:val="4"/>
        </w:numPr>
        <w:spacing w:after="80"/>
      </w:pPr>
      <w:r>
        <w:rPr>
          <w:rFonts w:ascii="Arial" w:cs="Arial" w:eastAsia="Arial" w:hAnsi="Arial"/>
          <w:color w:val="333333"/>
          <w:sz w:val="22"/>
          <w:szCs w:val="22"/>
        </w:rPr>
        <w:t xml:space="preserve">Check return reason completeness — what percentage has no reason?</w:t>
      </w:r>
    </w:p>
    <w:p>
      <w:pPr>
        <w:pStyle w:val="ListParagraph"/>
        <w:numPr>
          <w:ilvl w:val="0"/>
          <w:numId w:val="4"/>
        </w:numPr>
        <w:spacing w:after="80"/>
      </w:pPr>
      <w:r>
        <w:rPr>
          <w:rFonts w:ascii="Arial" w:cs="Arial" w:eastAsia="Arial" w:hAnsi="Arial"/>
          <w:color w:val="333333"/>
          <w:sz w:val="22"/>
          <w:szCs w:val="22"/>
        </w:rPr>
        <w:t xml:space="preserve">Compare revenue calculated from raw order_items vs v_order_items_clean — what’s the dollar difference?</w:t>
      </w:r>
    </w:p>
    <w:p>
      <w:pPr>
        <w:spacing w:after="80"/>
      </w:pPr>
    </w:p>
    <w:p>
      <w:pPr>
        <w:pStyle w:val="Heading2"/>
        <w:spacing w:before="280" w:after="160"/>
      </w:pPr>
      <w:r>
        <w:rPr>
          <w:rFonts w:ascii="Arial" w:cs="Arial" w:eastAsia="Arial" w:hAnsi="Arial"/>
          <w:b/>
          <w:bCs/>
          <w:color w:val="333333"/>
          <w:sz w:val="26"/>
          <w:szCs w:val="26"/>
        </w:rPr>
        <w:t xml:space="preserve">4.3 SaaS EDA</w:t>
      </w:r>
    </w:p>
    <w:p>
      <w:pPr>
        <w:pStyle w:val="ListParagraph"/>
        <w:numPr>
          <w:ilvl w:val="0"/>
          <w:numId w:val="4"/>
        </w:numPr>
        <w:spacing w:after="80"/>
      </w:pPr>
      <w:r>
        <w:rPr>
          <w:rFonts w:ascii="Arial" w:cs="Arial" w:eastAsia="Arial" w:hAnsi="Arial"/>
          <w:color w:val="333333"/>
          <w:sz w:val="22"/>
          <w:szCs w:val="22"/>
        </w:rPr>
        <w:t xml:space="preserve">Profile churn timing — do you see clustering at months 11–13 and 23–25?</w:t>
      </w:r>
    </w:p>
    <w:p>
      <w:pPr>
        <w:pStyle w:val="ListParagraph"/>
        <w:numPr>
          <w:ilvl w:val="0"/>
          <w:numId w:val="4"/>
        </w:numPr>
        <w:spacing w:after="80"/>
      </w:pPr>
      <w:r>
        <w:rPr>
          <w:rFonts w:ascii="Arial" w:cs="Arial" w:eastAsia="Arial" w:hAnsi="Arial"/>
          <w:color w:val="333333"/>
          <w:sz w:val="22"/>
          <w:szCs w:val="22"/>
        </w:rPr>
        <w:t xml:space="preserve">Check support ticket resolution completeness — what percentage has no resolved_at?</w:t>
      </w:r>
    </w:p>
    <w:p>
      <w:pPr>
        <w:pStyle w:val="ListParagraph"/>
        <w:numPr>
          <w:ilvl w:val="0"/>
          <w:numId w:val="4"/>
        </w:numPr>
        <w:spacing w:after="80"/>
      </w:pPr>
      <w:r>
        <w:rPr>
          <w:rFonts w:ascii="Arial" w:cs="Arial" w:eastAsia="Arial" w:hAnsi="Arial"/>
          <w:color w:val="333333"/>
          <w:sz w:val="22"/>
          <w:szCs w:val="22"/>
        </w:rPr>
        <w:t xml:space="preserve">Look for duplicate SaaS customers that might overlap with e-commerce duplicates</w:t>
      </w:r>
    </w:p>
    <w:p>
      <w:pPr>
        <w:pStyle w:val="ListParagraph"/>
        <w:numPr>
          <w:ilvl w:val="0"/>
          <w:numId w:val="4"/>
        </w:numPr>
        <w:spacing w:after="80"/>
      </w:pPr>
      <w:r>
        <w:rPr>
          <w:rFonts w:ascii="Arial" w:cs="Arial" w:eastAsia="Arial" w:hAnsi="Arial"/>
          <w:color w:val="333333"/>
          <w:sz w:val="22"/>
          <w:szCs w:val="22"/>
        </w:rPr>
        <w:t xml:space="preserve">Verify that usage_score correlates with churn (declining scores before churn events)</w:t>
      </w:r>
    </w:p>
    <w:p>
      <w:pPr>
        <w:spacing w:after="80"/>
      </w:pPr>
    </w:p>
    <w:p>
      <w:pPr>
        <w:pStyle w:val="Heading2"/>
        <w:spacing w:before="280" w:after="160"/>
      </w:pPr>
      <w:r>
        <w:rPr>
          <w:rFonts w:ascii="Arial" w:cs="Arial" w:eastAsia="Arial" w:hAnsi="Arial"/>
          <w:b/>
          <w:bCs/>
          <w:color w:val="333333"/>
          <w:sz w:val="26"/>
          <w:szCs w:val="26"/>
        </w:rPr>
        <w:t xml:space="preserve">4.4 Product Analytics EDA</w:t>
      </w:r>
    </w:p>
    <w:p>
      <w:pPr>
        <w:pStyle w:val="ListParagraph"/>
        <w:numPr>
          <w:ilvl w:val="0"/>
          <w:numId w:val="4"/>
        </w:numPr>
        <w:spacing w:after="80"/>
      </w:pPr>
      <w:r>
        <w:rPr>
          <w:rFonts w:ascii="Arial" w:cs="Arial" w:eastAsia="Arial" w:hAnsi="Arial"/>
          <w:color w:val="333333"/>
          <w:sz w:val="22"/>
          <w:szCs w:val="22"/>
        </w:rPr>
        <w:t xml:space="preserve">Check session_id completeness — what percentage of events are orphaned?</w:t>
      </w:r>
    </w:p>
    <w:p>
      <w:pPr>
        <w:pStyle w:val="ListParagraph"/>
        <w:numPr>
          <w:ilvl w:val="0"/>
          <w:numId w:val="4"/>
        </w:numPr>
        <w:spacing w:after="80"/>
      </w:pPr>
      <w:r>
        <w:rPr>
          <w:rFonts w:ascii="Arial" w:cs="Arial" w:eastAsia="Arial" w:hAnsi="Arial"/>
          <w:color w:val="333333"/>
          <w:sz w:val="22"/>
          <w:szCs w:val="22"/>
        </w:rPr>
        <w:t xml:space="preserve">Profile DAU/MAU ratios by account tier — do they match calibration targets?</w:t>
      </w:r>
    </w:p>
    <w:p>
      <w:pPr>
        <w:pStyle w:val="ListParagraph"/>
        <w:numPr>
          <w:ilvl w:val="0"/>
          <w:numId w:val="4"/>
        </w:numPr>
        <w:spacing w:after="80"/>
      </w:pPr>
      <w:r>
        <w:rPr>
          <w:rFonts w:ascii="Arial" w:cs="Arial" w:eastAsia="Arial" w:hAnsi="Arial"/>
          <w:color w:val="333333"/>
          <w:sz w:val="22"/>
          <w:szCs w:val="22"/>
        </w:rPr>
        <w:t xml:space="preserve">Verify feature adoption last_used_at completeness</w:t>
      </w:r>
    </w:p>
    <w:p>
      <w:pPr>
        <w:pStyle w:val="ListParagraph"/>
        <w:numPr>
          <w:ilvl w:val="0"/>
          <w:numId w:val="4"/>
        </w:numPr>
        <w:spacing w:after="80"/>
      </w:pPr>
      <w:r>
        <w:rPr>
          <w:rFonts w:ascii="Arial" w:cs="Arial" w:eastAsia="Arial" w:hAnsi="Arial"/>
          <w:color w:val="333333"/>
          <w:sz w:val="22"/>
          <w:szCs w:val="22"/>
        </w:rPr>
        <w:t xml:space="preserve">Check that the Q4 2025 AI Insights module shows up in the event stream</w:t>
      </w:r>
    </w:p>
    <w:p>
      <w:pPr>
        <w:spacing w:after="80"/>
      </w:pPr>
    </w:p>
    <w:p>
      <w:pPr>
        <w:pStyle w:val="Heading2"/>
        <w:spacing w:before="280" w:after="160"/>
      </w:pPr>
      <w:r>
        <w:rPr>
          <w:rFonts w:ascii="Arial" w:cs="Arial" w:eastAsia="Arial" w:hAnsi="Arial"/>
          <w:b/>
          <w:bCs/>
          <w:color w:val="333333"/>
          <w:sz w:val="26"/>
          <w:szCs w:val="26"/>
        </w:rPr>
        <w:t xml:space="preserve">4.5 Payments EDA</w:t>
      </w:r>
    </w:p>
    <w:p>
      <w:pPr>
        <w:pStyle w:val="ListParagraph"/>
        <w:numPr>
          <w:ilvl w:val="0"/>
          <w:numId w:val="4"/>
        </w:numPr>
        <w:spacing w:after="80"/>
      </w:pPr>
      <w:r>
        <w:rPr>
          <w:rFonts w:ascii="Arial" w:cs="Arial" w:eastAsia="Arial" w:hAnsi="Arial"/>
          <w:color w:val="333333"/>
          <w:sz w:val="22"/>
          <w:szCs w:val="22"/>
        </w:rPr>
        <w:t xml:space="preserve">Check for orphaned payments (order_id not in orders table)</w:t>
      </w:r>
    </w:p>
    <w:p>
      <w:pPr>
        <w:pStyle w:val="ListParagraph"/>
        <w:numPr>
          <w:ilvl w:val="0"/>
          <w:numId w:val="4"/>
        </w:numPr>
        <w:spacing w:after="80"/>
      </w:pPr>
      <w:r>
        <w:rPr>
          <w:rFonts w:ascii="Arial" w:cs="Arial" w:eastAsia="Arial" w:hAnsi="Arial"/>
          <w:color w:val="333333"/>
          <w:sz w:val="22"/>
          <w:szCs w:val="22"/>
        </w:rPr>
        <w:t xml:space="preserve">Profile payment_date vs order_date delays — identify the late-posting records</w:t>
      </w:r>
    </w:p>
    <w:p>
      <w:pPr>
        <w:pStyle w:val="ListParagraph"/>
        <w:numPr>
          <w:ilvl w:val="0"/>
          <w:numId w:val="4"/>
        </w:numPr>
        <w:spacing w:after="80"/>
      </w:pPr>
      <w:r>
        <w:rPr>
          <w:rFonts w:ascii="Arial" w:cs="Arial" w:eastAsia="Arial" w:hAnsi="Arial"/>
          <w:color w:val="333333"/>
          <w:sz w:val="22"/>
          <w:szCs w:val="22"/>
        </w:rPr>
        <w:t xml:space="preserve">Look for future-dated payments (2042, 2052)</w:t>
      </w:r>
    </w:p>
    <w:p>
      <w:pPr>
        <w:pStyle w:val="ListParagraph"/>
        <w:numPr>
          <w:ilvl w:val="0"/>
          <w:numId w:val="4"/>
        </w:numPr>
        <w:spacing w:after="80"/>
      </w:pPr>
      <w:r>
        <w:rPr>
          <w:rFonts w:ascii="Arial" w:cs="Arial" w:eastAsia="Arial" w:hAnsi="Arial"/>
          <w:color w:val="333333"/>
          <w:sz w:val="22"/>
          <w:szCs w:val="22"/>
        </w:rPr>
        <w:t xml:space="preserve">Compare payment totals to order totals — do they reconcile?</w:t>
      </w:r>
    </w:p>
    <w:p>
      <w:pPr>
        <w:spacing w:after="80"/>
      </w:pPr>
    </w:p>
    <w:p>
      <w:pPr>
        <w:pStyle w:val="Heading2"/>
        <w:spacing w:before="280" w:after="160"/>
      </w:pPr>
      <w:r>
        <w:rPr>
          <w:rFonts w:ascii="Arial" w:cs="Arial" w:eastAsia="Arial" w:hAnsi="Arial"/>
          <w:b/>
          <w:bCs/>
          <w:color w:val="333333"/>
          <w:sz w:val="26"/>
          <w:szCs w:val="26"/>
        </w:rPr>
        <w:t xml:space="preserve">4.6 CRM EDA</w:t>
      </w:r>
    </w:p>
    <w:p>
      <w:pPr>
        <w:pStyle w:val="ListParagraph"/>
        <w:numPr>
          <w:ilvl w:val="0"/>
          <w:numId w:val="4"/>
        </w:numPr>
        <w:spacing w:after="80"/>
      </w:pPr>
      <w:r>
        <w:rPr>
          <w:rFonts w:ascii="Arial" w:cs="Arial" w:eastAsia="Arial" w:hAnsi="Arial"/>
          <w:color w:val="333333"/>
          <w:sz w:val="22"/>
          <w:szCs w:val="22"/>
        </w:rPr>
        <w:t xml:space="preserve">Profile notes completeness — what percentage of activities have no notes?</w:t>
      </w:r>
    </w:p>
    <w:p>
      <w:pPr>
        <w:pStyle w:val="ListParagraph"/>
        <w:numPr>
          <w:ilvl w:val="0"/>
          <w:numId w:val="4"/>
        </w:numPr>
        <w:spacing w:after="80"/>
      </w:pPr>
      <w:r>
        <w:rPr>
          <w:rFonts w:ascii="Arial" w:cs="Arial" w:eastAsia="Arial" w:hAnsi="Arial"/>
          <w:color w:val="333333"/>
          <w:sz w:val="22"/>
          <w:szCs w:val="22"/>
        </w:rPr>
        <w:t xml:space="preserve">Check for truncated notes (FLG-003 in data_quality_flags)</w:t>
      </w:r>
    </w:p>
    <w:p>
      <w:pPr>
        <w:pStyle w:val="ListParagraph"/>
        <w:numPr>
          <w:ilvl w:val="0"/>
          <w:numId w:val="4"/>
        </w:numPr>
        <w:spacing w:after="80"/>
      </w:pPr>
      <w:r>
        <w:rPr>
          <w:rFonts w:ascii="Arial" w:cs="Arial" w:eastAsia="Arial" w:hAnsi="Arial"/>
          <w:color w:val="333333"/>
          <w:sz w:val="22"/>
          <w:szCs w:val="22"/>
        </w:rPr>
        <w:t xml:space="preserve">Profile opportunity close_date and amount completeness</w:t>
      </w:r>
    </w:p>
    <w:p>
      <w:pPr>
        <w:pStyle w:val="ListParagraph"/>
        <w:numPr>
          <w:ilvl w:val="0"/>
          <w:numId w:val="4"/>
        </w:numPr>
        <w:spacing w:after="80"/>
      </w:pPr>
      <w:r>
        <w:rPr>
          <w:rFonts w:ascii="Arial" w:cs="Arial" w:eastAsia="Arial" w:hAnsi="Arial"/>
          <w:color w:val="333333"/>
          <w:sz w:val="22"/>
          <w:szCs w:val="22"/>
        </w:rPr>
        <w:t xml:space="preserve">Check for future-dated activities</w:t>
      </w:r>
    </w:p>
    <w:p>
      <w:pPr>
        <w:pStyle w:val="ListParagraph"/>
        <w:numPr>
          <w:ilvl w:val="0"/>
          <w:numId w:val="4"/>
        </w:numPr>
        <w:spacing w:after="80"/>
      </w:pPr>
      <w:r>
        <w:rPr>
          <w:rFonts w:ascii="Arial" w:cs="Arial" w:eastAsia="Arial" w:hAnsi="Arial"/>
          <w:color w:val="333333"/>
          <w:sz w:val="22"/>
          <w:szCs w:val="22"/>
        </w:rPr>
        <w:t xml:space="preserve">Verify that mojibake patterns show up in company name references</w:t>
      </w:r>
    </w:p>
    <w:p>
      <w:r>
        <w:br w:type="page"/>
      </w:r>
    </w:p>
    <w:p>
      <w:pPr>
        <w:pStyle w:val="Heading1"/>
        <w:spacing w:before="360" w:after="200"/>
      </w:pPr>
      <w:r>
        <w:rPr>
          <w:rFonts w:ascii="Arial" w:cs="Arial" w:eastAsia="Arial" w:hAnsi="Arial"/>
          <w:b/>
          <w:bCs/>
          <w:color w:val="1A7A6D"/>
          <w:sz w:val="32"/>
          <w:szCs w:val="32"/>
        </w:rPr>
        <w:t xml:space="preserve">5. Impact on Week 3 Dashboard Library</w:t>
      </w:r>
    </w:p>
    <w:p>
      <w:pPr>
        <w:spacing w:after="160"/>
      </w:pPr>
      <w:r>
        <w:rPr>
          <w:rFonts w:ascii="Arial" w:cs="Arial" w:eastAsia="Arial" w:hAnsi="Arial"/>
          <w:color w:val="333333"/>
          <w:sz w:val="22"/>
          <w:szCs w:val="22"/>
        </w:rPr>
        <w:t xml:space="preserve">Each dashboard page in the Week 3 Streamlit app needs a data quality callout section. These are not separate pages — they are callout boxes within each existing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Dashboard Page</w:t>
            </w:r>
          </w:p>
        </w:tc>
        <w:tc>
          <w:tcPr>
            <w:tcW w:type="dxa" w:w="736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Data Quality Callout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Executive Summary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excludes X test orders (EX-001) and Y orphaned records (EX-003). Z records flagged as outliers (FLG-001)."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E-Commerce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 orders have $0 line items (excluded per EX-001). Y returns have no reason recorded (IMP-005). Z orders have future dates (excluded per EX-005)."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SaaS Analytics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 tickets have no resolution date (treated as open per IMP-006). Y accounts flagged as possible duplicates (FLG-002)."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Product Usage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 usage events have no session ID (excluded from clean view). Feature adoption last_used_at missing for Y records (IMP-012)."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Health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 payments have future dates (excluded per EX-007). Y payments posted 3+ days late (flagged per FLG-005, included in analysis)."</w:t>
            </w:r>
          </w:p>
        </w:tc>
      </w:tr>
    </w:tbl>
    <w:p>
      <w:pPr>
        <w:spacing w:after="80"/>
      </w:pPr>
    </w:p>
    <w:p>
      <w:pPr>
        <w:spacing w:after="160"/>
      </w:pPr>
      <w:r>
        <w:rPr>
          <w:rFonts w:ascii="Arial" w:cs="Arial" w:eastAsia="Arial" w:hAnsi="Arial"/>
          <w:color w:val="333333"/>
          <w:sz w:val="22"/>
          <w:szCs w:val="22"/>
        </w:rPr>
        <w:t xml:space="preserve">The callout content is dynamically generated by querying the data_quality_flags table and comparing raw vs clean view counts. This is not hardcoded — it reflects the actual state of the data.</w:t>
      </w:r>
    </w:p>
    <w:p>
      <w:pPr>
        <w:spacing w:after="80"/>
      </w:pPr>
    </w:p>
    <w:p>
      <w:pPr>
        <w:pStyle w:val="Heading2"/>
        <w:spacing w:before="280" w:after="160"/>
      </w:pPr>
      <w:r>
        <w:rPr>
          <w:rFonts w:ascii="Arial" w:cs="Arial" w:eastAsia="Arial" w:hAnsi="Arial"/>
          <w:b/>
          <w:bCs/>
          <w:color w:val="333333"/>
          <w:sz w:val="26"/>
          <w:szCs w:val="26"/>
        </w:rPr>
        <w:t xml:space="preserve">5.1 Dashboard Query Rules</w:t>
      </w:r>
    </w:p>
    <w:p>
      <w:pPr>
        <w:pStyle w:val="ListParagraph"/>
        <w:numPr>
          <w:ilvl w:val="0"/>
          <w:numId w:val="4"/>
        </w:numPr>
        <w:spacing w:after="80"/>
      </w:pPr>
      <w:r>
        <w:rPr>
          <w:rFonts w:ascii="Arial" w:cs="Arial" w:eastAsia="Arial" w:hAnsi="Arial"/>
          <w:color w:val="333333"/>
          <w:sz w:val="22"/>
          <w:szCs w:val="22"/>
        </w:rPr>
        <w:t xml:space="preserve">All dashboard queries use clean views (v_*_clean), never raw tables</w:t>
      </w:r>
    </w:p>
    <w:p>
      <w:pPr>
        <w:pStyle w:val="ListParagraph"/>
        <w:numPr>
          <w:ilvl w:val="0"/>
          <w:numId w:val="4"/>
        </w:numPr>
        <w:spacing w:after="80"/>
      </w:pPr>
      <w:r>
        <w:rPr>
          <w:rFonts w:ascii="Arial" w:cs="Arial" w:eastAsia="Arial" w:hAnsi="Arial"/>
          <w:color w:val="333333"/>
          <w:sz w:val="22"/>
          <w:szCs w:val="22"/>
        </w:rPr>
        <w:t xml:space="preserve">The data quality callouts query raw tables and data_quality_flags to compute the exclusion counts</w:t>
      </w:r>
    </w:p>
    <w:p>
      <w:pPr>
        <w:pStyle w:val="ListParagraph"/>
        <w:numPr>
          <w:ilvl w:val="0"/>
          <w:numId w:val="4"/>
        </w:numPr>
        <w:spacing w:after="80"/>
      </w:pPr>
      <w:r>
        <w:rPr>
          <w:rFonts w:ascii="Arial" w:cs="Arial" w:eastAsia="Arial" w:hAnsi="Arial"/>
          <w:color w:val="333333"/>
          <w:sz w:val="22"/>
          <w:szCs w:val="22"/>
        </w:rPr>
        <w:t xml:space="preserve">Region filters use the canonical four values from v_customers_clean — no variant values appear in dropdowns</w:t>
      </w:r>
    </w:p>
    <w:p>
      <w:pPr>
        <w:pStyle w:val="ListParagraph"/>
        <w:numPr>
          <w:ilvl w:val="0"/>
          <w:numId w:val="4"/>
        </w:numPr>
        <w:spacing w:after="80"/>
      </w:pPr>
      <w:r>
        <w:rPr>
          <w:rFonts w:ascii="Arial" w:cs="Arial" w:eastAsia="Arial" w:hAnsi="Arial"/>
          <w:color w:val="333333"/>
          <w:sz w:val="22"/>
          <w:szCs w:val="22"/>
        </w:rPr>
        <w:t xml:space="preserve">Financial averages exclude outliers by default (FLG-001) with an optional toggle to include them</w:t>
      </w:r>
    </w:p>
    <w:p>
      <w:pPr>
        <w:pStyle w:val="ListParagraph"/>
        <w:numPr>
          <w:ilvl w:val="0"/>
          <w:numId w:val="4"/>
        </w:numPr>
        <w:spacing w:after="80"/>
      </w:pPr>
      <w:r>
        <w:rPr>
          <w:rFonts w:ascii="Arial" w:cs="Arial" w:eastAsia="Arial" w:hAnsi="Arial"/>
          <w:color w:val="333333"/>
          <w:sz w:val="22"/>
          <w:szCs w:val="22"/>
        </w:rPr>
        <w:t xml:space="preserve">NULL fields display their imputation values from governance.md (e.g., "Unknown" for industry, "Not recorded" for return reason)</w:t>
      </w:r>
    </w:p>
    <w:p>
      <w:r>
        <w:br w:type="page"/>
      </w:r>
    </w:p>
    <w:p>
      <w:pPr>
        <w:pStyle w:val="Heading1"/>
        <w:spacing w:before="360" w:after="200"/>
      </w:pPr>
      <w:r>
        <w:rPr>
          <w:rFonts w:ascii="Arial" w:cs="Arial" w:eastAsia="Arial" w:hAnsi="Arial"/>
          <w:b/>
          <w:bCs/>
          <w:color w:val="1A7A6D"/>
          <w:sz w:val="32"/>
          <w:szCs w:val="32"/>
        </w:rPr>
        <w:t xml:space="preserve">6. Impact on Week 2 Prompt Library</w:t>
      </w:r>
    </w:p>
    <w:p>
      <w:pPr>
        <w:spacing w:after="160"/>
      </w:pPr>
      <w:r>
        <w:rPr>
          <w:rFonts w:ascii="Arial" w:cs="Arial" w:eastAsia="Arial" w:hAnsi="Arial"/>
          <w:color w:val="333333"/>
          <w:sz w:val="22"/>
          <w:szCs w:val="22"/>
        </w:rPr>
        <w:t xml:space="preserve">Your Week 2 prompts query Otacon data that now has messy fields and governance rules. Two changes to the prompt design:</w:t>
      </w:r>
    </w:p>
    <w:p>
      <w:pPr>
        <w:spacing w:after="80"/>
      </w:pPr>
    </w:p>
    <w:p>
      <w:pPr>
        <w:pStyle w:val="Heading2"/>
        <w:spacing w:before="280" w:after="160"/>
      </w:pPr>
      <w:r>
        <w:rPr>
          <w:rFonts w:ascii="Arial" w:cs="Arial" w:eastAsia="Arial" w:hAnsi="Arial"/>
          <w:b/>
          <w:bCs/>
          <w:color w:val="333333"/>
          <w:sz w:val="26"/>
          <w:szCs w:val="26"/>
        </w:rPr>
        <w:t xml:space="preserve">6.1 System Prompt Governance Block</w:t>
      </w:r>
    </w:p>
    <w:p>
      <w:pPr>
        <w:spacing w:after="160"/>
      </w:pPr>
      <w:r>
        <w:rPr>
          <w:rFonts w:ascii="Arial" w:cs="Arial" w:eastAsia="Arial" w:hAnsi="Arial"/>
          <w:color w:val="333333"/>
          <w:sz w:val="22"/>
          <w:szCs w:val="22"/>
        </w:rPr>
        <w:t xml:space="preserve">Every prompt that queries data should include a governance instruction block. This goes in the system prompt, not the user prompt:</w:t>
      </w:r>
    </w:p>
    <w:p>
      <w:pPr>
        <w:spacing w:after="80"/>
      </w:pPr>
    </w:p>
    <w:p>
      <w:pPr>
        <w:shd w:fill="F0F0F0" w:val="clear"/>
        <w:spacing w:before="80" w:after="120"/>
        <w:ind w:left="360"/>
      </w:pPr>
      <w:r>
        <w:rPr>
          <w:rFonts w:ascii="Courier New" w:cs="Courier New" w:eastAsia="Courier New" w:hAnsi="Courier New"/>
          <w:color w:val="333333"/>
          <w:sz w:val="20"/>
          <w:szCs w:val="20"/>
        </w:rPr>
        <w:t xml:space="preserve">DATA GOVERNANCE RULES:</w:t>
      </w:r>
    </w:p>
    <w:p>
      <w:pPr>
        <w:shd w:fill="F0F0F0" w:val="clear"/>
        <w:spacing w:before="80" w:after="120"/>
        <w:ind w:left="360"/>
      </w:pPr>
      <w:r>
        <w:rPr>
          <w:rFonts w:ascii="Courier New" w:cs="Courier New" w:eastAsia="Courier New" w:hAnsi="Courier New"/>
          <w:color w:val="333333"/>
          <w:sz w:val="20"/>
          <w:szCs w:val="20"/>
        </w:rPr>
        <w:t xml:space="preserve">1. Query clean views (v_*_clean), not raw tables</w:t>
      </w:r>
    </w:p>
    <w:p>
      <w:pPr>
        <w:shd w:fill="F0F0F0" w:val="clear"/>
        <w:spacing w:before="80" w:after="120"/>
        <w:ind w:left="360"/>
      </w:pPr>
      <w:r>
        <w:rPr>
          <w:rFonts w:ascii="Courier New" w:cs="Courier New" w:eastAsia="Courier New" w:hAnsi="Courier New"/>
          <w:color w:val="333333"/>
          <w:sz w:val="20"/>
          <w:szCs w:val="20"/>
        </w:rPr>
        <w:t xml:space="preserve">2. NULL industry = 'Unknown', NULL return reason = 'Not recorded'</w:t>
      </w:r>
    </w:p>
    <w:p>
      <w:pPr>
        <w:shd w:fill="F0F0F0" w:val="clear"/>
        <w:spacing w:before="80" w:after="120"/>
        <w:ind w:left="360"/>
      </w:pPr>
      <w:r>
        <w:rPr>
          <w:rFonts w:ascii="Courier New" w:cs="Courier New" w:eastAsia="Courier New" w:hAnsi="Courier New"/>
          <w:color w:val="333333"/>
          <w:sz w:val="20"/>
          <w:szCs w:val="20"/>
        </w:rPr>
        <w:t xml:space="preserve">3. Exclude outliers from financial averages by default</w:t>
      </w:r>
    </w:p>
    <w:p>
      <w:pPr>
        <w:shd w:fill="F0F0F0" w:val="clear"/>
        <w:spacing w:before="80" w:after="120"/>
        <w:ind w:left="360"/>
      </w:pPr>
      <w:r>
        <w:rPr>
          <w:rFonts w:ascii="Courier New" w:cs="Courier New" w:eastAsia="Courier New" w:hAnsi="Courier New"/>
          <w:color w:val="333333"/>
          <w:sz w:val="20"/>
          <w:szCs w:val="20"/>
        </w:rPr>
        <w:t xml:space="preserve">4. When reporting counts, note how many records were excluded</w:t>
      </w:r>
    </w:p>
    <w:p>
      <w:pPr>
        <w:shd w:fill="F0F0F0" w:val="clear"/>
        <w:spacing w:before="80" w:after="120"/>
        <w:ind w:left="360"/>
      </w:pPr>
      <w:r>
        <w:rPr>
          <w:rFonts w:ascii="Courier New" w:cs="Courier New" w:eastAsia="Courier New" w:hAnsi="Courier New"/>
          <w:color w:val="333333"/>
          <w:sz w:val="20"/>
          <w:szCs w:val="20"/>
        </w:rPr>
        <w:t xml:space="preserve">5. If a field is missing, say it is unavailable — do not guess</w:t>
      </w:r>
    </w:p>
    <w:p>
      <w:pPr>
        <w:spacing w:after="80"/>
      </w:pPr>
    </w:p>
    <w:p>
      <w:pPr>
        <w:pStyle w:val="Heading2"/>
        <w:spacing w:before="280" w:after="160"/>
      </w:pPr>
      <w:r>
        <w:rPr>
          <w:rFonts w:ascii="Arial" w:cs="Arial" w:eastAsia="Arial" w:hAnsi="Arial"/>
          <w:b/>
          <w:bCs/>
          <w:color w:val="333333"/>
          <w:sz w:val="26"/>
          <w:szCs w:val="26"/>
        </w:rPr>
        <w:t xml:space="preserve">6.2 Eval Test Cases for Messy Data</w:t>
      </w:r>
    </w:p>
    <w:p>
      <w:pPr>
        <w:spacing w:after="160"/>
      </w:pPr>
      <w:r>
        <w:rPr>
          <w:rFonts w:ascii="Arial" w:cs="Arial" w:eastAsia="Arial" w:hAnsi="Arial"/>
          <w:color w:val="333333"/>
          <w:sz w:val="22"/>
          <w:szCs w:val="22"/>
        </w:rPr>
        <w:t xml:space="preserve">Add these test cases to your eval harness to verify prompts handle dirty data correctly: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5860"/>
            <w:tcBorders>
              <w:top w:val="single" w:color="CCCCCC" w:sz="1"/>
              <w:left w:val="single" w:color="CCCCCC" w:sz="1"/>
              <w:bottom w:val="single" w:color="CCCCCC" w:sz="1"/>
              <w:right w:val="single" w:color="CCCCCC"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with NULL industry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says 'Unknown' or 'not available', doesn't guess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Revenue calculation with outliers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Prompt excludes or flags the $14,999 decimal-shift error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Region query with non-canonical values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normalizes to the four canonical regions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CRM activity with no notes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Prompt says 'No notes recorded', doesn't hallucinate content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Opportunity with NULL amount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excludes from dollar calculations, notes the exclusion</w:t>
            </w:r>
          </w:p>
        </w:tc>
      </w:tr>
    </w:tbl>
    <w:p>
      <w:r>
        <w:br w:type="page"/>
      </w:r>
    </w:p>
    <w:p>
      <w:pPr>
        <w:pStyle w:val="Heading1"/>
        <w:spacing w:before="360" w:after="200"/>
      </w:pPr>
      <w:r>
        <w:rPr>
          <w:rFonts w:ascii="Arial" w:cs="Arial" w:eastAsia="Arial" w:hAnsi="Arial"/>
          <w:b/>
          <w:bCs/>
          <w:color w:val="1A7A6D"/>
          <w:sz w:val="32"/>
          <w:szCs w:val="32"/>
        </w:rPr>
        <w:t xml:space="preserve">7. Impact on Weeks 4–6 Agents</w:t>
      </w:r>
    </w:p>
    <w:p>
      <w:pPr>
        <w:spacing w:after="160"/>
      </w:pPr>
      <w:r>
        <w:rPr>
          <w:rFonts w:ascii="Arial" w:cs="Arial" w:eastAsia="Arial" w:hAnsi="Arial"/>
          <w:color w:val="333333"/>
          <w:sz w:val="22"/>
          <w:szCs w:val="22"/>
        </w:rPr>
        <w:t xml:space="preserve">Agent system prompts must include the governance rules from Section 6.3 of governance.md. The key instruction is:</w:t>
      </w:r>
    </w:p>
    <w:p>
      <w:pPr>
        <w:spacing w:after="80"/>
      </w:pPr>
    </w:p>
    <w:p>
      <w:pPr>
        <w:pBdr>
          <w:left w:val="single" w:color="2E7D32" w:sz="12" w:space="8"/>
        </w:pBdr>
        <w:shd w:fill="E8F5E9" w:val="clear"/>
        <w:spacing w:before="200" w:after="200"/>
        <w:ind w:left="240"/>
      </w:pPr>
      <w:r>
        <w:rPr>
          <w:rFonts w:ascii="Arial" w:cs="Arial" w:eastAsia="Arial" w:hAnsi="Arial"/>
          <w:b/>
          <w:bCs/>
          <w:color w:val="2E7D32"/>
          <w:sz w:val="22"/>
          <w:szCs w:val="22"/>
        </w:rPr>
        <w:t xml:space="preserve">Agent rule:  </w:t>
      </w:r>
      <w:r>
        <w:rPr>
          <w:rFonts w:ascii="Arial" w:cs="Arial" w:eastAsia="Arial" w:hAnsi="Arial"/>
          <w:color w:val="333333"/>
          <w:sz w:val="22"/>
          <w:szCs w:val="22"/>
        </w:rPr>
        <w:t xml:space="preserve">Agents query v_*_clean views by default. If asked about data quality specifically, agents query raw tables and data_quality_flags. Agents always note how many records were excluded from any count or aggregation.</w:t>
      </w:r>
    </w:p>
    <w:p>
      <w:pPr>
        <w:spacing w:after="80"/>
      </w:pPr>
    </w:p>
    <w:p>
      <w:pPr>
        <w:spacing w:after="160"/>
      </w:pPr>
      <w:r>
        <w:rPr>
          <w:rFonts w:ascii="Arial" w:cs="Arial" w:eastAsia="Arial" w:hAnsi="Arial"/>
          <w:color w:val="333333"/>
          <w:sz w:val="22"/>
          <w:szCs w:val="22"/>
        </w:rPr>
        <w:t xml:space="preserve">This is not a Week 4–6 concern — it is defined now so that when you get to those weeks, the governance rules are already established and you just implement them.</w:t>
      </w:r>
    </w:p>
    <w:p>
      <w:r>
        <w:br w:type="page"/>
      </w:r>
    </w:p>
    <w:p>
      <w:pPr>
        <w:pStyle w:val="Heading1"/>
        <w:spacing w:before="360" w:after="200"/>
      </w:pPr>
      <w:r>
        <w:rPr>
          <w:rFonts w:ascii="Arial" w:cs="Arial" w:eastAsia="Arial" w:hAnsi="Arial"/>
          <w:b/>
          <w:bCs/>
          <w:color w:val="1A7A6D"/>
          <w:sz w:val="32"/>
          <w:szCs w:val="32"/>
        </w:rPr>
        <w:t xml:space="preserve">8. Updated Conversation Starter</w:t>
      </w:r>
    </w:p>
    <w:p>
      <w:pPr>
        <w:spacing w:after="160"/>
      </w:pPr>
      <w:r>
        <w:rPr>
          <w:rFonts w:ascii="Arial" w:cs="Arial" w:eastAsia="Arial" w:hAnsi="Arial"/>
          <w:color w:val="333333"/>
          <w:sz w:val="22"/>
          <w:szCs w:val="22"/>
        </w:rPr>
        <w:t xml:space="preserve">Replace the conversation starter in Section 10 of the original brief with this version: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after="80"/>
            </w:pPr>
            <w:r>
              <w:rPr>
                <w:rFonts w:ascii="Arial" w:cs="Arial" w:eastAsia="Arial" w:hAnsi="Arial"/>
                <w:b/>
                <w:bCs/>
                <w:color w:val="1A7A6D"/>
                <w:sz w:val="20"/>
                <w:szCs w:val="20"/>
              </w:rPr>
              <w:t xml:space="preserve">PASTE THIS INTO A NEW CONVERSATION:</w:t>
            </w:r>
          </w:p>
          <w:p>
            <w:pPr>
              <w:spacing w:after="40"/>
            </w:pPr>
            <w:r>
              <w:rPr>
                <w:rFonts w:ascii="Courier New" w:cs="Courier New" w:eastAsia="Courier New" w:hAnsi="Courier New"/>
                <w:color w:val="333333"/>
                <w:sz w:val="18"/>
                <w:szCs w:val="18"/>
              </w:rPr>
              <w:t xml:space="preserve">Context: I'm on Week 1 of a 12-week AI engineering learning plan.</w:t>
            </w:r>
          </w:p>
          <w:p>
            <w:pPr>
              <w:spacing w:after="40"/>
            </w:pPr>
            <w:r>
              <w:rPr>
                <w:rFonts w:ascii="Courier New" w:cs="Courier New" w:eastAsia="Courier New" w:hAnsi="Courier New"/>
                <w:color w:val="333333"/>
                <w:sz w:val="18"/>
                <w:szCs w:val="18"/>
              </w:rPr>
              <w:t xml:space="preserve">Role: Senior Data Analyst targeting AI Analytics Manager.</w:t>
            </w:r>
          </w:p>
          <w:p>
            <w:pPr>
              <w:spacing w:after="40"/>
            </w:pPr>
            <w:r>
              <w:rPr>
                <w:rFonts w:ascii="Courier New" w:cs="Courier New" w:eastAsia="Courier New" w:hAnsi="Courier New"/>
                <w:color w:val="333333"/>
                <w:sz w:val="18"/>
                <w:szCs w:val="18"/>
              </w:rPr>
              <w:t xml:space="preserve">Project: Building Otacon Inc. — synthetic data generator + governance layer.</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Otacon Inc. is a fictional B2B company with five data layers:</w:t>
            </w:r>
          </w:p>
          <w:p>
            <w:pPr>
              <w:spacing w:after="40"/>
            </w:pPr>
            <w:r>
              <w:rPr>
                <w:rFonts w:ascii="Courier New" w:cs="Courier New" w:eastAsia="Courier New" w:hAnsi="Courier New"/>
                <w:color w:val="333333"/>
                <w:sz w:val="18"/>
                <w:szCs w:val="18"/>
              </w:rPr>
              <w:t xml:space="preserve">  1. E-Commerce: ~237K order items, 8K customers, 500 products</w:t>
            </w:r>
          </w:p>
          <w:p>
            <w:pPr>
              <w:spacing w:after="40"/>
            </w:pPr>
            <w:r>
              <w:rPr>
                <w:rFonts w:ascii="Courier New" w:cs="Courier New" w:eastAsia="Courier New" w:hAnsi="Courier New"/>
                <w:color w:val="333333"/>
                <w:sz w:val="18"/>
                <w:szCs w:val="18"/>
              </w:rPr>
              <w:t xml:space="preserve">  2. SaaS: 2K customers, 36 months MRR, churn clustering</w:t>
            </w:r>
          </w:p>
          <w:p>
            <w:pPr>
              <w:spacing w:after="40"/>
            </w:pPr>
            <w:r>
              <w:rPr>
                <w:rFonts w:ascii="Courier New" w:cs="Courier New" w:eastAsia="Courier New" w:hAnsi="Courier New"/>
                <w:color w:val="333333"/>
                <w:sz w:val="18"/>
                <w:szCs w:val="18"/>
              </w:rPr>
              <w:t xml:space="preserve">  3. Product Analytics: ~1.2M usage events, DAU/MAU, feature adoption</w:t>
            </w:r>
          </w:p>
          <w:p>
            <w:pPr>
              <w:spacing w:after="40"/>
            </w:pPr>
            <w:r>
              <w:rPr>
                <w:rFonts w:ascii="Courier New" w:cs="Courier New" w:eastAsia="Courier New" w:hAnsi="Courier New"/>
                <w:color w:val="333333"/>
                <w:sz w:val="18"/>
                <w:szCs w:val="18"/>
              </w:rPr>
              <w:t xml:space="preserve">  4. Payments: ~67K transactions, AR aging, late payment tracking</w:t>
            </w:r>
          </w:p>
          <w:p>
            <w:pPr>
              <w:spacing w:after="40"/>
            </w:pPr>
            <w:r>
              <w:rPr>
                <w:rFonts w:ascii="Courier New" w:cs="Courier New" w:eastAsia="Courier New" w:hAnsi="Courier New"/>
                <w:color w:val="333333"/>
                <w:sz w:val="18"/>
                <w:szCs w:val="18"/>
              </w:rPr>
              <w:t xml:space="preserve">  5. CRM: 2K accounts, 7.5K activities, 2K opportunities</w:t>
            </w:r>
          </w:p>
          <w:p>
            <w:pPr>
              <w:spacing w:after="40"/>
            </w:pPr>
            <w:r>
              <w:rPr>
                <w:rFonts w:ascii="Courier New" w:cs="Courier New" w:eastAsia="Courier New" w:hAnsi="Courier New"/>
                <w:color w:val="333333"/>
                <w:sz w:val="18"/>
                <w:szCs w:val="18"/>
              </w:rPr>
              <w:t xml:space="preserve">  + Bridge: customer_xref and customer_360</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The data has CONTROLLED MESSINESS (7 categories):</w:t>
            </w:r>
          </w:p>
          <w:p>
            <w:pPr>
              <w:spacing w:after="40"/>
            </w:pPr>
            <w:r>
              <w:rPr>
                <w:rFonts w:ascii="Courier New" w:cs="Courier New" w:eastAsia="Courier New" w:hAnsi="Courier New"/>
                <w:color w:val="333333"/>
                <w:sz w:val="18"/>
                <w:szCs w:val="18"/>
              </w:rPr>
              <w:t xml:space="preserve">  - Missing values (3–18% per field), format inconsistencies,</w:t>
            </w:r>
          </w:p>
          <w:p>
            <w:pPr>
              <w:spacing w:after="40"/>
            </w:pPr>
            <w:r>
              <w:rPr>
                <w:rFonts w:ascii="Courier New" w:cs="Courier New" w:eastAsia="Courier New" w:hAnsi="Courier New"/>
                <w:color w:val="333333"/>
                <w:sz w:val="18"/>
                <w:szCs w:val="18"/>
              </w:rPr>
              <w:t xml:space="preserve">  - Near duplicates, temporal anomalies, numeric outliers,</w:t>
            </w:r>
          </w:p>
          <w:p>
            <w:pPr>
              <w:spacing w:after="40"/>
            </w:pPr>
            <w:r>
              <w:rPr>
                <w:rFonts w:ascii="Courier New" w:cs="Courier New" w:eastAsia="Courier New" w:hAnsi="Courier New"/>
                <w:color w:val="333333"/>
                <w:sz w:val="18"/>
                <w:szCs w:val="18"/>
              </w:rPr>
              <w:t xml:space="preserve">  - Orphaned foreign keys, encoding issues</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GOVERNANCE LAYER (governance.md):</w:t>
            </w:r>
          </w:p>
          <w:p>
            <w:pPr>
              <w:spacing w:after="40"/>
            </w:pPr>
            <w:r>
              <w:rPr>
                <w:rFonts w:ascii="Courier New" w:cs="Courier New" w:eastAsia="Courier New" w:hAnsi="Courier New"/>
                <w:color w:val="333333"/>
                <w:sz w:val="18"/>
                <w:szCs w:val="18"/>
              </w:rPr>
              <w:t xml:space="preserve">  - 10 clean views (v_*_clean) for dashboards and agents</w:t>
            </w:r>
          </w:p>
          <w:p>
            <w:pPr>
              <w:spacing w:after="40"/>
            </w:pPr>
            <w:r>
              <w:rPr>
                <w:rFonts w:ascii="Courier New" w:cs="Courier New" w:eastAsia="Courier New" w:hAnsi="Courier New"/>
                <w:color w:val="333333"/>
                <w:sz w:val="18"/>
                <w:szCs w:val="18"/>
              </w:rPr>
              <w:t xml:space="preserve">  - data_quality_flags table with FLG-001 through FLG-006</w:t>
            </w:r>
          </w:p>
          <w:p>
            <w:pPr>
              <w:spacing w:after="40"/>
            </w:pPr>
            <w:r>
              <w:rPr>
                <w:rFonts w:ascii="Courier New" w:cs="Courier New" w:eastAsia="Courier New" w:hAnsi="Courier New"/>
                <w:color w:val="333333"/>
                <w:sz w:val="18"/>
                <w:szCs w:val="18"/>
              </w:rPr>
              <w:t xml:space="preserve">  - Exclusion rules EX-001 through EX-008</w:t>
            </w:r>
          </w:p>
          <w:p>
            <w:pPr>
              <w:spacing w:after="40"/>
            </w:pPr>
            <w:r>
              <w:rPr>
                <w:rFonts w:ascii="Courier New" w:cs="Courier New" w:eastAsia="Courier New" w:hAnsi="Courier New"/>
                <w:color w:val="333333"/>
                <w:sz w:val="18"/>
                <w:szCs w:val="18"/>
              </w:rPr>
              <w:t xml:space="preserve">  - Normalization rules NRM-001 through NRM-006</w:t>
            </w:r>
          </w:p>
          <w:p>
            <w:pPr>
              <w:spacing w:after="40"/>
            </w:pPr>
            <w:r>
              <w:rPr>
                <w:rFonts w:ascii="Courier New" w:cs="Courier New" w:eastAsia="Courier New" w:hAnsi="Courier New"/>
                <w:color w:val="333333"/>
                <w:sz w:val="18"/>
                <w:szCs w:val="18"/>
              </w:rPr>
              <w:t xml:space="preserve">  - Imputation rules IMP-001 through IMP-012</w:t>
            </w:r>
          </w:p>
          <w:p>
            <w:pPr>
              <w:spacing w:after="40"/>
            </w:pPr>
            <w:r>
              <w:rPr>
                <w:rFonts w:ascii="Courier New" w:cs="Courier New" w:eastAsia="Courier New" w:hAnsi="Courier New"/>
                <w:color w:val="333333"/>
                <w:sz w:val="18"/>
                <w:szCs w:val="18"/>
              </w:rPr>
              <w:t xml:space="preserve">  - Dashboards query clean views. Profiling queries raw tables.</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This database + governance is used by all 12 portfolio projects.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Otacon Inc. — Week 1 Brief Addendum: Governance &amp; Data Quality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2026-03-25T20:57:32.563Z</dcterms:created>
  <dcterms:modified xsi:type="dcterms:W3CDTF">2026-03-25T20:57:32.564Z</dcterms:modified>
</cp:coreProperties>
</file>

<file path=docProps/custom.xml><?xml version="1.0" encoding="utf-8"?>
<Properties xmlns="http://schemas.openxmlformats.org/officeDocument/2006/custom-properties" xmlns:vt="http://schemas.openxmlformats.org/officeDocument/2006/docPropsVTypes"/>
</file>