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323E" w:rsidRPr="0026323E" w:rsidRDefault="0026323E" w:rsidP="0026323E">
      <w:pPr>
        <w:spacing w:before="100" w:beforeAutospacing="1" w:after="100" w:afterAutospacing="1" w:line="240" w:lineRule="auto"/>
        <w:outlineLvl w:val="1"/>
        <w:rPr>
          <w:rFonts w:ascii="Times New Roman" w:eastAsia="Times New Roman" w:hAnsi="Times New Roman" w:cs="Times New Roman"/>
          <w:b/>
          <w:bCs/>
          <w:sz w:val="36"/>
          <w:szCs w:val="36"/>
        </w:rPr>
      </w:pPr>
      <w:r w:rsidRPr="0026323E">
        <w:rPr>
          <w:rFonts w:ascii="Times New Roman" w:eastAsia="Times New Roman" w:hAnsi="Times New Roman" w:cs="Times New Roman"/>
          <w:b/>
          <w:bCs/>
          <w:sz w:val="36"/>
          <w:szCs w:val="36"/>
        </w:rPr>
        <w:t>Stage 3 — Blog 14: OCI Cancellation, Criminal Proceedings and Legal Remedies</w:t>
      </w:r>
    </w:p>
    <w:p w:rsidR="0026323E" w:rsidRPr="0026323E" w:rsidRDefault="0026323E" w:rsidP="0026323E">
      <w:pPr>
        <w:spacing w:before="100" w:beforeAutospacing="1" w:after="100" w:afterAutospacing="1"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 xml:space="preserve">I located the original </w:t>
      </w:r>
      <w:r w:rsidRPr="0026323E">
        <w:rPr>
          <w:rFonts w:ascii="Times New Roman" w:eastAsia="Times New Roman" w:hAnsi="Times New Roman" w:cs="Times New Roman"/>
          <w:b/>
          <w:bCs/>
          <w:sz w:val="24"/>
          <w:szCs w:val="24"/>
        </w:rPr>
        <w:t>Blog 14 source document</w:t>
      </w:r>
      <w:r w:rsidRPr="0026323E">
        <w:rPr>
          <w:rFonts w:ascii="Times New Roman" w:eastAsia="Times New Roman" w:hAnsi="Times New Roman" w:cs="Times New Roman"/>
          <w:sz w:val="24"/>
          <w:szCs w:val="24"/>
        </w:rPr>
        <w:t xml:space="preserve"> in your OCI Legal Guides materials. Its intended focus is more specialised than Blog 13: the interaction between Section 7D of the Citizenship Act, criminal proceedings, the notification dated 11 August 2025, show-cause notices, procedural fairness, blacklisting and judicial review.</w:t>
      </w:r>
    </w:p>
    <w:p w:rsidR="0026323E" w:rsidRPr="0026323E" w:rsidRDefault="0026323E" w:rsidP="0026323E">
      <w:pPr>
        <w:spacing w:before="100" w:beforeAutospacing="1" w:after="100" w:afterAutospacing="1"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I will preserve that specialist focus rather than simply repeat the general cancellation guide.</w:t>
      </w:r>
    </w:p>
    <w:p w:rsidR="0026323E" w:rsidRPr="0026323E" w:rsidRDefault="0026323E" w:rsidP="0026323E">
      <w:pPr>
        <w:spacing w:before="100" w:beforeAutospacing="1" w:after="100" w:afterAutospacing="1" w:line="240" w:lineRule="auto"/>
        <w:outlineLvl w:val="2"/>
        <w:rPr>
          <w:rFonts w:ascii="Times New Roman" w:eastAsia="Times New Roman" w:hAnsi="Times New Roman" w:cs="Times New Roman"/>
          <w:b/>
          <w:bCs/>
          <w:sz w:val="27"/>
          <w:szCs w:val="27"/>
        </w:rPr>
      </w:pPr>
      <w:r w:rsidRPr="0026323E">
        <w:rPr>
          <w:rFonts w:ascii="Times New Roman" w:eastAsia="Times New Roman" w:hAnsi="Times New Roman" w:cs="Times New Roman"/>
          <w:b/>
          <w:bCs/>
          <w:sz w:val="27"/>
          <w:szCs w:val="27"/>
        </w:rPr>
        <w:t>1. SEO and publication details</w:t>
      </w:r>
    </w:p>
    <w:tbl>
      <w:tblPr>
        <w:tblW w:w="0" w:type="auto"/>
        <w:tblCellSpacing w:w="15" w:type="dxa"/>
        <w:tblCellMar>
          <w:top w:w="15" w:type="dxa"/>
          <w:left w:w="15" w:type="dxa"/>
          <w:bottom w:w="15" w:type="dxa"/>
          <w:right w:w="15" w:type="dxa"/>
        </w:tblCellMar>
        <w:tblLook w:val="04A0"/>
      </w:tblPr>
      <w:tblGrid>
        <w:gridCol w:w="1519"/>
        <w:gridCol w:w="7931"/>
      </w:tblGrid>
      <w:tr w:rsidR="0026323E" w:rsidRPr="0026323E" w:rsidTr="0026323E">
        <w:trPr>
          <w:tblHeader/>
          <w:tblCellSpacing w:w="15" w:type="dxa"/>
        </w:trPr>
        <w:tc>
          <w:tcPr>
            <w:tcW w:w="0" w:type="auto"/>
            <w:vAlign w:val="center"/>
            <w:hideMark/>
          </w:tcPr>
          <w:p w:rsidR="0026323E" w:rsidRPr="0026323E" w:rsidRDefault="0026323E" w:rsidP="0026323E">
            <w:pPr>
              <w:spacing w:after="0" w:line="240" w:lineRule="auto"/>
              <w:jc w:val="center"/>
              <w:rPr>
                <w:rFonts w:ascii="Times New Roman" w:eastAsia="Times New Roman" w:hAnsi="Times New Roman" w:cs="Times New Roman"/>
                <w:b/>
                <w:bCs/>
                <w:sz w:val="24"/>
                <w:szCs w:val="24"/>
              </w:rPr>
            </w:pPr>
            <w:r w:rsidRPr="0026323E">
              <w:rPr>
                <w:rFonts w:ascii="Times New Roman" w:eastAsia="Times New Roman" w:hAnsi="Times New Roman" w:cs="Times New Roman"/>
                <w:b/>
                <w:bCs/>
                <w:sz w:val="24"/>
                <w:szCs w:val="24"/>
              </w:rPr>
              <w:t>Element</w:t>
            </w:r>
          </w:p>
        </w:tc>
        <w:tc>
          <w:tcPr>
            <w:tcW w:w="0" w:type="auto"/>
            <w:vAlign w:val="center"/>
            <w:hideMark/>
          </w:tcPr>
          <w:p w:rsidR="0026323E" w:rsidRPr="0026323E" w:rsidRDefault="0026323E" w:rsidP="0026323E">
            <w:pPr>
              <w:spacing w:after="0" w:line="240" w:lineRule="auto"/>
              <w:jc w:val="center"/>
              <w:rPr>
                <w:rFonts w:ascii="Times New Roman" w:eastAsia="Times New Roman" w:hAnsi="Times New Roman" w:cs="Times New Roman"/>
                <w:b/>
                <w:bCs/>
                <w:sz w:val="24"/>
                <w:szCs w:val="24"/>
              </w:rPr>
            </w:pPr>
            <w:r w:rsidRPr="0026323E">
              <w:rPr>
                <w:rFonts w:ascii="Times New Roman" w:eastAsia="Times New Roman" w:hAnsi="Times New Roman" w:cs="Times New Roman"/>
                <w:b/>
                <w:bCs/>
                <w:sz w:val="24"/>
                <w:szCs w:val="24"/>
              </w:rPr>
              <w:t>Recommendation</w:t>
            </w:r>
          </w:p>
        </w:tc>
      </w:tr>
      <w:tr w:rsidR="0026323E" w:rsidRPr="0026323E" w:rsidTr="0026323E">
        <w:trPr>
          <w:tblCellSpacing w:w="15" w:type="dxa"/>
        </w:trPr>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Blog number</w:t>
            </w:r>
          </w:p>
        </w:tc>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14</w:t>
            </w:r>
          </w:p>
        </w:tc>
      </w:tr>
      <w:tr w:rsidR="0026323E" w:rsidRPr="0026323E" w:rsidTr="0026323E">
        <w:trPr>
          <w:tblCellSpacing w:w="15" w:type="dxa"/>
        </w:trPr>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SEO title</w:t>
            </w:r>
          </w:p>
        </w:tc>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OCI Card Cancellation Under Section 7D: Criminal Cases and Legal Remedies</w:t>
            </w:r>
          </w:p>
        </w:tc>
      </w:tr>
      <w:tr w:rsidR="0026323E" w:rsidRPr="0026323E" w:rsidTr="0026323E">
        <w:trPr>
          <w:tblCellSpacing w:w="15" w:type="dxa"/>
        </w:trPr>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H1 heading</w:t>
            </w:r>
          </w:p>
        </w:tc>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OCI Card Cancellation Under Section 7D: Grounds, Criminal Proceedings and Legal Remedies</w:t>
            </w:r>
          </w:p>
        </w:tc>
      </w:tr>
      <w:tr w:rsidR="0026323E" w:rsidRPr="0026323E" w:rsidTr="0026323E">
        <w:trPr>
          <w:tblCellSpacing w:w="15" w:type="dxa"/>
        </w:trPr>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URL slug</w:t>
            </w:r>
          </w:p>
        </w:tc>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Courier New" w:eastAsia="Times New Roman" w:hAnsi="Courier New" w:cs="Courier New"/>
                <w:sz w:val="20"/>
              </w:rPr>
              <w:t>/oci-card-cancellation-section-7d-legal-remedies/</w:t>
            </w:r>
          </w:p>
        </w:tc>
      </w:tr>
      <w:tr w:rsidR="0026323E" w:rsidRPr="0026323E" w:rsidTr="0026323E">
        <w:trPr>
          <w:tblCellSpacing w:w="15" w:type="dxa"/>
        </w:trPr>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Primary keyword</w:t>
            </w:r>
          </w:p>
        </w:tc>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OCI card cancellation under Section 7D</w:t>
            </w:r>
          </w:p>
        </w:tc>
      </w:tr>
      <w:tr w:rsidR="0026323E" w:rsidRPr="0026323E" w:rsidTr="0026323E">
        <w:trPr>
          <w:tblCellSpacing w:w="15" w:type="dxa"/>
        </w:trPr>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Secondary keywords</w:t>
            </w:r>
          </w:p>
        </w:tc>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OCI cancellation criminal case, OCI cancellation notice, Section 7D(da), OCI blacklisting, OCI cancellation writ petition</w:t>
            </w:r>
          </w:p>
        </w:tc>
      </w:tr>
      <w:tr w:rsidR="0026323E" w:rsidRPr="0026323E" w:rsidTr="0026323E">
        <w:trPr>
          <w:tblCellSpacing w:w="15" w:type="dxa"/>
        </w:trPr>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Meta description</w:t>
            </w:r>
          </w:p>
        </w:tc>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Learn how Section 7D affects OCI cardholders facing criminal proceedings, cancellation notices, blacklisting or immigration restrictions, and understand the legal remedies that may be available.</w:t>
            </w:r>
          </w:p>
        </w:tc>
      </w:tr>
      <w:tr w:rsidR="0026323E" w:rsidRPr="0026323E" w:rsidTr="0026323E">
        <w:trPr>
          <w:tblCellSpacing w:w="15" w:type="dxa"/>
        </w:trPr>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Target audience</w:t>
            </w:r>
          </w:p>
        </w:tc>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OCI cardholders abroad, former Indian citizens, NRI families and foreign citizens of Indian origin</w:t>
            </w:r>
          </w:p>
        </w:tc>
      </w:tr>
      <w:tr w:rsidR="0026323E" w:rsidRPr="0026323E" w:rsidTr="0026323E">
        <w:trPr>
          <w:tblCellSpacing w:w="15" w:type="dxa"/>
        </w:trPr>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Conversion objective</w:t>
            </w:r>
          </w:p>
        </w:tc>
        <w:tc>
          <w:tcPr>
            <w:tcW w:w="0" w:type="auto"/>
            <w:vAlign w:val="center"/>
            <w:hideMark/>
          </w:tcPr>
          <w:p w:rsidR="0026323E" w:rsidRPr="0026323E" w:rsidRDefault="0026323E" w:rsidP="0026323E">
            <w:pPr>
              <w:spacing w:after="0"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Enquiries for review of OCI cancellation notices, orders and related immigration action</w:t>
            </w:r>
          </w:p>
        </w:tc>
      </w:tr>
    </w:tbl>
    <w:p w:rsidR="0026323E" w:rsidRPr="0026323E" w:rsidRDefault="0026323E" w:rsidP="0026323E">
      <w:pPr>
        <w:spacing w:before="100" w:beforeAutospacing="1" w:after="100" w:afterAutospacing="1" w:line="240" w:lineRule="auto"/>
        <w:outlineLvl w:val="2"/>
        <w:rPr>
          <w:rFonts w:ascii="Times New Roman" w:eastAsia="Times New Roman" w:hAnsi="Times New Roman" w:cs="Times New Roman"/>
          <w:b/>
          <w:bCs/>
          <w:sz w:val="27"/>
          <w:szCs w:val="27"/>
        </w:rPr>
      </w:pPr>
      <w:r w:rsidRPr="0026323E">
        <w:rPr>
          <w:rFonts w:ascii="Times New Roman" w:eastAsia="Times New Roman" w:hAnsi="Times New Roman" w:cs="Times New Roman"/>
          <w:b/>
          <w:bCs/>
          <w:sz w:val="27"/>
          <w:szCs w:val="27"/>
        </w:rPr>
        <w:t>2. Important legal developments</w:t>
      </w:r>
    </w:p>
    <w:p w:rsidR="0026323E" w:rsidRPr="0026323E" w:rsidRDefault="0026323E" w:rsidP="0026323E">
      <w:pPr>
        <w:spacing w:before="100" w:beforeAutospacing="1" w:after="100" w:afterAutospacing="1"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sz w:val="24"/>
          <w:szCs w:val="24"/>
        </w:rPr>
        <w:t>Two developments deserve particular attention in this article:</w:t>
      </w:r>
    </w:p>
    <w:p w:rsidR="0026323E" w:rsidRPr="0026323E" w:rsidRDefault="0026323E" w:rsidP="002632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b/>
          <w:bCs/>
          <w:sz w:val="24"/>
          <w:szCs w:val="24"/>
        </w:rPr>
        <w:t>Notification S.O. 3662(E), dated 11 August 2025:</w:t>
      </w:r>
      <w:r w:rsidRPr="0026323E">
        <w:rPr>
          <w:rFonts w:ascii="Times New Roman" w:eastAsia="Times New Roman" w:hAnsi="Times New Roman" w:cs="Times New Roman"/>
          <w:sz w:val="24"/>
          <w:szCs w:val="24"/>
        </w:rPr>
        <w:t xml:space="preserve"> The Central Government issued this notification under Section 7D(da), addressing specified criminal-law circumstances, including qualifying sentences of imprisonment and charge-sheets for offences punishable with imprisonment of seven years or more. The precise statutory language and the offence involved must be examined. </w:t>
      </w:r>
    </w:p>
    <w:p w:rsidR="0026323E" w:rsidRPr="0026323E" w:rsidRDefault="0026323E" w:rsidP="002632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323E">
        <w:rPr>
          <w:rFonts w:ascii="Times New Roman" w:eastAsia="Times New Roman" w:hAnsi="Times New Roman" w:cs="Times New Roman"/>
          <w:b/>
          <w:bCs/>
          <w:sz w:val="24"/>
          <w:szCs w:val="24"/>
        </w:rPr>
        <w:t>Ebrahim Nasir Jadwet v. Union of India, order dated 27 April 2026:</w:t>
      </w:r>
      <w:r w:rsidRPr="0026323E">
        <w:rPr>
          <w:rFonts w:ascii="Times New Roman" w:eastAsia="Times New Roman" w:hAnsi="Times New Roman" w:cs="Times New Roman"/>
          <w:sz w:val="24"/>
          <w:szCs w:val="24"/>
        </w:rPr>
        <w:t xml:space="preserve"> The Calcutta High Court's Circuit Bench at Port Blair considered challenges concerning the 2025 notification and an OCI cancellation order. The order identified arguable questions about </w:t>
      </w:r>
      <w:r w:rsidRPr="0026323E">
        <w:rPr>
          <w:rFonts w:ascii="Times New Roman" w:eastAsia="Times New Roman" w:hAnsi="Times New Roman" w:cs="Times New Roman"/>
          <w:sz w:val="24"/>
          <w:szCs w:val="24"/>
        </w:rPr>
        <w:lastRenderedPageBreak/>
        <w:t xml:space="preserve">the notification's validity and retrospective application. It should not be presented as a final determination invalidating the notification generally. </w:t>
      </w:r>
    </w:p>
    <w:p w:rsidR="002772AA" w:rsidRDefault="002772AA" w:rsidP="002772AA">
      <w:pPr>
        <w:pStyle w:val="Heading1"/>
      </w:pPr>
      <w:r>
        <w:t xml:space="preserve">OCI Card Cancellation </w:t>
      </w:r>
      <w:proofErr w:type="gramStart"/>
      <w:r>
        <w:t>Under</w:t>
      </w:r>
      <w:proofErr w:type="gramEnd"/>
      <w:r>
        <w:t xml:space="preserve"> Section 7D: Grounds, Criminal Proceedings and Legal Remedies</w:t>
      </w:r>
    </w:p>
    <w:p w:rsidR="002772AA" w:rsidRDefault="002772AA" w:rsidP="002772AA">
      <w:pPr>
        <w:pStyle w:val="NormalWeb"/>
      </w:pPr>
      <w:r>
        <w:t>An Overseas Citizen of India (OCI) cardholder may face serious legal difficulties if the Government initiates cancellation proceedings or imposes related immigration restrictions. These issues can become particularly complex when a criminal investigation, charge-sheet, conviction or sentence forms part of the allegations.</w:t>
      </w:r>
    </w:p>
    <w:p w:rsidR="002772AA" w:rsidRDefault="002772AA" w:rsidP="002772AA">
      <w:pPr>
        <w:pStyle w:val="NormalWeb"/>
      </w:pPr>
      <w:r>
        <w:t>For overseas Indians and foreign citizens of Indian origin, the consequences may extend beyond the OCI registration itself. Planned travel, family visits, business activities and other arrangements involving India may also be affected.</w:t>
      </w:r>
    </w:p>
    <w:p w:rsidR="002772AA" w:rsidRDefault="002772AA" w:rsidP="002772AA">
      <w:pPr>
        <w:pStyle w:val="NormalWeb"/>
      </w:pPr>
      <w:r>
        <w:t xml:space="preserve">The principal statutory provision governing cancellation of OCI registration is Section 7D of the Citizenship Act, 1955. A further development occurred on 11 August 2025, when the Central Government issued Notification S.O. 3662(E) under Section </w:t>
      </w:r>
      <w:proofErr w:type="gramStart"/>
      <w:r>
        <w:t>7D(</w:t>
      </w:r>
      <w:proofErr w:type="gramEnd"/>
      <w:r>
        <w:t>da), specifying criminal-law circumstances relevant to cancellation.</w:t>
      </w:r>
    </w:p>
    <w:p w:rsidR="002772AA" w:rsidRDefault="002772AA" w:rsidP="002772AA">
      <w:pPr>
        <w:pStyle w:val="NormalWeb"/>
      </w:pPr>
      <w:r>
        <w:t>These provisions require careful examination. An FIR, charge-sheet, conviction and sentence are different procedural events. Their legal consequences must be assessed against the precise statutory ground invoked and the documents available.</w:t>
      </w:r>
    </w:p>
    <w:p w:rsidR="002772AA" w:rsidRDefault="002772AA" w:rsidP="002772AA">
      <w:pPr>
        <w:pStyle w:val="NormalWeb"/>
      </w:pPr>
      <w:r>
        <w:t>This guide examines the legal framework, the importance of procedural fairness, relevant court decisions and practical steps for responding to an OCI cancellation notice.</w:t>
      </w:r>
    </w:p>
    <w:p w:rsidR="002772AA" w:rsidRDefault="002772AA" w:rsidP="002772AA">
      <w:pPr>
        <w:pStyle w:val="NormalWeb"/>
      </w:pPr>
      <w:r>
        <w:rPr>
          <w:rStyle w:val="Strong"/>
        </w:rPr>
        <w:t>Legal note:</w:t>
      </w:r>
      <w:r>
        <w:t xml:space="preserve"> This article provides general information, not a prediction of the result in any individual matter. The applicable legislation, notifications, judgments and procedural requirements must be checked against the facts and current law.</w:t>
      </w:r>
    </w:p>
    <w:p w:rsidR="002772AA" w:rsidRDefault="002772AA" w:rsidP="002772AA">
      <w:pPr>
        <w:pStyle w:val="Heading2"/>
      </w:pPr>
      <w:r>
        <w:t xml:space="preserve">1. What Is OCI Cancellation </w:t>
      </w:r>
      <w:proofErr w:type="gramStart"/>
      <w:r>
        <w:t>Under</w:t>
      </w:r>
      <w:proofErr w:type="gramEnd"/>
      <w:r>
        <w:t xml:space="preserve"> Section 7D?</w:t>
      </w:r>
    </w:p>
    <w:p w:rsidR="002772AA" w:rsidRDefault="002772AA" w:rsidP="002772AA">
      <w:pPr>
        <w:pStyle w:val="NormalWeb"/>
      </w:pPr>
      <w:r>
        <w:t>OCI registration is a statutory status available to eligible foreign citizens under the Citizenship Act, 1955. It does not confer Indian citizenship.</w:t>
      </w:r>
    </w:p>
    <w:p w:rsidR="002772AA" w:rsidRDefault="002772AA" w:rsidP="002772AA">
      <w:pPr>
        <w:pStyle w:val="NormalWeb"/>
      </w:pPr>
      <w:r>
        <w:t>Section 7D empowers the Central Government to cancel OCI registration when the applicable statutory conditions are satisfied.</w:t>
      </w:r>
    </w:p>
    <w:p w:rsidR="002772AA" w:rsidRDefault="002772AA" w:rsidP="002772AA">
      <w:pPr>
        <w:pStyle w:val="NormalWeb"/>
      </w:pPr>
      <w:r>
        <w:t>The grounds addressed by the provision include circumstances involving:</w:t>
      </w:r>
    </w:p>
    <w:p w:rsidR="002772AA" w:rsidRDefault="002772AA" w:rsidP="002772AA">
      <w:pPr>
        <w:pStyle w:val="NormalWeb"/>
        <w:numPr>
          <w:ilvl w:val="0"/>
          <w:numId w:val="2"/>
        </w:numPr>
      </w:pPr>
      <w:r>
        <w:t>Fraud, false representation or concealment of a material fact in obtaining OCI registration.</w:t>
      </w:r>
    </w:p>
    <w:p w:rsidR="002772AA" w:rsidRDefault="002772AA" w:rsidP="002772AA">
      <w:pPr>
        <w:pStyle w:val="NormalWeb"/>
        <w:numPr>
          <w:ilvl w:val="0"/>
          <w:numId w:val="2"/>
        </w:numPr>
      </w:pPr>
      <w:r>
        <w:t>Conduct described in the Act as showing disaffection towards the Constitution.</w:t>
      </w:r>
    </w:p>
    <w:p w:rsidR="002772AA" w:rsidRDefault="002772AA" w:rsidP="002772AA">
      <w:pPr>
        <w:pStyle w:val="NormalWeb"/>
        <w:numPr>
          <w:ilvl w:val="0"/>
          <w:numId w:val="2"/>
        </w:numPr>
      </w:pPr>
      <w:r>
        <w:lastRenderedPageBreak/>
        <w:t>Certain unlawful dealings or communications with an enemy during a war involving India.</w:t>
      </w:r>
    </w:p>
    <w:p w:rsidR="002772AA" w:rsidRDefault="002772AA" w:rsidP="002772AA">
      <w:pPr>
        <w:pStyle w:val="NormalWeb"/>
        <w:numPr>
          <w:ilvl w:val="0"/>
          <w:numId w:val="2"/>
        </w:numPr>
      </w:pPr>
      <w:r>
        <w:t>Specified imprisonment within the prescribed period after registration.</w:t>
      </w:r>
    </w:p>
    <w:p w:rsidR="002772AA" w:rsidRDefault="002772AA" w:rsidP="002772AA">
      <w:pPr>
        <w:pStyle w:val="NormalWeb"/>
        <w:numPr>
          <w:ilvl w:val="0"/>
          <w:numId w:val="2"/>
        </w:numPr>
      </w:pPr>
      <w:r>
        <w:t xml:space="preserve">Certain violations of law specified by the Central Government under Section </w:t>
      </w:r>
      <w:proofErr w:type="gramStart"/>
      <w:r>
        <w:t>7D(</w:t>
      </w:r>
      <w:proofErr w:type="gramEnd"/>
      <w:r>
        <w:t>da).</w:t>
      </w:r>
    </w:p>
    <w:p w:rsidR="002772AA" w:rsidRDefault="002772AA" w:rsidP="002772AA">
      <w:pPr>
        <w:pStyle w:val="NormalWeb"/>
        <w:numPr>
          <w:ilvl w:val="0"/>
          <w:numId w:val="2"/>
        </w:numPr>
      </w:pPr>
      <w:r>
        <w:t>Specified national-security, sovereignty, international-relations or public-interest considerations.</w:t>
      </w:r>
    </w:p>
    <w:p w:rsidR="002772AA" w:rsidRDefault="002772AA" w:rsidP="002772AA">
      <w:pPr>
        <w:pStyle w:val="NormalWeb"/>
        <w:numPr>
          <w:ilvl w:val="0"/>
          <w:numId w:val="2"/>
        </w:numPr>
      </w:pPr>
      <w:r>
        <w:t>Certain circumstances concerning marriage where OCI registration was obtained through the spouse-based eligibility route.</w:t>
      </w:r>
    </w:p>
    <w:p w:rsidR="002772AA" w:rsidRDefault="002772AA" w:rsidP="002772AA">
      <w:pPr>
        <w:pStyle w:val="NormalWeb"/>
      </w:pPr>
      <w:r>
        <w:t>Each ground has its own statutory requirements. The provision relied upon in an individual case must be identified before a legal response is prepared.</w:t>
      </w:r>
    </w:p>
    <w:p w:rsidR="002772AA" w:rsidRDefault="002772AA" w:rsidP="002772AA">
      <w:pPr>
        <w:pStyle w:val="NormalWeb"/>
      </w:pPr>
      <w:r>
        <w:t>The existence of an allegation or an adverse event should not be treated as interchangeable with a final decision cancelling OCI registration.</w:t>
      </w:r>
    </w:p>
    <w:p w:rsidR="002772AA" w:rsidRDefault="002772AA" w:rsidP="002772AA">
      <w:pPr>
        <w:pStyle w:val="Heading2"/>
      </w:pPr>
      <w:r>
        <w:t>2. The 11 August 2025 Notification: Why It Matters</w:t>
      </w:r>
    </w:p>
    <w:p w:rsidR="002772AA" w:rsidRDefault="002772AA" w:rsidP="002772AA">
      <w:pPr>
        <w:pStyle w:val="NormalWeb"/>
      </w:pPr>
      <w:r>
        <w:t xml:space="preserve">The Central Government issued Notification S.O. 3662(E) dated 11 August 2025 under Section </w:t>
      </w:r>
      <w:proofErr w:type="gramStart"/>
      <w:r>
        <w:t>7D(</w:t>
      </w:r>
      <w:proofErr w:type="gramEnd"/>
      <w:r>
        <w:t>da) of the Citizenship Act.</w:t>
      </w:r>
    </w:p>
    <w:p w:rsidR="002772AA" w:rsidRDefault="002772AA" w:rsidP="002772AA">
      <w:pPr>
        <w:pStyle w:val="NormalWeb"/>
      </w:pPr>
      <w:r>
        <w:t>The notification specifies circumstances in which OCI registration is liable to cancellation where a person:</w:t>
      </w:r>
    </w:p>
    <w:p w:rsidR="002772AA" w:rsidRDefault="002772AA" w:rsidP="002772AA">
      <w:pPr>
        <w:pStyle w:val="NormalWeb"/>
        <w:numPr>
          <w:ilvl w:val="0"/>
          <w:numId w:val="3"/>
        </w:numPr>
      </w:pPr>
      <w:r>
        <w:t>Has been sentenced to imprisonment for a term of not less than two years; or</w:t>
      </w:r>
    </w:p>
    <w:p w:rsidR="002772AA" w:rsidRDefault="002772AA" w:rsidP="002772AA">
      <w:pPr>
        <w:pStyle w:val="NormalWeb"/>
        <w:numPr>
          <w:ilvl w:val="0"/>
          <w:numId w:val="3"/>
        </w:numPr>
      </w:pPr>
      <w:r>
        <w:t>Has been charge-sheeted for an offence punishable with imprisonment of seven years or more.</w:t>
      </w:r>
    </w:p>
    <w:p w:rsidR="002772AA" w:rsidRDefault="002772AA" w:rsidP="002772AA">
      <w:pPr>
        <w:pStyle w:val="NormalWeb"/>
      </w:pPr>
      <w:r>
        <w:t>The precise wording of the notification and the applicable statutory framework must be consulted when evaluating a particular case.</w:t>
      </w:r>
    </w:p>
    <w:p w:rsidR="002772AA" w:rsidRDefault="002772AA" w:rsidP="002772AA">
      <w:pPr>
        <w:pStyle w:val="NormalWeb"/>
      </w:pPr>
      <w:r>
        <w:t>This development makes the criminal-law position important in OCI compliance and cancellation matters. It is no longer sufficient to consider only whether a criminal conviction has occurred. Depending on the ground invoked, the charge-sheet, the offence alleged and the punishment prescribed by the applicable law may also be relevant.</w:t>
      </w:r>
    </w:p>
    <w:p w:rsidR="002772AA" w:rsidRDefault="002772AA" w:rsidP="002772AA">
      <w:pPr>
        <w:pStyle w:val="NormalWeb"/>
      </w:pPr>
      <w:r>
        <w:t>However, the notification should not be inaccurately summarised as a rule that any FIR automatically cancels an OCI card.</w:t>
      </w:r>
    </w:p>
    <w:p w:rsidR="002772AA" w:rsidRDefault="002772AA" w:rsidP="002772AA">
      <w:pPr>
        <w:pStyle w:val="NormalWeb"/>
      </w:pPr>
      <w:r>
        <w:t>An FIR, a charge-sheet, a conviction and a sentence represent different stages of criminal proceedings. The legal significance of each stage depends on the provision and notification relied upon by the authorities.</w:t>
      </w:r>
    </w:p>
    <w:p w:rsidR="002772AA" w:rsidRDefault="002772AA" w:rsidP="002772AA">
      <w:pPr>
        <w:pStyle w:val="Heading2"/>
      </w:pPr>
      <w:r>
        <w:t>3. FIR, Charge-Sheet, Trial and Conviction: The Distinctions</w:t>
      </w:r>
    </w:p>
    <w:p w:rsidR="002772AA" w:rsidRDefault="002772AA" w:rsidP="002772AA">
      <w:pPr>
        <w:pStyle w:val="NormalWeb"/>
      </w:pPr>
      <w:r>
        <w:lastRenderedPageBreak/>
        <w:t>The procedural stage of a criminal case may be important when an OCI cancellation notice refers to criminal conduct.</w:t>
      </w:r>
    </w:p>
    <w:p w:rsidR="002772AA" w:rsidRDefault="002772AA" w:rsidP="002772AA">
      <w:pPr>
        <w:pStyle w:val="Heading3"/>
      </w:pPr>
      <w:r>
        <w:t>FIR or complaint</w:t>
      </w:r>
    </w:p>
    <w:p w:rsidR="002772AA" w:rsidRDefault="002772AA" w:rsidP="002772AA">
      <w:pPr>
        <w:pStyle w:val="NormalWeb"/>
      </w:pPr>
      <w:r>
        <w:t>An FIR records information concerning an alleged offence. It does not, by itself, establish that the person named in it is guilty.</w:t>
      </w:r>
    </w:p>
    <w:p w:rsidR="002772AA" w:rsidRDefault="002772AA" w:rsidP="002772AA">
      <w:pPr>
        <w:pStyle w:val="NormalWeb"/>
      </w:pPr>
      <w:r>
        <w:t>If a notice relies only on the existence of an FIR, the legal basis of the proposed action must be examined rather than assuming that the FIR automatically satisfies every cancellation ground.</w:t>
      </w:r>
    </w:p>
    <w:p w:rsidR="002772AA" w:rsidRDefault="002772AA" w:rsidP="002772AA">
      <w:pPr>
        <w:pStyle w:val="Heading3"/>
      </w:pPr>
      <w:r>
        <w:t>Investigation</w:t>
      </w:r>
    </w:p>
    <w:p w:rsidR="002772AA" w:rsidRDefault="002772AA" w:rsidP="002772AA">
      <w:pPr>
        <w:pStyle w:val="NormalWeb"/>
      </w:pPr>
      <w:r>
        <w:t>During investigation, the authorities collect and assess evidence. The allegations and the available evidence may change as the investigation progresses.</w:t>
      </w:r>
    </w:p>
    <w:p w:rsidR="002772AA" w:rsidRDefault="002772AA" w:rsidP="002772AA">
      <w:pPr>
        <w:pStyle w:val="Heading3"/>
      </w:pPr>
      <w:r>
        <w:t>Charge-sheet</w:t>
      </w:r>
    </w:p>
    <w:p w:rsidR="002772AA" w:rsidRDefault="002772AA" w:rsidP="002772AA">
      <w:pPr>
        <w:pStyle w:val="NormalWeb"/>
      </w:pPr>
      <w:r>
        <w:t xml:space="preserve">A charge-sheet is a prosecution report filed by the investigating agency. Where Section </w:t>
      </w:r>
      <w:proofErr w:type="gramStart"/>
      <w:r>
        <w:t>7D(</w:t>
      </w:r>
      <w:proofErr w:type="gramEnd"/>
      <w:r>
        <w:t>da) and the 2025 notification are relied upon, the exact offence and its prescribed punishment must be examined.</w:t>
      </w:r>
    </w:p>
    <w:p w:rsidR="002772AA" w:rsidRDefault="002772AA" w:rsidP="002772AA">
      <w:pPr>
        <w:pStyle w:val="NormalWeb"/>
      </w:pPr>
      <w:r>
        <w:t>The statutory threshold should not be assumed to apply merely because a charge-sheet exists. The offence and applicable law must be identified.</w:t>
      </w:r>
    </w:p>
    <w:p w:rsidR="002772AA" w:rsidRDefault="002772AA" w:rsidP="002772AA">
      <w:pPr>
        <w:pStyle w:val="Heading3"/>
      </w:pPr>
      <w:r>
        <w:t>Trial</w:t>
      </w:r>
    </w:p>
    <w:p w:rsidR="002772AA" w:rsidRDefault="002772AA" w:rsidP="002772AA">
      <w:pPr>
        <w:pStyle w:val="NormalWeb"/>
      </w:pPr>
      <w:r>
        <w:t>During trial, the criminal court considers the prosecution case and the defence in accordance with criminal procedure.</w:t>
      </w:r>
    </w:p>
    <w:p w:rsidR="002772AA" w:rsidRDefault="002772AA" w:rsidP="002772AA">
      <w:pPr>
        <w:pStyle w:val="NormalWeb"/>
      </w:pPr>
      <w:r>
        <w:t>A pending trial is not the same as a conviction or sentence. Nevertheless, the legal effect of the charge-sheet may need separate consideration under the 2025 notification.</w:t>
      </w:r>
    </w:p>
    <w:p w:rsidR="002772AA" w:rsidRDefault="002772AA" w:rsidP="002772AA">
      <w:pPr>
        <w:pStyle w:val="Heading3"/>
      </w:pPr>
      <w:r>
        <w:t>Conviction and sentence</w:t>
      </w:r>
    </w:p>
    <w:p w:rsidR="002772AA" w:rsidRDefault="002772AA" w:rsidP="002772AA">
      <w:pPr>
        <w:pStyle w:val="NormalWeb"/>
      </w:pPr>
      <w:r>
        <w:t>A conviction is a finding of guilt by a criminal court. A sentence is the punishment imposed.</w:t>
      </w:r>
    </w:p>
    <w:p w:rsidR="002772AA" w:rsidRDefault="002772AA" w:rsidP="002772AA">
      <w:pPr>
        <w:pStyle w:val="NormalWeb"/>
      </w:pPr>
      <w:r>
        <w:t>Where the applicable statutory ground refers to a specified term of imprisonment, the actual sentence and relevant dates must be examined.</w:t>
      </w:r>
    </w:p>
    <w:p w:rsidR="002772AA" w:rsidRDefault="002772AA" w:rsidP="002772AA">
      <w:pPr>
        <w:pStyle w:val="NormalWeb"/>
      </w:pPr>
      <w:r>
        <w:rPr>
          <w:rStyle w:val="Strong"/>
        </w:rPr>
        <w:t>Practical lesson:</w:t>
      </w:r>
      <w:r>
        <w:t xml:space="preserve"> A response to an OCI cancellation notice should address the exact statutory ground. A general statement that no conviction has occurred may not answer a notice relying on a qualifying charge-sheet.</w:t>
      </w:r>
    </w:p>
    <w:p w:rsidR="002772AA" w:rsidRDefault="002772AA" w:rsidP="002772AA">
      <w:pPr>
        <w:pStyle w:val="Heading2"/>
      </w:pPr>
      <w:r>
        <w:lastRenderedPageBreak/>
        <w:t>4. Can OCI Registration Be Cancelled Because of an Alleged Offence?</w:t>
      </w:r>
    </w:p>
    <w:p w:rsidR="002772AA" w:rsidRDefault="002772AA" w:rsidP="002772AA">
      <w:pPr>
        <w:pStyle w:val="NormalWeb"/>
      </w:pPr>
      <w:r>
        <w:t>The answer depends on the precise statutory provision and the facts of the case.</w:t>
      </w:r>
    </w:p>
    <w:p w:rsidR="002772AA" w:rsidRDefault="002772AA" w:rsidP="002772AA">
      <w:pPr>
        <w:pStyle w:val="NormalWeb"/>
      </w:pPr>
      <w:r>
        <w:t>A criminal allegation should not automatically be equated with every ground for OCI cancellation. At the same time, an affected person should not assume that the absence of a conviction resolves the matter where the Government relies on a provision or notification addressing a different procedural stage.</w:t>
      </w:r>
    </w:p>
    <w:p w:rsidR="002772AA" w:rsidRDefault="002772AA" w:rsidP="002772AA">
      <w:pPr>
        <w:pStyle w:val="NormalWeb"/>
      </w:pPr>
      <w:r>
        <w:t>A legal review should establish:</w:t>
      </w:r>
    </w:p>
    <w:p w:rsidR="002772AA" w:rsidRDefault="002772AA" w:rsidP="002772AA">
      <w:pPr>
        <w:pStyle w:val="NormalWeb"/>
        <w:numPr>
          <w:ilvl w:val="0"/>
          <w:numId w:val="4"/>
        </w:numPr>
      </w:pPr>
      <w:r>
        <w:t>The exact offence alleged.</w:t>
      </w:r>
    </w:p>
    <w:p w:rsidR="002772AA" w:rsidRDefault="002772AA" w:rsidP="002772AA">
      <w:pPr>
        <w:pStyle w:val="NormalWeb"/>
        <w:numPr>
          <w:ilvl w:val="0"/>
          <w:numId w:val="4"/>
        </w:numPr>
      </w:pPr>
      <w:r>
        <w:t>The statute under which the offence is punishable.</w:t>
      </w:r>
    </w:p>
    <w:p w:rsidR="002772AA" w:rsidRDefault="002772AA" w:rsidP="002772AA">
      <w:pPr>
        <w:pStyle w:val="NormalWeb"/>
        <w:numPr>
          <w:ilvl w:val="0"/>
          <w:numId w:val="4"/>
        </w:numPr>
      </w:pPr>
      <w:r>
        <w:t>The punishment prescribed by the applicable law.</w:t>
      </w:r>
    </w:p>
    <w:p w:rsidR="002772AA" w:rsidRDefault="002772AA" w:rsidP="002772AA">
      <w:pPr>
        <w:pStyle w:val="NormalWeb"/>
        <w:numPr>
          <w:ilvl w:val="0"/>
          <w:numId w:val="4"/>
        </w:numPr>
      </w:pPr>
      <w:r>
        <w:t>Whether an FIR, charge-sheet, conviction or sentence exists.</w:t>
      </w:r>
    </w:p>
    <w:p w:rsidR="002772AA" w:rsidRDefault="002772AA" w:rsidP="002772AA">
      <w:pPr>
        <w:pStyle w:val="NormalWeb"/>
        <w:numPr>
          <w:ilvl w:val="0"/>
          <w:numId w:val="4"/>
        </w:numPr>
      </w:pPr>
      <w:r>
        <w:t>The dates of the relevant criminal proceedings.</w:t>
      </w:r>
    </w:p>
    <w:p w:rsidR="002772AA" w:rsidRDefault="002772AA" w:rsidP="002772AA">
      <w:pPr>
        <w:pStyle w:val="NormalWeb"/>
        <w:numPr>
          <w:ilvl w:val="0"/>
          <w:numId w:val="4"/>
        </w:numPr>
      </w:pPr>
      <w:r>
        <w:t>The statutory provision cited in the OCI notice.</w:t>
      </w:r>
    </w:p>
    <w:p w:rsidR="002772AA" w:rsidRDefault="002772AA" w:rsidP="002772AA">
      <w:pPr>
        <w:pStyle w:val="NormalWeb"/>
        <w:numPr>
          <w:ilvl w:val="0"/>
          <w:numId w:val="4"/>
        </w:numPr>
      </w:pPr>
      <w:r>
        <w:t>The date and terms of the notification relied upon.</w:t>
      </w:r>
    </w:p>
    <w:p w:rsidR="002772AA" w:rsidRDefault="002772AA" w:rsidP="002772AA">
      <w:pPr>
        <w:pStyle w:val="NormalWeb"/>
        <w:numPr>
          <w:ilvl w:val="0"/>
          <w:numId w:val="4"/>
        </w:numPr>
      </w:pPr>
      <w:r>
        <w:t>Whether the notice accurately describes the underlying criminal record.</w:t>
      </w:r>
    </w:p>
    <w:p w:rsidR="002772AA" w:rsidRDefault="002772AA" w:rsidP="002772AA">
      <w:pPr>
        <w:pStyle w:val="NormalWeb"/>
      </w:pPr>
      <w:r>
        <w:t>If the notice contains an incorrect date, misidentifies an offence or describes a procedural stage inaccurately, the response should address the discrepancy with supporting records.</w:t>
      </w:r>
    </w:p>
    <w:p w:rsidR="002772AA" w:rsidRDefault="002772AA" w:rsidP="002772AA">
      <w:pPr>
        <w:pStyle w:val="Heading2"/>
      </w:pPr>
      <w:r>
        <w:t>5. Can the 2025 Notification Apply to Earlier Proceedings?</w:t>
      </w:r>
    </w:p>
    <w:p w:rsidR="002772AA" w:rsidRDefault="002772AA" w:rsidP="002772AA">
      <w:pPr>
        <w:pStyle w:val="NormalWeb"/>
      </w:pPr>
      <w:r>
        <w:t>The temporal application and legal scope of a notification can be important where criminal proceedings or an OCI show-cause notice began before the notification was issued.</w:t>
      </w:r>
    </w:p>
    <w:p w:rsidR="002772AA" w:rsidRDefault="002772AA" w:rsidP="002772AA">
      <w:pPr>
        <w:pStyle w:val="NormalWeb"/>
      </w:pPr>
      <w:r>
        <w:t xml:space="preserve">In </w:t>
      </w:r>
      <w:r>
        <w:rPr>
          <w:rStyle w:val="Emphasis"/>
          <w:rFonts w:eastAsiaTheme="majorEastAsia"/>
        </w:rPr>
        <w:t>Ebrahim Nasir Jadwet v. Union of India &amp; Others</w:t>
      </w:r>
      <w:r>
        <w:t>, an order dated 27 April 2026 of the Calcutta High Court's Circuit Bench at Port Blair considered a challenge involving the 11 August 2025 notification and an OCI cancellation order.</w:t>
      </w:r>
    </w:p>
    <w:p w:rsidR="002772AA" w:rsidRDefault="002772AA" w:rsidP="002772AA">
      <w:pPr>
        <w:pStyle w:val="NormalWeb"/>
      </w:pPr>
      <w:r>
        <w:t xml:space="preserve">The petitioner raised issues concerning the application of the notification to an earlier show-cause process and the scope of the Government's authority under Section </w:t>
      </w:r>
      <w:proofErr w:type="gramStart"/>
      <w:r>
        <w:t>7D(</w:t>
      </w:r>
      <w:proofErr w:type="gramEnd"/>
      <w:r>
        <w:t>da).</w:t>
      </w:r>
    </w:p>
    <w:p w:rsidR="002772AA" w:rsidRDefault="002772AA" w:rsidP="002772AA">
      <w:pPr>
        <w:pStyle w:val="NormalWeb"/>
      </w:pPr>
      <w:r>
        <w:t>The Court considered that arguable questions had been raised. The order should be read in its actual procedural context: it is not a general final ruling that every application of the notification to earlier events is unlawful.</w:t>
      </w:r>
    </w:p>
    <w:p w:rsidR="002772AA" w:rsidRDefault="002772AA" w:rsidP="002772AA">
      <w:pPr>
        <w:pStyle w:val="NormalWeb"/>
      </w:pPr>
      <w:r>
        <w:t>For an individual matter, the chronology may include:</w:t>
      </w:r>
    </w:p>
    <w:p w:rsidR="002772AA" w:rsidRDefault="002772AA" w:rsidP="002772AA">
      <w:pPr>
        <w:pStyle w:val="NormalWeb"/>
        <w:numPr>
          <w:ilvl w:val="0"/>
          <w:numId w:val="5"/>
        </w:numPr>
      </w:pPr>
      <w:r>
        <w:t>The date of the alleged conduct.</w:t>
      </w:r>
    </w:p>
    <w:p w:rsidR="002772AA" w:rsidRDefault="002772AA" w:rsidP="002772AA">
      <w:pPr>
        <w:pStyle w:val="NormalWeb"/>
        <w:numPr>
          <w:ilvl w:val="0"/>
          <w:numId w:val="5"/>
        </w:numPr>
      </w:pPr>
      <w:r>
        <w:t>The date of the FIR or complaint.</w:t>
      </w:r>
    </w:p>
    <w:p w:rsidR="002772AA" w:rsidRDefault="002772AA" w:rsidP="002772AA">
      <w:pPr>
        <w:pStyle w:val="NormalWeb"/>
        <w:numPr>
          <w:ilvl w:val="0"/>
          <w:numId w:val="5"/>
        </w:numPr>
      </w:pPr>
      <w:r>
        <w:t>The date of the charge-sheet.</w:t>
      </w:r>
    </w:p>
    <w:p w:rsidR="002772AA" w:rsidRDefault="002772AA" w:rsidP="002772AA">
      <w:pPr>
        <w:pStyle w:val="NormalWeb"/>
        <w:numPr>
          <w:ilvl w:val="0"/>
          <w:numId w:val="5"/>
        </w:numPr>
      </w:pPr>
      <w:r>
        <w:lastRenderedPageBreak/>
        <w:t>The date of any conviction or sentence.</w:t>
      </w:r>
    </w:p>
    <w:p w:rsidR="002772AA" w:rsidRDefault="002772AA" w:rsidP="002772AA">
      <w:pPr>
        <w:pStyle w:val="NormalWeb"/>
        <w:numPr>
          <w:ilvl w:val="0"/>
          <w:numId w:val="5"/>
        </w:numPr>
      </w:pPr>
      <w:r>
        <w:t>The date of the show-cause notice.</w:t>
      </w:r>
    </w:p>
    <w:p w:rsidR="002772AA" w:rsidRDefault="002772AA" w:rsidP="002772AA">
      <w:pPr>
        <w:pStyle w:val="NormalWeb"/>
        <w:numPr>
          <w:ilvl w:val="0"/>
          <w:numId w:val="5"/>
        </w:numPr>
      </w:pPr>
      <w:r>
        <w:t>The date of the 2025 notification.</w:t>
      </w:r>
    </w:p>
    <w:p w:rsidR="002772AA" w:rsidRDefault="002772AA" w:rsidP="002772AA">
      <w:pPr>
        <w:pStyle w:val="NormalWeb"/>
        <w:numPr>
          <w:ilvl w:val="0"/>
          <w:numId w:val="5"/>
        </w:numPr>
      </w:pPr>
      <w:r>
        <w:t>The date of the cancellation order.</w:t>
      </w:r>
    </w:p>
    <w:p w:rsidR="002772AA" w:rsidRDefault="002772AA" w:rsidP="002772AA">
      <w:pPr>
        <w:pStyle w:val="NormalWeb"/>
      </w:pPr>
      <w:r>
        <w:t>These dates should be placed in a single chronology before any conclusion is reached about the notification's applicability.</w:t>
      </w:r>
    </w:p>
    <w:p w:rsidR="002772AA" w:rsidRDefault="002772AA" w:rsidP="002772AA">
      <w:pPr>
        <w:pStyle w:val="Heading2"/>
      </w:pPr>
      <w:r>
        <w:t>6. Does Section 7D Require a Reasonable Opportunity of Being Heard?</w:t>
      </w:r>
    </w:p>
    <w:p w:rsidR="002772AA" w:rsidRDefault="002772AA" w:rsidP="002772AA">
      <w:pPr>
        <w:pStyle w:val="NormalWeb"/>
      </w:pPr>
      <w:r>
        <w:t>Yes. Section 7D contains a proviso requiring a reasonable opportunity of being heard before an order under that section is passed.</w:t>
      </w:r>
    </w:p>
    <w:p w:rsidR="002772AA" w:rsidRDefault="002772AA" w:rsidP="002772AA">
      <w:pPr>
        <w:pStyle w:val="NormalWeb"/>
      </w:pPr>
      <w:r>
        <w:t>The opportunity must be considered in the context of the actual notice, the applicable legal ground and the procedure followed.</w:t>
      </w:r>
    </w:p>
    <w:p w:rsidR="002772AA" w:rsidRDefault="002772AA" w:rsidP="002772AA">
      <w:pPr>
        <w:pStyle w:val="NormalWeb"/>
      </w:pPr>
      <w:r>
        <w:t>A meaningful response ordinarily requires sufficient information about the proposed action to allow the affected person to address the relevant allegations. A notice should therefore be examined for the statutory ground relied upon, the factual basis of the allegation and the time and procedure available for responding.</w:t>
      </w:r>
    </w:p>
    <w:p w:rsidR="002772AA" w:rsidRDefault="002772AA" w:rsidP="002772AA">
      <w:pPr>
        <w:pStyle w:val="NormalWeb"/>
      </w:pPr>
      <w:r>
        <w:t>The precise requirements may depend on the circumstances and the material lawfully available to the authorities.</w:t>
      </w:r>
    </w:p>
    <w:p w:rsidR="002772AA" w:rsidRDefault="002772AA" w:rsidP="002772AA">
      <w:pPr>
        <w:pStyle w:val="NormalWeb"/>
      </w:pPr>
      <w:r>
        <w:t>The fact that a hearing is required does not mean that cancellation is impossible. Nor does the existence of a notice establish that the final decision will necessarily be lawful. Both the substantive ground and the procedure must be examined.</w:t>
      </w:r>
    </w:p>
    <w:p w:rsidR="002772AA" w:rsidRDefault="002772AA" w:rsidP="002772AA">
      <w:pPr>
        <w:pStyle w:val="Heading2"/>
      </w:pPr>
      <w:r>
        <w:t>7. Delhi High Court Decision: John Robert Roughton III v. Union of India</w:t>
      </w:r>
    </w:p>
    <w:p w:rsidR="002772AA" w:rsidRDefault="002772AA" w:rsidP="002772AA">
      <w:pPr>
        <w:pStyle w:val="NormalWeb"/>
      </w:pPr>
      <w:r>
        <w:t xml:space="preserve">In </w:t>
      </w:r>
      <w:r>
        <w:rPr>
          <w:rStyle w:val="Emphasis"/>
          <w:rFonts w:eastAsiaTheme="majorEastAsia"/>
        </w:rPr>
        <w:t>John Robert Roughton III v. Union of India &amp; Others</w:t>
      </w:r>
      <w:r>
        <w:t>, decided on 28 March 2025, the Delhi High Court examined issues involving an OCI cardholder, blacklisting, deportation and restrictions on entry into India.</w:t>
      </w:r>
    </w:p>
    <w:p w:rsidR="002772AA" w:rsidRDefault="002772AA" w:rsidP="002772AA">
      <w:pPr>
        <w:pStyle w:val="NormalWeb"/>
      </w:pPr>
      <w:r>
        <w:t>The Court considered the relationship between the statutory safeguards under Section 7D and related immigration action. It emphasised that where the grounds for blacklisting an OCI cardholder mirror grounds recognised under Section 7D, the procedural safeguards under that provision may be relevant to the blacklisting process.</w:t>
      </w:r>
    </w:p>
    <w:p w:rsidR="002772AA" w:rsidRDefault="002772AA" w:rsidP="002772AA">
      <w:pPr>
        <w:pStyle w:val="NormalWeb"/>
      </w:pPr>
      <w:r>
        <w:t>The Court directed the authorities to serve a show-cause notice concerning the blacklisting and pass a reasoned order after considering the response and providing an opportunity of hearing.</w:t>
      </w:r>
    </w:p>
    <w:p w:rsidR="002772AA" w:rsidRDefault="002772AA" w:rsidP="002772AA">
      <w:pPr>
        <w:pStyle w:val="NormalWeb"/>
      </w:pPr>
      <w:r>
        <w:lastRenderedPageBreak/>
        <w:t>Importantly, the Court did not decide the merits of the underlying allegations or hold that those allegations could never justify blacklisting or OCI cancellation.</w:t>
      </w:r>
    </w:p>
    <w:p w:rsidR="002772AA" w:rsidRDefault="002772AA" w:rsidP="002772AA">
      <w:pPr>
        <w:pStyle w:val="NormalWeb"/>
      </w:pPr>
      <w:r>
        <w:t>The decision is therefore useful for understanding procedural fairness, disclosure of the grounds and the need for a reasoned decision. It should not be cited as a blanket prohibition on all blacklisting or cancellation action.</w:t>
      </w:r>
    </w:p>
    <w:p w:rsidR="002772AA" w:rsidRDefault="002772AA" w:rsidP="002772AA">
      <w:pPr>
        <w:pStyle w:val="NormalWeb"/>
      </w:pPr>
      <w:r>
        <w:t>The judgment is available through the Delhi High Court's official judgment repository.</w:t>
      </w:r>
    </w:p>
    <w:p w:rsidR="002772AA" w:rsidRDefault="002772AA" w:rsidP="002772AA">
      <w:pPr>
        <w:pStyle w:val="Heading2"/>
      </w:pPr>
      <w:r>
        <w:t>8. Madras High Court Decision: Madhievannan Paramalingam v. Under Secretary to the Government of India</w:t>
      </w:r>
    </w:p>
    <w:p w:rsidR="002772AA" w:rsidRDefault="002772AA" w:rsidP="002772AA">
      <w:pPr>
        <w:pStyle w:val="NormalWeb"/>
      </w:pPr>
      <w:proofErr w:type="gramStart"/>
      <w:r>
        <w:t xml:space="preserve">In </w:t>
      </w:r>
      <w:r>
        <w:rPr>
          <w:rStyle w:val="Emphasis"/>
          <w:rFonts w:eastAsiaTheme="majorEastAsia"/>
        </w:rPr>
        <w:t>Madhievannan Paramalingam v.</w:t>
      </w:r>
      <w:proofErr w:type="gramEnd"/>
      <w:r>
        <w:rPr>
          <w:rStyle w:val="Emphasis"/>
          <w:rFonts w:eastAsiaTheme="majorEastAsia"/>
        </w:rPr>
        <w:t xml:space="preserve"> Under Secretary to the Government of India</w:t>
      </w:r>
      <w:r>
        <w:t>, W.P. No. 7847 of 2021, decided on 4 June 2024, the Madras High Court considered a challenge to an order cancelling the petitioner's OCI registration following customs-related allegations.</w:t>
      </w:r>
    </w:p>
    <w:p w:rsidR="002772AA" w:rsidRDefault="002772AA" w:rsidP="002772AA">
      <w:pPr>
        <w:pStyle w:val="NormalWeb"/>
      </w:pPr>
      <w:r>
        <w:t>The petitioner had received a notice, submitted an explanation and been afforded a personal hearing. The Court considered the record and concluded that the cancellation order in that case had not been shown to violate the principles of natural justice. The writ petition was dismissed.</w:t>
      </w:r>
    </w:p>
    <w:p w:rsidR="002772AA" w:rsidRDefault="002772AA" w:rsidP="002772AA">
      <w:pPr>
        <w:pStyle w:val="NormalWeb"/>
      </w:pPr>
      <w:r>
        <w:t>The decision illustrates an important point: the existence of a hearing requirement does not automatically invalidate a cancellation order. A court may examine whether a meaningful opportunity was actually provided and whether the decision was otherwise legally sustainable on the record before it.</w:t>
      </w:r>
    </w:p>
    <w:p w:rsidR="002772AA" w:rsidRDefault="002772AA" w:rsidP="002772AA">
      <w:pPr>
        <w:pStyle w:val="NormalWeb"/>
      </w:pPr>
      <w:r>
        <w:t>The outcome of that case should not be assumed to determine the result of a different matter involving different allegations, statutory grounds or procedural circumstances.</w:t>
      </w:r>
    </w:p>
    <w:p w:rsidR="002772AA" w:rsidRDefault="002772AA" w:rsidP="002772AA">
      <w:pPr>
        <w:pStyle w:val="Heading2"/>
      </w:pPr>
      <w:r>
        <w:t>9. What Should an OCI Cardholder Check in a Show-Cause Notice?</w:t>
      </w:r>
    </w:p>
    <w:p w:rsidR="002772AA" w:rsidRDefault="002772AA" w:rsidP="002772AA">
      <w:pPr>
        <w:pStyle w:val="NormalWeb"/>
      </w:pPr>
      <w:r>
        <w:t>A show-cause notice should be treated as a formal legal communication.</w:t>
      </w:r>
    </w:p>
    <w:p w:rsidR="002772AA" w:rsidRDefault="002772AA" w:rsidP="002772AA">
      <w:pPr>
        <w:pStyle w:val="NormalWeb"/>
      </w:pPr>
      <w:r>
        <w:t>The following matters should be identified:</w:t>
      </w:r>
    </w:p>
    <w:p w:rsidR="002772AA" w:rsidRDefault="002772AA" w:rsidP="002772AA">
      <w:pPr>
        <w:pStyle w:val="NormalWeb"/>
        <w:numPr>
          <w:ilvl w:val="0"/>
          <w:numId w:val="6"/>
        </w:numPr>
      </w:pPr>
      <w:r>
        <w:rPr>
          <w:rStyle w:val="Strong"/>
        </w:rPr>
        <w:t>Statutory ground:</w:t>
      </w:r>
      <w:r>
        <w:t xml:space="preserve"> Which clause of Section 7D is invoked?</w:t>
      </w:r>
    </w:p>
    <w:p w:rsidR="002772AA" w:rsidRDefault="002772AA" w:rsidP="002772AA">
      <w:pPr>
        <w:pStyle w:val="NormalWeb"/>
        <w:numPr>
          <w:ilvl w:val="0"/>
          <w:numId w:val="6"/>
        </w:numPr>
      </w:pPr>
      <w:r>
        <w:rPr>
          <w:rStyle w:val="Strong"/>
        </w:rPr>
        <w:t>Factual allegation:</w:t>
      </w:r>
      <w:r>
        <w:t xml:space="preserve"> What conduct or omission is alleged?</w:t>
      </w:r>
    </w:p>
    <w:p w:rsidR="002772AA" w:rsidRDefault="002772AA" w:rsidP="002772AA">
      <w:pPr>
        <w:pStyle w:val="NormalWeb"/>
        <w:numPr>
          <w:ilvl w:val="0"/>
          <w:numId w:val="6"/>
        </w:numPr>
      </w:pPr>
      <w:r>
        <w:rPr>
          <w:rStyle w:val="Strong"/>
        </w:rPr>
        <w:t>Criminal offence:</w:t>
      </w:r>
      <w:r>
        <w:t xml:space="preserve"> If relevant, which offence and statute are identified?</w:t>
      </w:r>
    </w:p>
    <w:p w:rsidR="002772AA" w:rsidRDefault="002772AA" w:rsidP="002772AA">
      <w:pPr>
        <w:pStyle w:val="NormalWeb"/>
        <w:numPr>
          <w:ilvl w:val="0"/>
          <w:numId w:val="6"/>
        </w:numPr>
      </w:pPr>
      <w:r>
        <w:rPr>
          <w:rStyle w:val="Strong"/>
        </w:rPr>
        <w:t>Procedural stage:</w:t>
      </w:r>
      <w:r>
        <w:t xml:space="preserve"> Is the notice based on an FIR, charge-sheet, conviction or sentence?</w:t>
      </w:r>
    </w:p>
    <w:p w:rsidR="002772AA" w:rsidRDefault="002772AA" w:rsidP="002772AA">
      <w:pPr>
        <w:pStyle w:val="NormalWeb"/>
        <w:numPr>
          <w:ilvl w:val="0"/>
          <w:numId w:val="6"/>
        </w:numPr>
      </w:pPr>
      <w:r>
        <w:rPr>
          <w:rStyle w:val="Strong"/>
        </w:rPr>
        <w:t>Applicable notification:</w:t>
      </w:r>
      <w:r>
        <w:t xml:space="preserve"> Is S.O. 3662(E) dated 11 August 2025 relied upon?</w:t>
      </w:r>
    </w:p>
    <w:p w:rsidR="002772AA" w:rsidRDefault="002772AA" w:rsidP="002772AA">
      <w:pPr>
        <w:pStyle w:val="NormalWeb"/>
        <w:numPr>
          <w:ilvl w:val="0"/>
          <w:numId w:val="6"/>
        </w:numPr>
      </w:pPr>
      <w:r>
        <w:rPr>
          <w:rStyle w:val="Strong"/>
        </w:rPr>
        <w:t>Chronology:</w:t>
      </w:r>
      <w:r>
        <w:t xml:space="preserve"> Are the dates of the underlying events stated correctly?</w:t>
      </w:r>
    </w:p>
    <w:p w:rsidR="002772AA" w:rsidRDefault="002772AA" w:rsidP="002772AA">
      <w:pPr>
        <w:pStyle w:val="NormalWeb"/>
        <w:numPr>
          <w:ilvl w:val="0"/>
          <w:numId w:val="6"/>
        </w:numPr>
      </w:pPr>
      <w:r>
        <w:rPr>
          <w:rStyle w:val="Strong"/>
        </w:rPr>
        <w:t>Supporting material:</w:t>
      </w:r>
      <w:r>
        <w:t xml:space="preserve"> What documents or information does the notice identify?</w:t>
      </w:r>
    </w:p>
    <w:p w:rsidR="002772AA" w:rsidRDefault="002772AA" w:rsidP="002772AA">
      <w:pPr>
        <w:pStyle w:val="NormalWeb"/>
        <w:numPr>
          <w:ilvl w:val="0"/>
          <w:numId w:val="6"/>
        </w:numPr>
      </w:pPr>
      <w:r>
        <w:rPr>
          <w:rStyle w:val="Strong"/>
        </w:rPr>
        <w:t>Response deadline:</w:t>
      </w:r>
      <w:r>
        <w:t xml:space="preserve"> By what date must the explanation be submitted?</w:t>
      </w:r>
    </w:p>
    <w:p w:rsidR="002772AA" w:rsidRDefault="002772AA" w:rsidP="002772AA">
      <w:pPr>
        <w:pStyle w:val="NormalWeb"/>
        <w:numPr>
          <w:ilvl w:val="0"/>
          <w:numId w:val="6"/>
        </w:numPr>
      </w:pPr>
      <w:r>
        <w:rPr>
          <w:rStyle w:val="Strong"/>
        </w:rPr>
        <w:lastRenderedPageBreak/>
        <w:t>Hearing:</w:t>
      </w:r>
      <w:r>
        <w:t xml:space="preserve"> What procedure is specified for making representations or attending a hearing?</w:t>
      </w:r>
    </w:p>
    <w:p w:rsidR="002772AA" w:rsidRDefault="002772AA" w:rsidP="002772AA">
      <w:pPr>
        <w:pStyle w:val="NormalWeb"/>
        <w:numPr>
          <w:ilvl w:val="0"/>
          <w:numId w:val="6"/>
        </w:numPr>
      </w:pPr>
      <w:r>
        <w:rPr>
          <w:rStyle w:val="Strong"/>
        </w:rPr>
        <w:t>Proposed consequences:</w:t>
      </w:r>
      <w:r>
        <w:t xml:space="preserve"> Does the notice concern OCI cancellation, immigration restrictions or another action?</w:t>
      </w:r>
    </w:p>
    <w:p w:rsidR="002772AA" w:rsidRDefault="002772AA" w:rsidP="002772AA">
      <w:pPr>
        <w:pStyle w:val="NormalWeb"/>
      </w:pPr>
      <w:r>
        <w:t>Where criminal proceedings are involved, the relevant FIR, charge-sheet, statutory provisions and court orders should be obtained where available.</w:t>
      </w:r>
    </w:p>
    <w:p w:rsidR="002772AA" w:rsidRDefault="002772AA" w:rsidP="002772AA">
      <w:pPr>
        <w:pStyle w:val="NormalWeb"/>
      </w:pPr>
      <w:r>
        <w:t>The response should remain consistent with the underlying court record. Unsupported factual claims or an incomplete chronology may undermine an otherwise legitimate explanation.</w:t>
      </w:r>
    </w:p>
    <w:p w:rsidR="002772AA" w:rsidRDefault="002772AA" w:rsidP="002772AA">
      <w:pPr>
        <w:pStyle w:val="Heading2"/>
      </w:pPr>
      <w:r>
        <w:t>10. How to Prepare a Legal Representation</w:t>
      </w:r>
    </w:p>
    <w:p w:rsidR="002772AA" w:rsidRDefault="002772AA" w:rsidP="002772AA">
      <w:pPr>
        <w:pStyle w:val="NormalWeb"/>
      </w:pPr>
      <w:r>
        <w:t>A representation should address the actual allegations rather than provide only a general denial.</w:t>
      </w:r>
    </w:p>
    <w:p w:rsidR="002772AA" w:rsidRDefault="002772AA" w:rsidP="002772AA">
      <w:pPr>
        <w:pStyle w:val="NormalWeb"/>
      </w:pPr>
      <w:r>
        <w:t>A structured representation may include the following components.</w:t>
      </w:r>
    </w:p>
    <w:p w:rsidR="002772AA" w:rsidRDefault="002772AA" w:rsidP="002772AA">
      <w:pPr>
        <w:pStyle w:val="Heading3"/>
      </w:pPr>
      <w:r>
        <w:t>A. Introduction and reference</w:t>
      </w:r>
    </w:p>
    <w:p w:rsidR="002772AA" w:rsidRDefault="002772AA" w:rsidP="002772AA">
      <w:pPr>
        <w:pStyle w:val="NormalWeb"/>
      </w:pPr>
      <w:r>
        <w:t>Identify the notice, the date of receipt, the OCI registration concerned and the statutory provision cited.</w:t>
      </w:r>
    </w:p>
    <w:p w:rsidR="002772AA" w:rsidRDefault="002772AA" w:rsidP="002772AA">
      <w:pPr>
        <w:pStyle w:val="Heading3"/>
      </w:pPr>
      <w:r>
        <w:t>B. Factual chronology</w:t>
      </w:r>
    </w:p>
    <w:p w:rsidR="002772AA" w:rsidRDefault="002772AA" w:rsidP="002772AA">
      <w:pPr>
        <w:pStyle w:val="NormalWeb"/>
      </w:pPr>
      <w:r>
        <w:t>Set out the relevant dates in chronological order. Distinguish allegations from established facts and identify any subsequent developments.</w:t>
      </w:r>
    </w:p>
    <w:p w:rsidR="002772AA" w:rsidRDefault="002772AA" w:rsidP="002772AA">
      <w:pPr>
        <w:pStyle w:val="Heading3"/>
      </w:pPr>
      <w:r>
        <w:t>C. Response to each allegation</w:t>
      </w:r>
    </w:p>
    <w:p w:rsidR="002772AA" w:rsidRDefault="002772AA" w:rsidP="002772AA">
      <w:pPr>
        <w:pStyle w:val="NormalWeb"/>
      </w:pPr>
      <w:r>
        <w:t>Address each material allegation separately. Where an allegation is inaccurate, explain why and identify the supporting record.</w:t>
      </w:r>
    </w:p>
    <w:p w:rsidR="002772AA" w:rsidRDefault="002772AA" w:rsidP="002772AA">
      <w:pPr>
        <w:pStyle w:val="Heading3"/>
      </w:pPr>
      <w:r>
        <w:t>D. Applicable statutory provision</w:t>
      </w:r>
    </w:p>
    <w:p w:rsidR="002772AA" w:rsidRDefault="002772AA" w:rsidP="002772AA">
      <w:pPr>
        <w:pStyle w:val="NormalWeb"/>
      </w:pPr>
      <w:r>
        <w:t>Explain the provision or notification invoked by the authority and address the legal requirements relevant to the facts.</w:t>
      </w:r>
    </w:p>
    <w:p w:rsidR="002772AA" w:rsidRDefault="002772AA" w:rsidP="002772AA">
      <w:pPr>
        <w:pStyle w:val="Heading3"/>
      </w:pPr>
      <w:r>
        <w:t>E. Documentary evidence</w:t>
      </w:r>
    </w:p>
    <w:p w:rsidR="002772AA" w:rsidRDefault="002772AA" w:rsidP="002772AA">
      <w:pPr>
        <w:pStyle w:val="NormalWeb"/>
      </w:pPr>
      <w:r>
        <w:t>Provide an indexed set of relevant documents. Avoid relying on a document without checking its authenticity, completeness and relevance.</w:t>
      </w:r>
    </w:p>
    <w:p w:rsidR="002772AA" w:rsidRDefault="002772AA" w:rsidP="002772AA">
      <w:pPr>
        <w:pStyle w:val="Heading3"/>
      </w:pPr>
      <w:r>
        <w:t>F. Procedural issues</w:t>
      </w:r>
    </w:p>
    <w:p w:rsidR="002772AA" w:rsidRDefault="002772AA" w:rsidP="002772AA">
      <w:pPr>
        <w:pStyle w:val="NormalWeb"/>
      </w:pPr>
      <w:r>
        <w:t>Where appropriate, identify any concern about the notice, opportunity to respond, disclosure of grounds or other applicable procedural requirements.</w:t>
      </w:r>
    </w:p>
    <w:p w:rsidR="002772AA" w:rsidRDefault="002772AA" w:rsidP="002772AA">
      <w:pPr>
        <w:pStyle w:val="Heading3"/>
      </w:pPr>
      <w:r>
        <w:lastRenderedPageBreak/>
        <w:t>G. Request for consideration</w:t>
      </w:r>
    </w:p>
    <w:p w:rsidR="002772AA" w:rsidRDefault="002772AA" w:rsidP="002772AA">
      <w:pPr>
        <w:pStyle w:val="NormalWeb"/>
      </w:pPr>
      <w:r>
        <w:t>Request consideration of the response and supporting evidence and, where appropriate, a hearing before a decision is made.</w:t>
      </w:r>
    </w:p>
    <w:p w:rsidR="002772AA" w:rsidRDefault="002772AA" w:rsidP="002772AA">
      <w:pPr>
        <w:pStyle w:val="Heading3"/>
      </w:pPr>
      <w:r>
        <w:t>H. Preservation of remedies</w:t>
      </w:r>
    </w:p>
    <w:p w:rsidR="002772AA" w:rsidRDefault="002772AA" w:rsidP="002772AA">
      <w:pPr>
        <w:pStyle w:val="NormalWeb"/>
      </w:pPr>
      <w:r>
        <w:t>The representation may reserve rights and remedies available under law. The appropriate wording should be tailored to the particular matter.</w:t>
      </w:r>
    </w:p>
    <w:p w:rsidR="002772AA" w:rsidRDefault="002772AA" w:rsidP="002772AA">
      <w:pPr>
        <w:pStyle w:val="NormalWeb"/>
      </w:pPr>
      <w:r>
        <w:t>A representation is not a guarantee against cancellation. Its purpose is to present the factual and legal position in a clear, supported and procedurally appropriate manner.</w:t>
      </w:r>
    </w:p>
    <w:p w:rsidR="002772AA" w:rsidRDefault="002772AA" w:rsidP="002772AA">
      <w:pPr>
        <w:pStyle w:val="Heading2"/>
      </w:pPr>
      <w:r>
        <w:t>11. What If the Government Has Already Cancelled the OCI Registration?</w:t>
      </w:r>
    </w:p>
    <w:p w:rsidR="002772AA" w:rsidRDefault="002772AA" w:rsidP="002772AA">
      <w:pPr>
        <w:pStyle w:val="NormalWeb"/>
      </w:pPr>
      <w:r>
        <w:t>A final cancellation order requires a separate review.</w:t>
      </w:r>
    </w:p>
    <w:p w:rsidR="002772AA" w:rsidRDefault="002772AA" w:rsidP="002772AA">
      <w:pPr>
        <w:pStyle w:val="NormalWeb"/>
      </w:pPr>
      <w:r>
        <w:t>The questions to examine include:</w:t>
      </w:r>
    </w:p>
    <w:p w:rsidR="002772AA" w:rsidRDefault="002772AA" w:rsidP="002772AA">
      <w:pPr>
        <w:pStyle w:val="NormalWeb"/>
        <w:numPr>
          <w:ilvl w:val="0"/>
          <w:numId w:val="7"/>
        </w:numPr>
      </w:pPr>
      <w:r>
        <w:t>Does the order identify the applicable statutory ground?</w:t>
      </w:r>
    </w:p>
    <w:p w:rsidR="002772AA" w:rsidRDefault="002772AA" w:rsidP="002772AA">
      <w:pPr>
        <w:pStyle w:val="NormalWeb"/>
        <w:numPr>
          <w:ilvl w:val="0"/>
          <w:numId w:val="7"/>
        </w:numPr>
      </w:pPr>
      <w:r>
        <w:t>Does the factual material support that ground?</w:t>
      </w:r>
    </w:p>
    <w:p w:rsidR="002772AA" w:rsidRDefault="002772AA" w:rsidP="002772AA">
      <w:pPr>
        <w:pStyle w:val="NormalWeb"/>
        <w:numPr>
          <w:ilvl w:val="0"/>
          <w:numId w:val="7"/>
        </w:numPr>
      </w:pPr>
      <w:r>
        <w:t>Does the order address the material response submitted by the cardholder?</w:t>
      </w:r>
    </w:p>
    <w:p w:rsidR="002772AA" w:rsidRDefault="002772AA" w:rsidP="002772AA">
      <w:pPr>
        <w:pStyle w:val="NormalWeb"/>
        <w:numPr>
          <w:ilvl w:val="0"/>
          <w:numId w:val="7"/>
        </w:numPr>
      </w:pPr>
      <w:r>
        <w:t>Was the opportunity of hearing required by law provided?</w:t>
      </w:r>
    </w:p>
    <w:p w:rsidR="002772AA" w:rsidRDefault="002772AA" w:rsidP="002772AA">
      <w:pPr>
        <w:pStyle w:val="NormalWeb"/>
        <w:numPr>
          <w:ilvl w:val="0"/>
          <w:numId w:val="7"/>
        </w:numPr>
      </w:pPr>
      <w:r>
        <w:t>Does the decision explain the basis on which the authority reached its conclusion?</w:t>
      </w:r>
    </w:p>
    <w:p w:rsidR="002772AA" w:rsidRDefault="002772AA" w:rsidP="002772AA">
      <w:pPr>
        <w:pStyle w:val="NormalWeb"/>
        <w:numPr>
          <w:ilvl w:val="0"/>
          <w:numId w:val="7"/>
        </w:numPr>
      </w:pPr>
      <w:r>
        <w:t>Does the order accurately describe the underlying criminal proceedings?</w:t>
      </w:r>
    </w:p>
    <w:p w:rsidR="002772AA" w:rsidRDefault="002772AA" w:rsidP="002772AA">
      <w:pPr>
        <w:pStyle w:val="NormalWeb"/>
        <w:numPr>
          <w:ilvl w:val="0"/>
          <w:numId w:val="7"/>
        </w:numPr>
      </w:pPr>
      <w:r>
        <w:t>Has the authority relied on a notification or statutory interpretation that requires further legal examination?</w:t>
      </w:r>
    </w:p>
    <w:p w:rsidR="002772AA" w:rsidRDefault="002772AA" w:rsidP="002772AA">
      <w:pPr>
        <w:pStyle w:val="NormalWeb"/>
        <w:numPr>
          <w:ilvl w:val="0"/>
          <w:numId w:val="7"/>
        </w:numPr>
      </w:pPr>
      <w:r>
        <w:t>What remedies, if any, remain available in the circumstances?</w:t>
      </w:r>
    </w:p>
    <w:p w:rsidR="002772AA" w:rsidRDefault="002772AA" w:rsidP="002772AA">
      <w:pPr>
        <w:pStyle w:val="NormalWeb"/>
      </w:pPr>
      <w:r>
        <w:t>A procedural defect may be relevant to a challenge, but not every defect necessarily invalidates an order. The legal significance of the issue must be assessed against the complete record and the governing law.</w:t>
      </w:r>
    </w:p>
    <w:p w:rsidR="002772AA" w:rsidRDefault="002772AA" w:rsidP="002772AA">
      <w:pPr>
        <w:pStyle w:val="NormalWeb"/>
      </w:pPr>
      <w:r>
        <w:t>The appropriate next step may involve a further representation or a judicial challenge, depending on the facts, procedural stage, maintainability and relief sought.</w:t>
      </w:r>
    </w:p>
    <w:p w:rsidR="002772AA" w:rsidRDefault="002772AA" w:rsidP="002772AA">
      <w:pPr>
        <w:pStyle w:val="NormalWeb"/>
      </w:pPr>
      <w:r>
        <w:t>No particular remedy or outcome should be assumed without reviewing the order.</w:t>
      </w:r>
    </w:p>
    <w:p w:rsidR="002772AA" w:rsidRDefault="002772AA" w:rsidP="002772AA">
      <w:pPr>
        <w:pStyle w:val="Heading2"/>
      </w:pPr>
      <w:r>
        <w:t>12. OCI Cancellation, Blacklisting and Refusal of Entry Are Different Issues</w:t>
      </w:r>
    </w:p>
    <w:p w:rsidR="002772AA" w:rsidRDefault="002772AA" w:rsidP="002772AA">
      <w:pPr>
        <w:pStyle w:val="NormalWeb"/>
      </w:pPr>
      <w:r>
        <w:t>These concepts can overlap but should not be treated as identical.</w:t>
      </w:r>
    </w:p>
    <w:p w:rsidR="002772AA" w:rsidRDefault="002772AA" w:rsidP="002772AA">
      <w:pPr>
        <w:pStyle w:val="NormalWeb"/>
      </w:pPr>
      <w:r>
        <w:rPr>
          <w:rStyle w:val="Strong"/>
        </w:rPr>
        <w:lastRenderedPageBreak/>
        <w:t>OCI cancellation</w:t>
      </w:r>
      <w:r>
        <w:t xml:space="preserve"> concerns the statutory registration granted under the Citizenship Act.</w:t>
      </w:r>
    </w:p>
    <w:p w:rsidR="002772AA" w:rsidRDefault="002772AA" w:rsidP="002772AA">
      <w:pPr>
        <w:pStyle w:val="NormalWeb"/>
      </w:pPr>
      <w:r>
        <w:rPr>
          <w:rStyle w:val="Strong"/>
        </w:rPr>
        <w:t>Blacklisting or other immigration restrictions</w:t>
      </w:r>
      <w:r>
        <w:t xml:space="preserve"> concern measures taken under the applicable immigration framework.</w:t>
      </w:r>
    </w:p>
    <w:p w:rsidR="002772AA" w:rsidRDefault="002772AA" w:rsidP="002772AA">
      <w:pPr>
        <w:pStyle w:val="NormalWeb"/>
      </w:pPr>
      <w:r>
        <w:rPr>
          <w:rStyle w:val="Strong"/>
        </w:rPr>
        <w:t>Refusal of entry or deportation</w:t>
      </w:r>
      <w:r>
        <w:t xml:space="preserve"> concerns the practical consequences of immigration action in the circumstances of the individual case.</w:t>
      </w:r>
    </w:p>
    <w:p w:rsidR="002772AA" w:rsidRDefault="002772AA" w:rsidP="002772AA">
      <w:pPr>
        <w:pStyle w:val="NormalWeb"/>
      </w:pPr>
      <w:r>
        <w:t>An OCI cardholder remains a foreign national. Possession of an OCI card does not confer Indian citizenship or remove the Government's statutory immigration powers.</w:t>
      </w:r>
    </w:p>
    <w:p w:rsidR="002772AA" w:rsidRDefault="002772AA" w:rsidP="002772AA">
      <w:pPr>
        <w:pStyle w:val="NormalWeb"/>
      </w:pPr>
      <w:r>
        <w:t xml:space="preserve">However, the applicable procedural safeguards must be considered where the legal grounds and consequences of the actions overlap. The </w:t>
      </w:r>
      <w:r>
        <w:rPr>
          <w:rStyle w:val="Emphasis"/>
          <w:rFonts w:eastAsiaTheme="majorEastAsia"/>
        </w:rPr>
        <w:t>John Robert Roughton III</w:t>
      </w:r>
      <w:r>
        <w:t xml:space="preserve"> decision is relevant to this question.</w:t>
      </w:r>
    </w:p>
    <w:p w:rsidR="002772AA" w:rsidRDefault="002772AA" w:rsidP="002772AA">
      <w:pPr>
        <w:pStyle w:val="NormalWeb"/>
      </w:pPr>
      <w:r>
        <w:t>The Immigration and Foreigners Act, 2025, and the applicable rules and orders should also be examined where immigration action is involved. The correct analysis depends on the particular legal basis cited by the authorities.</w:t>
      </w:r>
    </w:p>
    <w:p w:rsidR="002772AA" w:rsidRDefault="002772AA" w:rsidP="002772AA">
      <w:pPr>
        <w:pStyle w:val="NormalWeb"/>
      </w:pPr>
      <w:r>
        <w:t>A person facing cancellation and an entry restriction should therefore obtain the complete record of each decision rather than assume that challenging one action automatically resolves every other issue.</w:t>
      </w:r>
    </w:p>
    <w:p w:rsidR="002772AA" w:rsidRDefault="002772AA" w:rsidP="002772AA">
      <w:pPr>
        <w:pStyle w:val="Heading2"/>
      </w:pPr>
      <w:r>
        <w:t>13. Can an OCI Cancellation Order Be Challenged Before a High Court?</w:t>
      </w:r>
    </w:p>
    <w:p w:rsidR="002772AA" w:rsidRDefault="002772AA" w:rsidP="002772AA">
      <w:pPr>
        <w:pStyle w:val="NormalWeb"/>
      </w:pPr>
      <w:r>
        <w:t>Depending on the facts and applicable law, judicial review under Article 226 of the Constitution may be available against an administrative decision.</w:t>
      </w:r>
    </w:p>
    <w:p w:rsidR="002772AA" w:rsidRDefault="002772AA" w:rsidP="002772AA">
      <w:pPr>
        <w:pStyle w:val="NormalWeb"/>
      </w:pPr>
      <w:r>
        <w:t>Potential issues may include:</w:t>
      </w:r>
    </w:p>
    <w:p w:rsidR="002772AA" w:rsidRDefault="002772AA" w:rsidP="002772AA">
      <w:pPr>
        <w:pStyle w:val="NormalWeb"/>
        <w:numPr>
          <w:ilvl w:val="0"/>
          <w:numId w:val="8"/>
        </w:numPr>
      </w:pPr>
      <w:r>
        <w:t>Lack of legal authority or jurisdiction.</w:t>
      </w:r>
    </w:p>
    <w:p w:rsidR="002772AA" w:rsidRDefault="002772AA" w:rsidP="002772AA">
      <w:pPr>
        <w:pStyle w:val="NormalWeb"/>
        <w:numPr>
          <w:ilvl w:val="0"/>
          <w:numId w:val="8"/>
        </w:numPr>
      </w:pPr>
      <w:r>
        <w:t>Reliance on an inapplicable statutory provision.</w:t>
      </w:r>
    </w:p>
    <w:p w:rsidR="002772AA" w:rsidRDefault="002772AA" w:rsidP="002772AA">
      <w:pPr>
        <w:pStyle w:val="NormalWeb"/>
        <w:numPr>
          <w:ilvl w:val="0"/>
          <w:numId w:val="8"/>
        </w:numPr>
      </w:pPr>
      <w:r>
        <w:t>Failure to follow a mandatory procedure.</w:t>
      </w:r>
    </w:p>
    <w:p w:rsidR="002772AA" w:rsidRDefault="002772AA" w:rsidP="002772AA">
      <w:pPr>
        <w:pStyle w:val="NormalWeb"/>
        <w:numPr>
          <w:ilvl w:val="0"/>
          <w:numId w:val="8"/>
        </w:numPr>
      </w:pPr>
      <w:r>
        <w:t>Denial of an applicable opportunity of hearing.</w:t>
      </w:r>
    </w:p>
    <w:p w:rsidR="002772AA" w:rsidRDefault="002772AA" w:rsidP="002772AA">
      <w:pPr>
        <w:pStyle w:val="NormalWeb"/>
        <w:numPr>
          <w:ilvl w:val="0"/>
          <w:numId w:val="8"/>
        </w:numPr>
      </w:pPr>
      <w:r>
        <w:t>Failure to consider a material representation.</w:t>
      </w:r>
    </w:p>
    <w:p w:rsidR="002772AA" w:rsidRDefault="002772AA" w:rsidP="002772AA">
      <w:pPr>
        <w:pStyle w:val="NormalWeb"/>
        <w:numPr>
          <w:ilvl w:val="0"/>
          <w:numId w:val="8"/>
        </w:numPr>
      </w:pPr>
      <w:r>
        <w:t>Inadequate or legally defective reasons.</w:t>
      </w:r>
    </w:p>
    <w:p w:rsidR="002772AA" w:rsidRDefault="002772AA" w:rsidP="002772AA">
      <w:pPr>
        <w:pStyle w:val="NormalWeb"/>
        <w:numPr>
          <w:ilvl w:val="0"/>
          <w:numId w:val="8"/>
        </w:numPr>
      </w:pPr>
      <w:r>
        <w:t>Material factual errors.</w:t>
      </w:r>
    </w:p>
    <w:p w:rsidR="002772AA" w:rsidRDefault="002772AA" w:rsidP="002772AA">
      <w:pPr>
        <w:pStyle w:val="NormalWeb"/>
        <w:numPr>
          <w:ilvl w:val="0"/>
          <w:numId w:val="8"/>
        </w:numPr>
      </w:pPr>
      <w:r>
        <w:t>An arguable issue concerning the interpretation or application of a notification.</w:t>
      </w:r>
    </w:p>
    <w:p w:rsidR="002772AA" w:rsidRDefault="002772AA" w:rsidP="002772AA">
      <w:pPr>
        <w:pStyle w:val="NormalWeb"/>
      </w:pPr>
      <w:r>
        <w:t>These are possible areas of examination, not a checklist guaranteeing that a writ petition will succeed.</w:t>
      </w:r>
    </w:p>
    <w:p w:rsidR="002772AA" w:rsidRDefault="002772AA" w:rsidP="002772AA">
      <w:pPr>
        <w:pStyle w:val="NormalWeb"/>
      </w:pPr>
      <w:r>
        <w:lastRenderedPageBreak/>
        <w:t>A High Court exercising judicial review does not ordinarily replace the criminal trial process or decide criminal guilt as if it were the trial court. The focus may instead be on the legality of the administrative decision and the procedure adopted.</w:t>
      </w:r>
    </w:p>
    <w:p w:rsidR="002772AA" w:rsidRDefault="002772AA" w:rsidP="002772AA">
      <w:pPr>
        <w:pStyle w:val="NormalWeb"/>
      </w:pPr>
      <w:r>
        <w:t>The appropriate relief depends on the circumstances. A court may, where legally justified, direct reconsideration, require a fair hearing, set aside a defective decision or grant other relief within its jurisdiction.</w:t>
      </w:r>
    </w:p>
    <w:p w:rsidR="002772AA" w:rsidRDefault="002772AA" w:rsidP="002772AA">
      <w:pPr>
        <w:pStyle w:val="NormalWeb"/>
      </w:pPr>
      <w:r>
        <w:t>Before filing proceedings, the legal team should examine the impugned order, supporting record, procedural history, available alternatives and any relevant time constraints.</w:t>
      </w:r>
    </w:p>
    <w:p w:rsidR="002772AA" w:rsidRDefault="002772AA" w:rsidP="002772AA">
      <w:pPr>
        <w:pStyle w:val="Heading2"/>
      </w:pPr>
      <w:r>
        <w:t>14. Practical Checklist for an OCI Cancellation Matter</w:t>
      </w:r>
    </w:p>
    <w:p w:rsidR="002772AA" w:rsidRDefault="002772AA" w:rsidP="002772AA">
      <w:pPr>
        <w:pStyle w:val="NormalWeb"/>
      </w:pPr>
      <w:r>
        <w:t>If you receive a cancellation notice or related immigration communication, consider the following sequence.</w:t>
      </w:r>
    </w:p>
    <w:p w:rsidR="002772AA" w:rsidRDefault="002772AA" w:rsidP="002772AA">
      <w:pPr>
        <w:pStyle w:val="NormalWeb"/>
      </w:pPr>
      <w:r>
        <w:rPr>
          <w:rStyle w:val="Strong"/>
        </w:rPr>
        <w:t>Step 1 — Preserve the complete notice.</w:t>
      </w:r>
      <w:r>
        <w:t xml:space="preserve"> Keep all pages, annexures, emails and delivery records.</w:t>
      </w:r>
    </w:p>
    <w:p w:rsidR="002772AA" w:rsidRDefault="002772AA" w:rsidP="002772AA">
      <w:pPr>
        <w:pStyle w:val="NormalWeb"/>
      </w:pPr>
      <w:r>
        <w:rPr>
          <w:rStyle w:val="Strong"/>
        </w:rPr>
        <w:t>Step 2 — Record the deadline.</w:t>
      </w:r>
      <w:r>
        <w:t xml:space="preserve"> Identify the response period and any hearing date.</w:t>
      </w:r>
    </w:p>
    <w:p w:rsidR="002772AA" w:rsidRDefault="002772AA" w:rsidP="002772AA">
      <w:pPr>
        <w:pStyle w:val="NormalWeb"/>
      </w:pPr>
      <w:r>
        <w:rPr>
          <w:rStyle w:val="Strong"/>
        </w:rPr>
        <w:t xml:space="preserve">Step 3 — </w:t>
      </w:r>
      <w:proofErr w:type="gramStart"/>
      <w:r>
        <w:rPr>
          <w:rStyle w:val="Strong"/>
        </w:rPr>
        <w:t>Identify</w:t>
      </w:r>
      <w:proofErr w:type="gramEnd"/>
      <w:r>
        <w:rPr>
          <w:rStyle w:val="Strong"/>
        </w:rPr>
        <w:t xml:space="preserve"> the exact statutory ground.</w:t>
      </w:r>
      <w:r>
        <w:t xml:space="preserve"> Determine whether Section </w:t>
      </w:r>
      <w:proofErr w:type="gramStart"/>
      <w:r>
        <w:t>7D(</w:t>
      </w:r>
      <w:proofErr w:type="gramEnd"/>
      <w:r>
        <w:t>da), another clause or a separate immigration provision is relied upon.</w:t>
      </w:r>
    </w:p>
    <w:p w:rsidR="002772AA" w:rsidRDefault="002772AA" w:rsidP="002772AA">
      <w:pPr>
        <w:pStyle w:val="NormalWeb"/>
      </w:pPr>
      <w:r>
        <w:rPr>
          <w:rStyle w:val="Strong"/>
        </w:rPr>
        <w:t xml:space="preserve">Step 4 — </w:t>
      </w:r>
      <w:proofErr w:type="gramStart"/>
      <w:r>
        <w:rPr>
          <w:rStyle w:val="Strong"/>
        </w:rPr>
        <w:t>Prepare</w:t>
      </w:r>
      <w:proofErr w:type="gramEnd"/>
      <w:r>
        <w:rPr>
          <w:rStyle w:val="Strong"/>
        </w:rPr>
        <w:t xml:space="preserve"> a chronology.</w:t>
      </w:r>
      <w:r>
        <w:t xml:space="preserve"> Record the relevant OCI, passport, criminal-proceeding, notification and administrative dates.</w:t>
      </w:r>
    </w:p>
    <w:p w:rsidR="002772AA" w:rsidRDefault="002772AA" w:rsidP="002772AA">
      <w:pPr>
        <w:pStyle w:val="NormalWeb"/>
      </w:pPr>
      <w:r>
        <w:rPr>
          <w:rStyle w:val="Strong"/>
        </w:rPr>
        <w:t xml:space="preserve">Step 5 — </w:t>
      </w:r>
      <w:proofErr w:type="gramStart"/>
      <w:r>
        <w:rPr>
          <w:rStyle w:val="Strong"/>
        </w:rPr>
        <w:t>Obtain</w:t>
      </w:r>
      <w:proofErr w:type="gramEnd"/>
      <w:r>
        <w:rPr>
          <w:rStyle w:val="Strong"/>
        </w:rPr>
        <w:t xml:space="preserve"> the underlying records.</w:t>
      </w:r>
      <w:r>
        <w:t xml:space="preserve"> Collect relevant criminal court documents, official communications and supporting evidence.</w:t>
      </w:r>
    </w:p>
    <w:p w:rsidR="002772AA" w:rsidRDefault="002772AA" w:rsidP="002772AA">
      <w:pPr>
        <w:pStyle w:val="NormalWeb"/>
      </w:pPr>
      <w:r>
        <w:rPr>
          <w:rStyle w:val="Strong"/>
        </w:rPr>
        <w:t xml:space="preserve">Step 6 — </w:t>
      </w:r>
      <w:proofErr w:type="gramStart"/>
      <w:r>
        <w:rPr>
          <w:rStyle w:val="Strong"/>
        </w:rPr>
        <w:t>Examine</w:t>
      </w:r>
      <w:proofErr w:type="gramEnd"/>
      <w:r>
        <w:rPr>
          <w:rStyle w:val="Strong"/>
        </w:rPr>
        <w:t xml:space="preserve"> the 2025 notification where relevant.</w:t>
      </w:r>
      <w:r>
        <w:t xml:space="preserve"> Check the exact offence, punishment prescribed and procedural stage.</w:t>
      </w:r>
    </w:p>
    <w:p w:rsidR="002772AA" w:rsidRDefault="002772AA" w:rsidP="002772AA">
      <w:pPr>
        <w:pStyle w:val="NormalWeb"/>
      </w:pPr>
      <w:r>
        <w:rPr>
          <w:rStyle w:val="Strong"/>
        </w:rPr>
        <w:t xml:space="preserve">Step 7 — </w:t>
      </w:r>
      <w:proofErr w:type="gramStart"/>
      <w:r>
        <w:rPr>
          <w:rStyle w:val="Strong"/>
        </w:rPr>
        <w:t>Prepare</w:t>
      </w:r>
      <w:proofErr w:type="gramEnd"/>
      <w:r>
        <w:rPr>
          <w:rStyle w:val="Strong"/>
        </w:rPr>
        <w:t xml:space="preserve"> a documented response.</w:t>
      </w:r>
      <w:r>
        <w:t xml:space="preserve"> Address the allegations individually and ensure the factual statements are supported.</w:t>
      </w:r>
    </w:p>
    <w:p w:rsidR="002772AA" w:rsidRDefault="002772AA" w:rsidP="002772AA">
      <w:pPr>
        <w:pStyle w:val="NormalWeb"/>
      </w:pPr>
      <w:r>
        <w:rPr>
          <w:rStyle w:val="Strong"/>
        </w:rPr>
        <w:t>Step 8 — Use the hearing opportunity appropriately.</w:t>
      </w:r>
      <w:r>
        <w:t xml:space="preserve"> Follow the stated procedure and retain records of submissions and attendance.</w:t>
      </w:r>
    </w:p>
    <w:p w:rsidR="002772AA" w:rsidRDefault="002772AA" w:rsidP="002772AA">
      <w:pPr>
        <w:pStyle w:val="NormalWeb"/>
      </w:pPr>
      <w:r>
        <w:rPr>
          <w:rStyle w:val="Strong"/>
        </w:rPr>
        <w:t xml:space="preserve">Step 9 — </w:t>
      </w:r>
      <w:proofErr w:type="gramStart"/>
      <w:r>
        <w:rPr>
          <w:rStyle w:val="Strong"/>
        </w:rPr>
        <w:t>Examine</w:t>
      </w:r>
      <w:proofErr w:type="gramEnd"/>
      <w:r>
        <w:rPr>
          <w:rStyle w:val="Strong"/>
        </w:rPr>
        <w:t xml:space="preserve"> the final order.</w:t>
      </w:r>
      <w:r>
        <w:t xml:space="preserve"> Check the statutory basis, reasons and treatment of the response.</w:t>
      </w:r>
    </w:p>
    <w:p w:rsidR="002772AA" w:rsidRDefault="002772AA" w:rsidP="002772AA">
      <w:pPr>
        <w:pStyle w:val="NormalWeb"/>
      </w:pPr>
      <w:r>
        <w:rPr>
          <w:rStyle w:val="Strong"/>
        </w:rPr>
        <w:t>Step 10 — Assess legal remedies promptly.</w:t>
      </w:r>
      <w:r>
        <w:t xml:space="preserve"> Consider the effect on travel, immigration status and other practical arrangements while obtaining advice on the available legal options.</w:t>
      </w:r>
    </w:p>
    <w:p w:rsidR="002772AA" w:rsidRDefault="002772AA" w:rsidP="002772AA">
      <w:pPr>
        <w:pStyle w:val="Heading2"/>
      </w:pPr>
      <w:r>
        <w:lastRenderedPageBreak/>
        <w:t>15. How RRC Law Associates Can Assist</w:t>
      </w:r>
    </w:p>
    <w:p w:rsidR="002772AA" w:rsidRDefault="002772AA" w:rsidP="002772AA">
      <w:pPr>
        <w:pStyle w:val="NormalWeb"/>
      </w:pPr>
      <w:r>
        <w:t>OCI cancellation matters can involve citizenship legislation, criminal proceedings, immigration restrictions, documentary evidence and administrative law.</w:t>
      </w:r>
    </w:p>
    <w:p w:rsidR="002772AA" w:rsidRDefault="002772AA" w:rsidP="002772AA">
      <w:pPr>
        <w:pStyle w:val="NormalWeb"/>
      </w:pPr>
      <w:r>
        <w:t>RRC Law Associates can assist with an initial review of the available records and the legal issues arising from the particular communication or order.</w:t>
      </w:r>
    </w:p>
    <w:p w:rsidR="002772AA" w:rsidRDefault="002772AA" w:rsidP="002772AA">
      <w:pPr>
        <w:pStyle w:val="NormalWeb"/>
      </w:pPr>
      <w:r>
        <w:t>Depending on the agreed scope of work, assistance may include:</w:t>
      </w:r>
    </w:p>
    <w:p w:rsidR="002772AA" w:rsidRDefault="002772AA" w:rsidP="002772AA">
      <w:pPr>
        <w:pStyle w:val="NormalWeb"/>
        <w:numPr>
          <w:ilvl w:val="0"/>
          <w:numId w:val="9"/>
        </w:numPr>
      </w:pPr>
      <w:r>
        <w:t>Reviewing a Section 7D show-cause notice or cancellation order.</w:t>
      </w:r>
    </w:p>
    <w:p w:rsidR="002772AA" w:rsidRDefault="002772AA" w:rsidP="002772AA">
      <w:pPr>
        <w:pStyle w:val="NormalWeb"/>
        <w:numPr>
          <w:ilvl w:val="0"/>
          <w:numId w:val="9"/>
        </w:numPr>
      </w:pPr>
      <w:r>
        <w:t>Identifying the statutory ground and applicable notification.</w:t>
      </w:r>
    </w:p>
    <w:p w:rsidR="002772AA" w:rsidRDefault="002772AA" w:rsidP="002772AA">
      <w:pPr>
        <w:pStyle w:val="NormalWeb"/>
        <w:numPr>
          <w:ilvl w:val="0"/>
          <w:numId w:val="9"/>
        </w:numPr>
      </w:pPr>
      <w:r>
        <w:t>Examining the chronology of criminal proceedings.</w:t>
      </w:r>
    </w:p>
    <w:p w:rsidR="002772AA" w:rsidRDefault="002772AA" w:rsidP="002772AA">
      <w:pPr>
        <w:pStyle w:val="NormalWeb"/>
        <w:numPr>
          <w:ilvl w:val="0"/>
          <w:numId w:val="9"/>
        </w:numPr>
      </w:pPr>
      <w:r>
        <w:t>Reviewing relevant FIRs, charge-sheets and court orders.</w:t>
      </w:r>
    </w:p>
    <w:p w:rsidR="002772AA" w:rsidRDefault="002772AA" w:rsidP="002772AA">
      <w:pPr>
        <w:pStyle w:val="NormalWeb"/>
        <w:numPr>
          <w:ilvl w:val="0"/>
          <w:numId w:val="9"/>
        </w:numPr>
      </w:pPr>
      <w:r>
        <w:t>Assessing documentary discrepancies in an earlier OCI application.</w:t>
      </w:r>
    </w:p>
    <w:p w:rsidR="002772AA" w:rsidRDefault="002772AA" w:rsidP="002772AA">
      <w:pPr>
        <w:pStyle w:val="NormalWeb"/>
        <w:numPr>
          <w:ilvl w:val="0"/>
          <w:numId w:val="9"/>
        </w:numPr>
      </w:pPr>
      <w:r>
        <w:t>Preparing an indexed evidence bundle.</w:t>
      </w:r>
    </w:p>
    <w:p w:rsidR="002772AA" w:rsidRDefault="002772AA" w:rsidP="002772AA">
      <w:pPr>
        <w:pStyle w:val="NormalWeb"/>
        <w:numPr>
          <w:ilvl w:val="0"/>
          <w:numId w:val="9"/>
        </w:numPr>
      </w:pPr>
      <w:r>
        <w:t>Drafting a representation or response where appropriate.</w:t>
      </w:r>
    </w:p>
    <w:p w:rsidR="002772AA" w:rsidRDefault="002772AA" w:rsidP="002772AA">
      <w:pPr>
        <w:pStyle w:val="NormalWeb"/>
        <w:numPr>
          <w:ilvl w:val="0"/>
          <w:numId w:val="9"/>
        </w:numPr>
      </w:pPr>
      <w:r>
        <w:t>Assessing procedural fairness and possible judicial remedies.</w:t>
      </w:r>
    </w:p>
    <w:p w:rsidR="002772AA" w:rsidRDefault="002772AA" w:rsidP="002772AA">
      <w:pPr>
        <w:pStyle w:val="NormalWeb"/>
        <w:numPr>
          <w:ilvl w:val="0"/>
          <w:numId w:val="9"/>
        </w:numPr>
      </w:pPr>
      <w:r>
        <w:t>Reviewing connected immigration restrictions and entry-related orders.</w:t>
      </w:r>
    </w:p>
    <w:p w:rsidR="002772AA" w:rsidRDefault="002772AA" w:rsidP="002772AA">
      <w:pPr>
        <w:pStyle w:val="NormalWeb"/>
      </w:pPr>
      <w:r>
        <w:t>The scope of assistance should be determined after reviewing the documents and understanding the client's objectives. The firm does not guarantee that OCI registration will be retained or restored, that entry into India will be permitted, or that any particular court or administrative outcome will follow.</w:t>
      </w:r>
    </w:p>
    <w:p w:rsidR="002772AA" w:rsidRDefault="002772AA" w:rsidP="002772AA">
      <w:pPr>
        <w:pStyle w:val="Heading2"/>
      </w:pPr>
      <w:r>
        <w:t>Frequently Asked Questions</w:t>
      </w:r>
    </w:p>
    <w:p w:rsidR="002772AA" w:rsidRDefault="002772AA" w:rsidP="002772AA">
      <w:pPr>
        <w:pStyle w:val="Heading3"/>
      </w:pPr>
      <w:r>
        <w:t>1. Can an FIR automatically result in OCI cancellation?</w:t>
      </w:r>
    </w:p>
    <w:p w:rsidR="002772AA" w:rsidRDefault="002772AA" w:rsidP="002772AA">
      <w:pPr>
        <w:pStyle w:val="NormalWeb"/>
      </w:pPr>
      <w:r>
        <w:t>An FIR and a charge-sheet are different procedural events. The 2025 notification addresses specified circumstances involving qualifying sentences and charge-sheets for offences punishable with imprisonment of seven years or more. The precise legal basis and facts must be examined; an FIR alone should not automatically be treated as satisfying every cancellation ground.</w:t>
      </w:r>
    </w:p>
    <w:p w:rsidR="002772AA" w:rsidRDefault="002772AA" w:rsidP="002772AA">
      <w:pPr>
        <w:pStyle w:val="Heading3"/>
      </w:pPr>
      <w:r>
        <w:t>2. Can OCI registration be cancelled before a criminal conviction?</w:t>
      </w:r>
    </w:p>
    <w:p w:rsidR="002772AA" w:rsidRDefault="002772AA" w:rsidP="002772AA">
      <w:pPr>
        <w:pStyle w:val="NormalWeb"/>
      </w:pPr>
      <w:r>
        <w:t>The answer depends on the statutory ground invoked. The 2025 notification expressly addresses certain charge-sheet circumstances as well as specified sentences. The offence, applicable punishment, chronology and legal requirements must be checked.</w:t>
      </w:r>
    </w:p>
    <w:p w:rsidR="002772AA" w:rsidRDefault="002772AA" w:rsidP="002772AA">
      <w:pPr>
        <w:pStyle w:val="Heading3"/>
      </w:pPr>
      <w:r>
        <w:t xml:space="preserve">3. </w:t>
      </w:r>
      <w:proofErr w:type="gramStart"/>
      <w:r>
        <w:t>Does</w:t>
      </w:r>
      <w:proofErr w:type="gramEnd"/>
      <w:r>
        <w:t xml:space="preserve"> every OCI cancellation notice lead to cancellation?</w:t>
      </w:r>
    </w:p>
    <w:p w:rsidR="002772AA" w:rsidRDefault="002772AA" w:rsidP="002772AA">
      <w:pPr>
        <w:pStyle w:val="NormalWeb"/>
      </w:pPr>
      <w:r>
        <w:lastRenderedPageBreak/>
        <w:t>No such conclusion should be assumed. A notice initiates or communicates a process whose legal effect depends on its terms and the subsequent decision. The cardholder should respond through the applicable procedure and provide relevant evidence.</w:t>
      </w:r>
    </w:p>
    <w:p w:rsidR="002772AA" w:rsidRDefault="002772AA" w:rsidP="002772AA">
      <w:pPr>
        <w:pStyle w:val="Heading3"/>
      </w:pPr>
      <w:r>
        <w:t>4. Must the Government provide an opportunity of hearing?</w:t>
      </w:r>
    </w:p>
    <w:p w:rsidR="002772AA" w:rsidRDefault="002772AA" w:rsidP="002772AA">
      <w:pPr>
        <w:pStyle w:val="NormalWeb"/>
      </w:pPr>
      <w:r>
        <w:t>Section 7D contains a proviso requiring a reasonable opportunity of being heard before an order under that section is passed. The specific procedure and adequacy of the opportunity must be assessed in the circumstances.</w:t>
      </w:r>
    </w:p>
    <w:p w:rsidR="002772AA" w:rsidRDefault="002772AA" w:rsidP="002772AA">
      <w:pPr>
        <w:pStyle w:val="Heading3"/>
      </w:pPr>
      <w:r>
        <w:t>5. Can an OCI cardholder challenge blacklisting or refusal of entry?</w:t>
      </w:r>
    </w:p>
    <w:p w:rsidR="002772AA" w:rsidRDefault="002772AA" w:rsidP="002772AA">
      <w:pPr>
        <w:pStyle w:val="NormalWeb"/>
      </w:pPr>
      <w:r>
        <w:t>Depending on the facts and applicable law, a legal challenge may be available. The relevant immigration order, statutory basis and procedural safeguards should be examined separately from the OCI registration itself.</w:t>
      </w:r>
    </w:p>
    <w:p w:rsidR="002772AA" w:rsidRDefault="002772AA" w:rsidP="002772AA">
      <w:pPr>
        <w:pStyle w:val="Heading3"/>
      </w:pPr>
      <w:r>
        <w:t>6. Does the 2025 notification apply to every criminal case that began earlier?</w:t>
      </w:r>
    </w:p>
    <w:p w:rsidR="002772AA" w:rsidRDefault="002772AA" w:rsidP="002772AA">
      <w:pPr>
        <w:pStyle w:val="NormalWeb"/>
      </w:pPr>
      <w:r>
        <w:t>Its application to a particular matter requires legal analysis. The dates of the underlying events, charge-sheet, notice and proposed or final order may be important. Litigation has raised questions about the notification's scope and temporal application; no universal conclusion should be drawn without checking the current legal position.</w:t>
      </w:r>
    </w:p>
    <w:p w:rsidR="002772AA" w:rsidRDefault="002772AA" w:rsidP="002772AA">
      <w:pPr>
        <w:pStyle w:val="Heading3"/>
      </w:pPr>
      <w:r>
        <w:t>7. Can an OCI cancellation order be challenged under Article 226?</w:t>
      </w:r>
    </w:p>
    <w:p w:rsidR="002772AA" w:rsidRDefault="002772AA" w:rsidP="002772AA">
      <w:pPr>
        <w:pStyle w:val="NormalWeb"/>
      </w:pPr>
      <w:r>
        <w:t>A High Court challenge may be available in an appropriate case. Maintainability, grounds, relief and the applicable procedure depend on the actual order and facts. A writ petition does not guarantee a favourable result.</w:t>
      </w:r>
    </w:p>
    <w:p w:rsidR="002772AA" w:rsidRDefault="002772AA" w:rsidP="002772AA">
      <w:pPr>
        <w:pStyle w:val="Heading3"/>
      </w:pPr>
      <w:r>
        <w:t>8. Should I continue travelling to India after receiving a cancellation notice?</w:t>
      </w:r>
    </w:p>
    <w:p w:rsidR="002772AA" w:rsidRDefault="002772AA" w:rsidP="002772AA">
      <w:pPr>
        <w:pStyle w:val="NormalWeb"/>
      </w:pPr>
      <w:r>
        <w:t>Do not assume that a notice has the same effect as a final cancellation order, or that an existing OCI card necessarily resolves every immigration concern. Before travelling, verify the current status and any separate immigration directions applicable to you.</w:t>
      </w:r>
    </w:p>
    <w:p w:rsidR="002772AA" w:rsidRDefault="002772AA" w:rsidP="002772AA">
      <w:pPr>
        <w:pStyle w:val="Heading2"/>
      </w:pPr>
      <w:r>
        <w:t>Obtain a Preliminary Legal Review</w:t>
      </w:r>
    </w:p>
    <w:p w:rsidR="002772AA" w:rsidRDefault="002772AA" w:rsidP="002772AA">
      <w:pPr>
        <w:pStyle w:val="NormalWeb"/>
      </w:pPr>
      <w:r>
        <w:t>If you have received an OCI cancellation notice, a cancellation order, a blacklisting communication or an entry-related restriction, an early review may help clarify the statutory basis, the relevant chronology and the next procedural step.</w:t>
      </w:r>
    </w:p>
    <w:p w:rsidR="002772AA" w:rsidRDefault="002772AA" w:rsidP="002772AA">
      <w:pPr>
        <w:pStyle w:val="NormalWeb"/>
      </w:pPr>
      <w:r>
        <w:t>RRC Law Associates assists overseas Indians and foreign citizens of Indian origin with Indian-law documentation and related legal matters.</w:t>
      </w:r>
    </w:p>
    <w:p w:rsidR="002772AA" w:rsidRDefault="002772AA" w:rsidP="002772AA">
      <w:pPr>
        <w:pStyle w:val="NormalWeb"/>
      </w:pPr>
      <w:r>
        <w:rPr>
          <w:rStyle w:val="Strong"/>
        </w:rPr>
        <w:lastRenderedPageBreak/>
        <w:t>For a preliminary review, provide the notice or order, the date received, a short chronology and the relevant supporting documents.</w:t>
      </w:r>
      <w:r>
        <w:t xml:space="preserve"> The firm can then assess the issues requiring further examination and </w:t>
      </w:r>
      <w:proofErr w:type="gramStart"/>
      <w:r>
        <w:t>advise</w:t>
      </w:r>
      <w:proofErr w:type="gramEnd"/>
      <w:r>
        <w:t xml:space="preserve"> on the appropriate scope of legal assistance.</w:t>
      </w:r>
    </w:p>
    <w:p w:rsidR="002772AA" w:rsidRDefault="002772AA" w:rsidP="002772AA">
      <w:pPr>
        <w:pStyle w:val="NormalWeb"/>
      </w:pPr>
      <w:r>
        <w:rPr>
          <w:rStyle w:val="Strong"/>
        </w:rPr>
        <w:t>Legal disclaimer:</w:t>
      </w:r>
      <w:r>
        <w:t xml:space="preserve"> This article is for general informational purposes. It is not a substitute for advice based on the individual case record. The applicable legislation, notifications, court decisions and immigration requirements should be verified at the time of action. No particular legal outcome is guaranteed.</w:t>
      </w:r>
    </w:p>
    <w:p w:rsidR="00285198" w:rsidRDefault="00285198"/>
    <w:sectPr w:rsidR="0028519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14539D"/>
    <w:multiLevelType w:val="multilevel"/>
    <w:tmpl w:val="D9BA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C14995"/>
    <w:multiLevelType w:val="multilevel"/>
    <w:tmpl w:val="1CC6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4D405A"/>
    <w:multiLevelType w:val="multilevel"/>
    <w:tmpl w:val="131E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FD0744"/>
    <w:multiLevelType w:val="multilevel"/>
    <w:tmpl w:val="F1A6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D57163D"/>
    <w:multiLevelType w:val="multilevel"/>
    <w:tmpl w:val="CCEE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3380493"/>
    <w:multiLevelType w:val="multilevel"/>
    <w:tmpl w:val="67E0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856232"/>
    <w:multiLevelType w:val="multilevel"/>
    <w:tmpl w:val="B10A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95095A"/>
    <w:multiLevelType w:val="multilevel"/>
    <w:tmpl w:val="F27C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512764"/>
    <w:multiLevelType w:val="multilevel"/>
    <w:tmpl w:val="BC8C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8"/>
  </w:num>
  <w:num w:numId="4">
    <w:abstractNumId w:val="1"/>
  </w:num>
  <w:num w:numId="5">
    <w:abstractNumId w:val="4"/>
  </w:num>
  <w:num w:numId="6">
    <w:abstractNumId w:val="0"/>
  </w:num>
  <w:num w:numId="7">
    <w:abstractNumId w:val="6"/>
  </w:num>
  <w:num w:numId="8">
    <w:abstractNumId w:val="3"/>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grammar="clean"/>
  <w:defaultTabStop w:val="720"/>
  <w:characterSpacingControl w:val="doNotCompress"/>
  <w:compat>
    <w:useFELayout/>
  </w:compat>
  <w:rsids>
    <w:rsidRoot w:val="0026323E"/>
    <w:rsid w:val="0026323E"/>
    <w:rsid w:val="002772AA"/>
    <w:rsid w:val="002851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772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632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32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323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323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6323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323E"/>
    <w:rPr>
      <w:b/>
      <w:bCs/>
    </w:rPr>
  </w:style>
  <w:style w:type="character" w:styleId="HTMLCode">
    <w:name w:val="HTML Code"/>
    <w:basedOn w:val="DefaultParagraphFont"/>
    <w:uiPriority w:val="99"/>
    <w:semiHidden/>
    <w:unhideWhenUsed/>
    <w:rsid w:val="0026323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772AA"/>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2772AA"/>
    <w:rPr>
      <w:i/>
      <w:iCs/>
    </w:rPr>
  </w:style>
</w:styles>
</file>

<file path=word/webSettings.xml><?xml version="1.0" encoding="utf-8"?>
<w:webSettings xmlns:r="http://schemas.openxmlformats.org/officeDocument/2006/relationships" xmlns:w="http://schemas.openxmlformats.org/wordprocessingml/2006/main">
  <w:divs>
    <w:div w:id="327366777">
      <w:bodyDiv w:val="1"/>
      <w:marLeft w:val="0"/>
      <w:marRight w:val="0"/>
      <w:marTop w:val="0"/>
      <w:marBottom w:val="0"/>
      <w:divBdr>
        <w:top w:val="none" w:sz="0" w:space="0" w:color="auto"/>
        <w:left w:val="none" w:sz="0" w:space="0" w:color="auto"/>
        <w:bottom w:val="none" w:sz="0" w:space="0" w:color="auto"/>
        <w:right w:val="none" w:sz="0" w:space="0" w:color="auto"/>
      </w:divBdr>
    </w:div>
    <w:div w:id="1830167564">
      <w:bodyDiv w:val="1"/>
      <w:marLeft w:val="0"/>
      <w:marRight w:val="0"/>
      <w:marTop w:val="0"/>
      <w:marBottom w:val="0"/>
      <w:divBdr>
        <w:top w:val="none" w:sz="0" w:space="0" w:color="auto"/>
        <w:left w:val="none" w:sz="0" w:space="0" w:color="auto"/>
        <w:bottom w:val="none" w:sz="0" w:space="0" w:color="auto"/>
        <w:right w:val="none" w:sz="0" w:space="0" w:color="auto"/>
      </w:divBdr>
      <w:divsChild>
        <w:div w:id="709653368">
          <w:marLeft w:val="0"/>
          <w:marRight w:val="0"/>
          <w:marTop w:val="0"/>
          <w:marBottom w:val="0"/>
          <w:divBdr>
            <w:top w:val="none" w:sz="0" w:space="0" w:color="auto"/>
            <w:left w:val="none" w:sz="0" w:space="0" w:color="auto"/>
            <w:bottom w:val="none" w:sz="0" w:space="0" w:color="auto"/>
            <w:right w:val="none" w:sz="0" w:space="0" w:color="auto"/>
          </w:divBdr>
          <w:divsChild>
            <w:div w:id="199999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4057</Words>
  <Characters>23129</Characters>
  <Application>Microsoft Office Word</Application>
  <DocSecurity>0</DocSecurity>
  <Lines>192</Lines>
  <Paragraphs>54</Paragraphs>
  <ScaleCrop>false</ScaleCrop>
  <Company>Grizli777</Company>
  <LinksUpToDate>false</LinksUpToDate>
  <CharactersWithSpaces>27132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3</cp:revision>
  <dcterms:created xsi:type="dcterms:W3CDTF">2026-10-12T08:23:00Z</dcterms:created>
  <dcterms:modified xsi:type="dcterms:W3CDTF">2026-10-12T08:26:00Z</dcterms:modified>
</cp:coreProperties>
</file>