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3F78" w:rsidRPr="00B23F78" w:rsidRDefault="00B23F78" w:rsidP="00B23F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3F78">
        <w:rPr>
          <w:rFonts w:ascii="Times New Roman" w:eastAsia="Times New Roman" w:hAnsi="Times New Roman" w:cs="Times New Roman"/>
          <w:b/>
          <w:bCs/>
          <w:kern w:val="36"/>
          <w:sz w:val="48"/>
          <w:szCs w:val="48"/>
        </w:rPr>
        <w:t>Stage 3 — Blog 10: NRI and OCI Property Due Diligence in India</w:t>
      </w:r>
    </w:p>
    <w:p w:rsidR="00B23F78" w:rsidRPr="00B23F78" w:rsidRDefault="00B23F78" w:rsidP="00B23F78">
      <w:pPr>
        <w:spacing w:before="100" w:beforeAutospacing="1" w:after="100" w:afterAutospacing="1" w:line="240" w:lineRule="auto"/>
        <w:rPr>
          <w:rFonts w:ascii="Times New Roman" w:eastAsia="Times New Roman" w:hAnsi="Times New Roman" w:cs="Times New Roman"/>
          <w:sz w:val="24"/>
          <w:szCs w:val="24"/>
        </w:rPr>
      </w:pPr>
      <w:r w:rsidRPr="00B23F78">
        <w:rPr>
          <w:rFonts w:ascii="Times New Roman" w:eastAsia="Times New Roman" w:hAnsi="Times New Roman" w:cs="Times New Roman"/>
          <w:sz w:val="24"/>
          <w:szCs w:val="24"/>
        </w:rPr>
        <w:t xml:space="preserve">We will now proceed to Blog 10 of the </w:t>
      </w:r>
      <w:r w:rsidRPr="00B23F78">
        <w:rPr>
          <w:rFonts w:ascii="Times New Roman" w:eastAsia="Times New Roman" w:hAnsi="Times New Roman" w:cs="Times New Roman"/>
          <w:b/>
          <w:bCs/>
          <w:sz w:val="24"/>
          <w:szCs w:val="24"/>
        </w:rPr>
        <w:t>RRC Law Associates OCI Legal Guides</w:t>
      </w:r>
      <w:r w:rsidRPr="00B23F78">
        <w:rPr>
          <w:rFonts w:ascii="Times New Roman" w:eastAsia="Times New Roman" w:hAnsi="Times New Roman" w:cs="Times New Roman"/>
          <w:sz w:val="24"/>
          <w:szCs w:val="24"/>
        </w:rPr>
        <w:t xml:space="preserve"> series.</w:t>
      </w:r>
    </w:p>
    <w:p w:rsidR="00B23F78" w:rsidRPr="00B23F78" w:rsidRDefault="00B23F78" w:rsidP="00B23F78">
      <w:pPr>
        <w:spacing w:before="100" w:beforeAutospacing="1" w:after="100" w:afterAutospacing="1" w:line="240" w:lineRule="auto"/>
        <w:rPr>
          <w:rFonts w:ascii="Times New Roman" w:eastAsia="Times New Roman" w:hAnsi="Times New Roman" w:cs="Times New Roman"/>
          <w:sz w:val="24"/>
          <w:szCs w:val="24"/>
        </w:rPr>
      </w:pPr>
      <w:r w:rsidRPr="00B23F78">
        <w:rPr>
          <w:rFonts w:ascii="Times New Roman" w:eastAsia="Times New Roman" w:hAnsi="Times New Roman" w:cs="Times New Roman"/>
          <w:sz w:val="24"/>
          <w:szCs w:val="24"/>
        </w:rPr>
        <w:t>This article focuses on one of the most valuable services for overseas clients: verifying property ownership and identifying legal risks before purchasing land, a house, an apartment or another immovable property in India.</w:t>
      </w:r>
    </w:p>
    <w:p w:rsidR="00B23F78" w:rsidRPr="00B23F78" w:rsidRDefault="00B23F78" w:rsidP="00B23F78">
      <w:pPr>
        <w:spacing w:before="100" w:beforeAutospacing="1" w:after="100" w:afterAutospacing="1" w:line="240" w:lineRule="auto"/>
        <w:rPr>
          <w:rFonts w:ascii="Times New Roman" w:eastAsia="Times New Roman" w:hAnsi="Times New Roman" w:cs="Times New Roman"/>
          <w:sz w:val="24"/>
          <w:szCs w:val="24"/>
        </w:rPr>
      </w:pPr>
      <w:r w:rsidRPr="00B23F78">
        <w:rPr>
          <w:rFonts w:ascii="Times New Roman" w:eastAsia="Times New Roman" w:hAnsi="Times New Roman" w:cs="Times New Roman"/>
          <w:sz w:val="24"/>
          <w:szCs w:val="24"/>
        </w:rPr>
        <w:t>The commercial objective is to help potential clients understand why checking only a sale deed or an Encumbrance Certificate (EC) may not be enough—and when professional title verification is appropriate.</w:t>
      </w:r>
    </w:p>
    <w:p w:rsidR="00B23F78" w:rsidRPr="00B23F78" w:rsidRDefault="00B23F78" w:rsidP="00B23F78">
      <w:pPr>
        <w:spacing w:before="100" w:beforeAutospacing="1" w:after="100" w:afterAutospacing="1" w:line="240" w:lineRule="auto"/>
        <w:outlineLvl w:val="1"/>
        <w:rPr>
          <w:rFonts w:ascii="Times New Roman" w:eastAsia="Times New Roman" w:hAnsi="Times New Roman" w:cs="Times New Roman"/>
          <w:b/>
          <w:bCs/>
          <w:sz w:val="36"/>
          <w:szCs w:val="36"/>
        </w:rPr>
      </w:pPr>
      <w:r w:rsidRPr="00B23F78">
        <w:rPr>
          <w:rFonts w:ascii="Times New Roman" w:eastAsia="Times New Roman" w:hAnsi="Times New Roman" w:cs="Times New Roman"/>
          <w:b/>
          <w:bCs/>
          <w:sz w:val="36"/>
          <w:szCs w:val="36"/>
        </w:rPr>
        <w:t>1. SEO and publication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565"/>
        <w:gridCol w:w="7905"/>
      </w:tblGrid>
      <w:tr w:rsidR="00B23F78" w:rsidRPr="00B23F78" w:rsidTr="00B23F78">
        <w:trPr>
          <w:tblHeader/>
          <w:tblCellSpacing w:w="15" w:type="dxa"/>
        </w:trPr>
        <w:tc>
          <w:tcPr>
            <w:tcW w:w="0" w:type="auto"/>
            <w:vAlign w:val="center"/>
            <w:hideMark/>
          </w:tcPr>
          <w:p w:rsidR="00B23F78" w:rsidRPr="00B23F78" w:rsidRDefault="00B23F78" w:rsidP="00B23F78">
            <w:pPr>
              <w:spacing w:after="0" w:line="240" w:lineRule="auto"/>
              <w:jc w:val="center"/>
              <w:rPr>
                <w:rFonts w:ascii="Times New Roman" w:eastAsia="Times New Roman" w:hAnsi="Times New Roman" w:cs="Times New Roman"/>
                <w:b/>
                <w:bCs/>
                <w:sz w:val="24"/>
                <w:szCs w:val="24"/>
              </w:rPr>
            </w:pPr>
            <w:r w:rsidRPr="00B23F78">
              <w:rPr>
                <w:rFonts w:ascii="Times New Roman" w:eastAsia="Times New Roman" w:hAnsi="Times New Roman" w:cs="Times New Roman"/>
                <w:b/>
                <w:bCs/>
                <w:sz w:val="24"/>
                <w:szCs w:val="24"/>
              </w:rPr>
              <w:t>Item</w:t>
            </w:r>
          </w:p>
        </w:tc>
        <w:tc>
          <w:tcPr>
            <w:tcW w:w="0" w:type="auto"/>
            <w:vAlign w:val="center"/>
            <w:hideMark/>
          </w:tcPr>
          <w:p w:rsidR="00B23F78" w:rsidRPr="00B23F78" w:rsidRDefault="00B23F78" w:rsidP="00B23F78">
            <w:pPr>
              <w:spacing w:after="0" w:line="240" w:lineRule="auto"/>
              <w:jc w:val="center"/>
              <w:rPr>
                <w:rFonts w:ascii="Times New Roman" w:eastAsia="Times New Roman" w:hAnsi="Times New Roman" w:cs="Times New Roman"/>
                <w:b/>
                <w:bCs/>
                <w:sz w:val="24"/>
                <w:szCs w:val="24"/>
              </w:rPr>
            </w:pPr>
            <w:r w:rsidRPr="00B23F78">
              <w:rPr>
                <w:rFonts w:ascii="Times New Roman" w:eastAsia="Times New Roman" w:hAnsi="Times New Roman" w:cs="Times New Roman"/>
                <w:b/>
                <w:bCs/>
                <w:sz w:val="24"/>
                <w:szCs w:val="24"/>
              </w:rPr>
              <w:t>Recommended content</w:t>
            </w:r>
          </w:p>
        </w:tc>
      </w:tr>
      <w:tr w:rsidR="00B23F78" w:rsidRPr="00B23F78" w:rsidTr="00B23F78">
        <w:trPr>
          <w:tblCellSpacing w:w="15" w:type="dxa"/>
        </w:trPr>
        <w:tc>
          <w:tcPr>
            <w:tcW w:w="0" w:type="auto"/>
            <w:vAlign w:val="center"/>
            <w:hideMark/>
          </w:tcPr>
          <w:p w:rsidR="00B23F78" w:rsidRPr="00B23F78" w:rsidRDefault="00B23F78" w:rsidP="00B23F78">
            <w:pPr>
              <w:spacing w:after="0" w:line="240" w:lineRule="auto"/>
              <w:rPr>
                <w:rFonts w:ascii="Times New Roman" w:eastAsia="Times New Roman" w:hAnsi="Times New Roman" w:cs="Times New Roman"/>
                <w:sz w:val="24"/>
                <w:szCs w:val="24"/>
              </w:rPr>
            </w:pPr>
            <w:r w:rsidRPr="00B23F78">
              <w:rPr>
                <w:rFonts w:ascii="Times New Roman" w:eastAsia="Times New Roman" w:hAnsi="Times New Roman" w:cs="Times New Roman"/>
                <w:sz w:val="24"/>
                <w:szCs w:val="24"/>
              </w:rPr>
              <w:t>Blog number</w:t>
            </w:r>
          </w:p>
        </w:tc>
        <w:tc>
          <w:tcPr>
            <w:tcW w:w="0" w:type="auto"/>
            <w:vAlign w:val="center"/>
            <w:hideMark/>
          </w:tcPr>
          <w:p w:rsidR="00B23F78" w:rsidRPr="00B23F78" w:rsidRDefault="00B23F78" w:rsidP="00B23F78">
            <w:pPr>
              <w:spacing w:after="0" w:line="240" w:lineRule="auto"/>
              <w:rPr>
                <w:rFonts w:ascii="Times New Roman" w:eastAsia="Times New Roman" w:hAnsi="Times New Roman" w:cs="Times New Roman"/>
                <w:sz w:val="24"/>
                <w:szCs w:val="24"/>
              </w:rPr>
            </w:pPr>
            <w:r w:rsidRPr="00B23F78">
              <w:rPr>
                <w:rFonts w:ascii="Times New Roman" w:eastAsia="Times New Roman" w:hAnsi="Times New Roman" w:cs="Times New Roman"/>
                <w:sz w:val="24"/>
                <w:szCs w:val="24"/>
              </w:rPr>
              <w:t>10</w:t>
            </w:r>
          </w:p>
        </w:tc>
      </w:tr>
      <w:tr w:rsidR="00B23F78" w:rsidRPr="00B23F78" w:rsidTr="00B23F78">
        <w:trPr>
          <w:tblCellSpacing w:w="15" w:type="dxa"/>
        </w:trPr>
        <w:tc>
          <w:tcPr>
            <w:tcW w:w="0" w:type="auto"/>
            <w:vAlign w:val="center"/>
            <w:hideMark/>
          </w:tcPr>
          <w:p w:rsidR="00B23F78" w:rsidRPr="00B23F78" w:rsidRDefault="00B23F78" w:rsidP="00B23F78">
            <w:pPr>
              <w:spacing w:after="0" w:line="240" w:lineRule="auto"/>
              <w:rPr>
                <w:rFonts w:ascii="Times New Roman" w:eastAsia="Times New Roman" w:hAnsi="Times New Roman" w:cs="Times New Roman"/>
                <w:sz w:val="24"/>
                <w:szCs w:val="24"/>
              </w:rPr>
            </w:pPr>
            <w:r w:rsidRPr="00B23F78">
              <w:rPr>
                <w:rFonts w:ascii="Times New Roman" w:eastAsia="Times New Roman" w:hAnsi="Times New Roman" w:cs="Times New Roman"/>
                <w:sz w:val="24"/>
                <w:szCs w:val="24"/>
              </w:rPr>
              <w:t>SEO title</w:t>
            </w:r>
          </w:p>
        </w:tc>
        <w:tc>
          <w:tcPr>
            <w:tcW w:w="0" w:type="auto"/>
            <w:vAlign w:val="center"/>
            <w:hideMark/>
          </w:tcPr>
          <w:p w:rsidR="00B23F78" w:rsidRPr="00B23F78" w:rsidRDefault="00B23F78" w:rsidP="00B23F78">
            <w:pPr>
              <w:spacing w:after="0" w:line="240" w:lineRule="auto"/>
              <w:rPr>
                <w:rFonts w:ascii="Times New Roman" w:eastAsia="Times New Roman" w:hAnsi="Times New Roman" w:cs="Times New Roman"/>
                <w:sz w:val="24"/>
                <w:szCs w:val="24"/>
              </w:rPr>
            </w:pPr>
            <w:r w:rsidRPr="00B23F78">
              <w:rPr>
                <w:rFonts w:ascii="Times New Roman" w:eastAsia="Times New Roman" w:hAnsi="Times New Roman" w:cs="Times New Roman"/>
                <w:sz w:val="24"/>
                <w:szCs w:val="24"/>
              </w:rPr>
              <w:t>NRI Property Due Diligence in India: How to Verify Title Before Buying</w:t>
            </w:r>
          </w:p>
        </w:tc>
      </w:tr>
      <w:tr w:rsidR="00B23F78" w:rsidRPr="00B23F78" w:rsidTr="00B23F78">
        <w:trPr>
          <w:tblCellSpacing w:w="15" w:type="dxa"/>
        </w:trPr>
        <w:tc>
          <w:tcPr>
            <w:tcW w:w="0" w:type="auto"/>
            <w:vAlign w:val="center"/>
            <w:hideMark/>
          </w:tcPr>
          <w:p w:rsidR="00B23F78" w:rsidRPr="00B23F78" w:rsidRDefault="00B23F78" w:rsidP="00B23F78">
            <w:pPr>
              <w:spacing w:after="0" w:line="240" w:lineRule="auto"/>
              <w:rPr>
                <w:rFonts w:ascii="Times New Roman" w:eastAsia="Times New Roman" w:hAnsi="Times New Roman" w:cs="Times New Roman"/>
                <w:sz w:val="24"/>
                <w:szCs w:val="24"/>
              </w:rPr>
            </w:pPr>
            <w:r w:rsidRPr="00B23F78">
              <w:rPr>
                <w:rFonts w:ascii="Times New Roman" w:eastAsia="Times New Roman" w:hAnsi="Times New Roman" w:cs="Times New Roman"/>
                <w:sz w:val="24"/>
                <w:szCs w:val="24"/>
              </w:rPr>
              <w:t>H1</w:t>
            </w:r>
          </w:p>
        </w:tc>
        <w:tc>
          <w:tcPr>
            <w:tcW w:w="0" w:type="auto"/>
            <w:vAlign w:val="center"/>
            <w:hideMark/>
          </w:tcPr>
          <w:p w:rsidR="00B23F78" w:rsidRPr="00B23F78" w:rsidRDefault="00B23F78" w:rsidP="00B23F78">
            <w:pPr>
              <w:spacing w:after="0" w:line="240" w:lineRule="auto"/>
              <w:rPr>
                <w:rFonts w:ascii="Times New Roman" w:eastAsia="Times New Roman" w:hAnsi="Times New Roman" w:cs="Times New Roman"/>
                <w:sz w:val="24"/>
                <w:szCs w:val="24"/>
              </w:rPr>
            </w:pPr>
            <w:r w:rsidRPr="00B23F78">
              <w:rPr>
                <w:rFonts w:ascii="Times New Roman" w:eastAsia="Times New Roman" w:hAnsi="Times New Roman" w:cs="Times New Roman"/>
                <w:sz w:val="24"/>
                <w:szCs w:val="24"/>
              </w:rPr>
              <w:t>NRI and OCI Property Due Diligence: How to Verify Title Before Buying Property in India</w:t>
            </w:r>
          </w:p>
        </w:tc>
      </w:tr>
      <w:tr w:rsidR="00B23F78" w:rsidRPr="00B23F78" w:rsidTr="00B23F78">
        <w:trPr>
          <w:tblCellSpacing w:w="15" w:type="dxa"/>
        </w:trPr>
        <w:tc>
          <w:tcPr>
            <w:tcW w:w="0" w:type="auto"/>
            <w:vAlign w:val="center"/>
            <w:hideMark/>
          </w:tcPr>
          <w:p w:rsidR="00B23F78" w:rsidRPr="00B23F78" w:rsidRDefault="00B23F78" w:rsidP="00B23F78">
            <w:pPr>
              <w:spacing w:after="0" w:line="240" w:lineRule="auto"/>
              <w:rPr>
                <w:rFonts w:ascii="Times New Roman" w:eastAsia="Times New Roman" w:hAnsi="Times New Roman" w:cs="Times New Roman"/>
                <w:sz w:val="24"/>
                <w:szCs w:val="24"/>
              </w:rPr>
            </w:pPr>
            <w:r w:rsidRPr="00B23F78">
              <w:rPr>
                <w:rFonts w:ascii="Times New Roman" w:eastAsia="Times New Roman" w:hAnsi="Times New Roman" w:cs="Times New Roman"/>
                <w:sz w:val="24"/>
                <w:szCs w:val="24"/>
              </w:rPr>
              <w:t>Suggested URL</w:t>
            </w:r>
          </w:p>
        </w:tc>
        <w:tc>
          <w:tcPr>
            <w:tcW w:w="0" w:type="auto"/>
            <w:vAlign w:val="center"/>
            <w:hideMark/>
          </w:tcPr>
          <w:p w:rsidR="00B23F78" w:rsidRPr="00B23F78" w:rsidRDefault="00B23F78" w:rsidP="00B23F78">
            <w:pPr>
              <w:spacing w:after="0" w:line="240" w:lineRule="auto"/>
              <w:rPr>
                <w:rFonts w:ascii="Times New Roman" w:eastAsia="Times New Roman" w:hAnsi="Times New Roman" w:cs="Times New Roman"/>
                <w:sz w:val="24"/>
                <w:szCs w:val="24"/>
              </w:rPr>
            </w:pPr>
            <w:r w:rsidRPr="00B23F78">
              <w:rPr>
                <w:rFonts w:ascii="Courier New" w:eastAsia="Times New Roman" w:hAnsi="Courier New" w:cs="Courier New"/>
                <w:sz w:val="20"/>
              </w:rPr>
              <w:t>/nri-oci-property-due-diligence-india/</w:t>
            </w:r>
          </w:p>
        </w:tc>
      </w:tr>
      <w:tr w:rsidR="00B23F78" w:rsidRPr="00B23F78" w:rsidTr="00B23F78">
        <w:trPr>
          <w:tblCellSpacing w:w="15" w:type="dxa"/>
        </w:trPr>
        <w:tc>
          <w:tcPr>
            <w:tcW w:w="0" w:type="auto"/>
            <w:vAlign w:val="center"/>
            <w:hideMark/>
          </w:tcPr>
          <w:p w:rsidR="00B23F78" w:rsidRPr="00B23F78" w:rsidRDefault="00B23F78" w:rsidP="00B23F78">
            <w:pPr>
              <w:spacing w:after="0" w:line="240" w:lineRule="auto"/>
              <w:rPr>
                <w:rFonts w:ascii="Times New Roman" w:eastAsia="Times New Roman" w:hAnsi="Times New Roman" w:cs="Times New Roman"/>
                <w:sz w:val="24"/>
                <w:szCs w:val="24"/>
              </w:rPr>
            </w:pPr>
            <w:r w:rsidRPr="00B23F78">
              <w:rPr>
                <w:rFonts w:ascii="Times New Roman" w:eastAsia="Times New Roman" w:hAnsi="Times New Roman" w:cs="Times New Roman"/>
                <w:sz w:val="24"/>
                <w:szCs w:val="24"/>
              </w:rPr>
              <w:t>Meta description</w:t>
            </w:r>
          </w:p>
        </w:tc>
        <w:tc>
          <w:tcPr>
            <w:tcW w:w="0" w:type="auto"/>
            <w:vAlign w:val="center"/>
            <w:hideMark/>
          </w:tcPr>
          <w:p w:rsidR="00B23F78" w:rsidRPr="00B23F78" w:rsidRDefault="00B23F78" w:rsidP="00B23F78">
            <w:pPr>
              <w:spacing w:after="0" w:line="240" w:lineRule="auto"/>
              <w:rPr>
                <w:rFonts w:ascii="Times New Roman" w:eastAsia="Times New Roman" w:hAnsi="Times New Roman" w:cs="Times New Roman"/>
                <w:sz w:val="24"/>
                <w:szCs w:val="24"/>
              </w:rPr>
            </w:pPr>
            <w:r w:rsidRPr="00B23F78">
              <w:rPr>
                <w:rFonts w:ascii="Times New Roman" w:eastAsia="Times New Roman" w:hAnsi="Times New Roman" w:cs="Times New Roman"/>
                <w:sz w:val="24"/>
                <w:szCs w:val="24"/>
              </w:rPr>
              <w:t>Buying property in India from overseas? Learn how to verify title deeds, encumbrances, patta, land classification, approvals and litigation before completing a purchase.</w:t>
            </w:r>
          </w:p>
        </w:tc>
      </w:tr>
      <w:tr w:rsidR="00B23F78" w:rsidRPr="00B23F78" w:rsidTr="00B23F78">
        <w:trPr>
          <w:tblCellSpacing w:w="15" w:type="dxa"/>
        </w:trPr>
        <w:tc>
          <w:tcPr>
            <w:tcW w:w="0" w:type="auto"/>
            <w:vAlign w:val="center"/>
            <w:hideMark/>
          </w:tcPr>
          <w:p w:rsidR="00B23F78" w:rsidRPr="00B23F78" w:rsidRDefault="00B23F78" w:rsidP="00B23F78">
            <w:pPr>
              <w:spacing w:after="0" w:line="240" w:lineRule="auto"/>
              <w:rPr>
                <w:rFonts w:ascii="Times New Roman" w:eastAsia="Times New Roman" w:hAnsi="Times New Roman" w:cs="Times New Roman"/>
                <w:sz w:val="24"/>
                <w:szCs w:val="24"/>
              </w:rPr>
            </w:pPr>
            <w:r w:rsidRPr="00B23F78">
              <w:rPr>
                <w:rFonts w:ascii="Times New Roman" w:eastAsia="Times New Roman" w:hAnsi="Times New Roman" w:cs="Times New Roman"/>
                <w:sz w:val="24"/>
                <w:szCs w:val="24"/>
              </w:rPr>
              <w:t>Primary keyword</w:t>
            </w:r>
          </w:p>
        </w:tc>
        <w:tc>
          <w:tcPr>
            <w:tcW w:w="0" w:type="auto"/>
            <w:vAlign w:val="center"/>
            <w:hideMark/>
          </w:tcPr>
          <w:p w:rsidR="00B23F78" w:rsidRPr="00B23F78" w:rsidRDefault="00B23F78" w:rsidP="00B23F78">
            <w:pPr>
              <w:spacing w:after="0" w:line="240" w:lineRule="auto"/>
              <w:rPr>
                <w:rFonts w:ascii="Times New Roman" w:eastAsia="Times New Roman" w:hAnsi="Times New Roman" w:cs="Times New Roman"/>
                <w:sz w:val="24"/>
                <w:szCs w:val="24"/>
              </w:rPr>
            </w:pPr>
            <w:r w:rsidRPr="00B23F78">
              <w:rPr>
                <w:rFonts w:ascii="Times New Roman" w:eastAsia="Times New Roman" w:hAnsi="Times New Roman" w:cs="Times New Roman"/>
                <w:sz w:val="24"/>
                <w:szCs w:val="24"/>
              </w:rPr>
              <w:t>NRI property due diligence India</w:t>
            </w:r>
          </w:p>
        </w:tc>
      </w:tr>
      <w:tr w:rsidR="00B23F78" w:rsidRPr="00B23F78" w:rsidTr="00B23F78">
        <w:trPr>
          <w:tblCellSpacing w:w="15" w:type="dxa"/>
        </w:trPr>
        <w:tc>
          <w:tcPr>
            <w:tcW w:w="0" w:type="auto"/>
            <w:vAlign w:val="center"/>
            <w:hideMark/>
          </w:tcPr>
          <w:p w:rsidR="00B23F78" w:rsidRPr="00B23F78" w:rsidRDefault="00B23F78" w:rsidP="00B23F78">
            <w:pPr>
              <w:spacing w:after="0" w:line="240" w:lineRule="auto"/>
              <w:rPr>
                <w:rFonts w:ascii="Times New Roman" w:eastAsia="Times New Roman" w:hAnsi="Times New Roman" w:cs="Times New Roman"/>
                <w:sz w:val="24"/>
                <w:szCs w:val="24"/>
              </w:rPr>
            </w:pPr>
            <w:r w:rsidRPr="00B23F78">
              <w:rPr>
                <w:rFonts w:ascii="Times New Roman" w:eastAsia="Times New Roman" w:hAnsi="Times New Roman" w:cs="Times New Roman"/>
                <w:sz w:val="24"/>
                <w:szCs w:val="24"/>
              </w:rPr>
              <w:t>Secondary keywords</w:t>
            </w:r>
          </w:p>
        </w:tc>
        <w:tc>
          <w:tcPr>
            <w:tcW w:w="0" w:type="auto"/>
            <w:vAlign w:val="center"/>
            <w:hideMark/>
          </w:tcPr>
          <w:p w:rsidR="00B23F78" w:rsidRPr="00B23F78" w:rsidRDefault="00B23F78" w:rsidP="00B23F78">
            <w:pPr>
              <w:spacing w:after="0" w:line="240" w:lineRule="auto"/>
              <w:rPr>
                <w:rFonts w:ascii="Times New Roman" w:eastAsia="Times New Roman" w:hAnsi="Times New Roman" w:cs="Times New Roman"/>
                <w:sz w:val="24"/>
                <w:szCs w:val="24"/>
              </w:rPr>
            </w:pPr>
            <w:r w:rsidRPr="00B23F78">
              <w:rPr>
                <w:rFonts w:ascii="Times New Roman" w:eastAsia="Times New Roman" w:hAnsi="Times New Roman" w:cs="Times New Roman"/>
                <w:sz w:val="24"/>
                <w:szCs w:val="24"/>
              </w:rPr>
              <w:t>OCI property legal verification, verify property title India, property title search India, encumbrance certificate limitations, NRI property lawyer</w:t>
            </w:r>
          </w:p>
        </w:tc>
      </w:tr>
      <w:tr w:rsidR="00B23F78" w:rsidRPr="00B23F78" w:rsidTr="00B23F78">
        <w:trPr>
          <w:tblCellSpacing w:w="15" w:type="dxa"/>
        </w:trPr>
        <w:tc>
          <w:tcPr>
            <w:tcW w:w="0" w:type="auto"/>
            <w:vAlign w:val="center"/>
            <w:hideMark/>
          </w:tcPr>
          <w:p w:rsidR="00B23F78" w:rsidRPr="00B23F78" w:rsidRDefault="00B23F78" w:rsidP="00B23F78">
            <w:pPr>
              <w:spacing w:after="0" w:line="240" w:lineRule="auto"/>
              <w:rPr>
                <w:rFonts w:ascii="Times New Roman" w:eastAsia="Times New Roman" w:hAnsi="Times New Roman" w:cs="Times New Roman"/>
                <w:sz w:val="24"/>
                <w:szCs w:val="24"/>
              </w:rPr>
            </w:pPr>
            <w:r w:rsidRPr="00B23F78">
              <w:rPr>
                <w:rFonts w:ascii="Times New Roman" w:eastAsia="Times New Roman" w:hAnsi="Times New Roman" w:cs="Times New Roman"/>
                <w:sz w:val="24"/>
                <w:szCs w:val="24"/>
              </w:rPr>
              <w:t>Target audience</w:t>
            </w:r>
          </w:p>
        </w:tc>
        <w:tc>
          <w:tcPr>
            <w:tcW w:w="0" w:type="auto"/>
            <w:vAlign w:val="center"/>
            <w:hideMark/>
          </w:tcPr>
          <w:p w:rsidR="00B23F78" w:rsidRPr="00B23F78" w:rsidRDefault="00B23F78" w:rsidP="00B23F78">
            <w:pPr>
              <w:spacing w:after="0" w:line="240" w:lineRule="auto"/>
              <w:rPr>
                <w:rFonts w:ascii="Times New Roman" w:eastAsia="Times New Roman" w:hAnsi="Times New Roman" w:cs="Times New Roman"/>
                <w:sz w:val="24"/>
                <w:szCs w:val="24"/>
              </w:rPr>
            </w:pPr>
            <w:r w:rsidRPr="00B23F78">
              <w:rPr>
                <w:rFonts w:ascii="Times New Roman" w:eastAsia="Times New Roman" w:hAnsi="Times New Roman" w:cs="Times New Roman"/>
                <w:sz w:val="24"/>
                <w:szCs w:val="24"/>
              </w:rPr>
              <w:t>NRIs, OCI cardholders, overseas investors and foreign citizens of Indian origin</w:t>
            </w:r>
          </w:p>
        </w:tc>
      </w:tr>
      <w:tr w:rsidR="00B23F78" w:rsidRPr="00B23F78" w:rsidTr="00B23F78">
        <w:trPr>
          <w:tblCellSpacing w:w="15" w:type="dxa"/>
        </w:trPr>
        <w:tc>
          <w:tcPr>
            <w:tcW w:w="0" w:type="auto"/>
            <w:vAlign w:val="center"/>
            <w:hideMark/>
          </w:tcPr>
          <w:p w:rsidR="00B23F78" w:rsidRPr="00B23F78" w:rsidRDefault="00B23F78" w:rsidP="00B23F78">
            <w:pPr>
              <w:spacing w:after="0" w:line="240" w:lineRule="auto"/>
              <w:rPr>
                <w:rFonts w:ascii="Times New Roman" w:eastAsia="Times New Roman" w:hAnsi="Times New Roman" w:cs="Times New Roman"/>
                <w:sz w:val="24"/>
                <w:szCs w:val="24"/>
              </w:rPr>
            </w:pPr>
            <w:r w:rsidRPr="00B23F78">
              <w:rPr>
                <w:rFonts w:ascii="Times New Roman" w:eastAsia="Times New Roman" w:hAnsi="Times New Roman" w:cs="Times New Roman"/>
                <w:sz w:val="24"/>
                <w:szCs w:val="24"/>
              </w:rPr>
              <w:t>Search intent</w:t>
            </w:r>
          </w:p>
        </w:tc>
        <w:tc>
          <w:tcPr>
            <w:tcW w:w="0" w:type="auto"/>
            <w:vAlign w:val="center"/>
            <w:hideMark/>
          </w:tcPr>
          <w:p w:rsidR="00B23F78" w:rsidRPr="00B23F78" w:rsidRDefault="00B23F78" w:rsidP="00B23F78">
            <w:pPr>
              <w:spacing w:after="0" w:line="240" w:lineRule="auto"/>
              <w:rPr>
                <w:rFonts w:ascii="Times New Roman" w:eastAsia="Times New Roman" w:hAnsi="Times New Roman" w:cs="Times New Roman"/>
                <w:sz w:val="24"/>
                <w:szCs w:val="24"/>
              </w:rPr>
            </w:pPr>
            <w:r w:rsidRPr="00B23F78">
              <w:rPr>
                <w:rFonts w:ascii="Times New Roman" w:eastAsia="Times New Roman" w:hAnsi="Times New Roman" w:cs="Times New Roman"/>
                <w:sz w:val="24"/>
                <w:szCs w:val="24"/>
              </w:rPr>
              <w:t>Legal information and service enquiries</w:t>
            </w:r>
          </w:p>
        </w:tc>
      </w:tr>
      <w:tr w:rsidR="00B23F78" w:rsidRPr="00B23F78" w:rsidTr="00B23F78">
        <w:trPr>
          <w:tblCellSpacing w:w="15" w:type="dxa"/>
        </w:trPr>
        <w:tc>
          <w:tcPr>
            <w:tcW w:w="0" w:type="auto"/>
            <w:vAlign w:val="center"/>
            <w:hideMark/>
          </w:tcPr>
          <w:p w:rsidR="00B23F78" w:rsidRPr="00B23F78" w:rsidRDefault="00B23F78" w:rsidP="00B23F78">
            <w:pPr>
              <w:spacing w:after="0" w:line="240" w:lineRule="auto"/>
              <w:rPr>
                <w:rFonts w:ascii="Times New Roman" w:eastAsia="Times New Roman" w:hAnsi="Times New Roman" w:cs="Times New Roman"/>
                <w:sz w:val="24"/>
                <w:szCs w:val="24"/>
              </w:rPr>
            </w:pPr>
            <w:r w:rsidRPr="00B23F78">
              <w:rPr>
                <w:rFonts w:ascii="Times New Roman" w:eastAsia="Times New Roman" w:hAnsi="Times New Roman" w:cs="Times New Roman"/>
                <w:sz w:val="24"/>
                <w:szCs w:val="24"/>
              </w:rPr>
              <w:t>Main CTA</w:t>
            </w:r>
          </w:p>
        </w:tc>
        <w:tc>
          <w:tcPr>
            <w:tcW w:w="0" w:type="auto"/>
            <w:vAlign w:val="center"/>
            <w:hideMark/>
          </w:tcPr>
          <w:p w:rsidR="00B23F78" w:rsidRPr="00B23F78" w:rsidRDefault="00B23F78" w:rsidP="00B23F78">
            <w:pPr>
              <w:spacing w:after="0" w:line="240" w:lineRule="auto"/>
              <w:rPr>
                <w:rFonts w:ascii="Times New Roman" w:eastAsia="Times New Roman" w:hAnsi="Times New Roman" w:cs="Times New Roman"/>
                <w:sz w:val="24"/>
                <w:szCs w:val="24"/>
              </w:rPr>
            </w:pPr>
            <w:r w:rsidRPr="00B23F78">
              <w:rPr>
                <w:rFonts w:ascii="Times New Roman" w:eastAsia="Times New Roman" w:hAnsi="Times New Roman" w:cs="Times New Roman"/>
                <w:sz w:val="24"/>
                <w:szCs w:val="24"/>
              </w:rPr>
              <w:t>Request a property title verification review</w:t>
            </w:r>
          </w:p>
        </w:tc>
      </w:tr>
    </w:tbl>
    <w:p w:rsidR="00000000" w:rsidRDefault="00036C49"/>
    <w:p w:rsidR="00B23F78" w:rsidRDefault="00B23F78"/>
    <w:p w:rsidR="00023EE3" w:rsidRDefault="00023EE3" w:rsidP="00023EE3">
      <w:pPr>
        <w:pStyle w:val="Heading1"/>
      </w:pPr>
      <w:r>
        <w:lastRenderedPageBreak/>
        <w:t>NRI and OCI Property Due Diligence: How to Verify Title Before Buying Property in India</w:t>
      </w:r>
    </w:p>
    <w:p w:rsidR="00023EE3" w:rsidRDefault="00023EE3" w:rsidP="00023EE3">
      <w:pPr>
        <w:pStyle w:val="NormalWeb"/>
      </w:pPr>
      <w:r>
        <w:t>Buying property in India while living overseas can be complicated. An NRI or Overseas Citizen of India (OCI) cardholder may have to rely on family members, property agents, developers or other representatives to inspect documents and coordinate the transaction.</w:t>
      </w:r>
    </w:p>
    <w:p w:rsidR="00023EE3" w:rsidRDefault="00023EE3" w:rsidP="00023EE3">
      <w:pPr>
        <w:pStyle w:val="NormalWeb"/>
      </w:pPr>
      <w:r>
        <w:t>A property may appear attractive and the seller may provide a sale deed, patta, tax receipts and an Encumbrance Certificate. However, these documents do not necessarily establish that the seller has an undisputed title or that the proposed transaction is legally permissible.</w:t>
      </w:r>
    </w:p>
    <w:p w:rsidR="00023EE3" w:rsidRDefault="00023EE3" w:rsidP="00023EE3">
      <w:pPr>
        <w:pStyle w:val="NormalWeb"/>
      </w:pPr>
      <w:r>
        <w:t>The property may be affected by an earlier defective transfer, competing inheritance claims, a mortgage, a court dispute, an incorrect survey description, a restriction on transfer or a discrepancy between the title deeds and the land records.</w:t>
      </w:r>
    </w:p>
    <w:p w:rsidR="00023EE3" w:rsidRDefault="00023EE3" w:rsidP="00023EE3">
      <w:pPr>
        <w:pStyle w:val="NormalWeb"/>
      </w:pPr>
      <w:r>
        <w:rPr>
          <w:rStyle w:val="Strong"/>
        </w:rPr>
        <w:t>Property due diligence is the process of examining the legal ownership, documentary history, relevant public records and transaction-specific risks before committing to a purchase.</w:t>
      </w:r>
    </w:p>
    <w:p w:rsidR="00023EE3" w:rsidRDefault="00023EE3" w:rsidP="00023EE3">
      <w:pPr>
        <w:pStyle w:val="NormalWeb"/>
      </w:pPr>
      <w:r>
        <w:t>This guide explains the principal checks NRIs and OCI cardholders should consider before purchasing property in India.</w:t>
      </w:r>
    </w:p>
    <w:p w:rsidR="00023EE3" w:rsidRDefault="00023EE3" w:rsidP="00023EE3">
      <w:pPr>
        <w:pStyle w:val="NormalWeb"/>
      </w:pPr>
      <w:r>
        <w:rPr>
          <w:rStyle w:val="Emphasis"/>
        </w:rPr>
        <w:t>This article provides general legal information. The required investigation depends on the property, its location, its ownership history, the nature of the proposed transaction and the applicable state and central laws.</w:t>
      </w:r>
    </w:p>
    <w:p w:rsidR="00023EE3" w:rsidRDefault="00023EE3" w:rsidP="00023EE3">
      <w:pPr>
        <w:pStyle w:val="Heading2"/>
      </w:pPr>
      <w:r>
        <w:t>1. Why Is Property Due Diligence Important for NRIs and OCI Cardholders?</w:t>
      </w:r>
    </w:p>
    <w:p w:rsidR="00023EE3" w:rsidRDefault="00023EE3" w:rsidP="00023EE3">
      <w:pPr>
        <w:pStyle w:val="NormalWeb"/>
      </w:pPr>
      <w:r>
        <w:t>A person purchasing property in India should establish that the seller has the legal right to transfer the property and that the proposed transaction complies with the applicable law.</w:t>
      </w:r>
    </w:p>
    <w:p w:rsidR="00023EE3" w:rsidRDefault="00023EE3" w:rsidP="00023EE3">
      <w:pPr>
        <w:pStyle w:val="NormalWeb"/>
      </w:pPr>
      <w:r>
        <w:t>For overseas buyers, due diligence is particularly important because physical distance can make it difficult to inspect original records, meet relevant officials or investigate local disputes.</w:t>
      </w:r>
    </w:p>
    <w:p w:rsidR="00023EE3" w:rsidRDefault="00023EE3" w:rsidP="00023EE3">
      <w:pPr>
        <w:pStyle w:val="NormalWeb"/>
      </w:pPr>
      <w:r>
        <w:t>A buyer may encounter problems such as:</w:t>
      </w:r>
    </w:p>
    <w:p w:rsidR="00023EE3" w:rsidRDefault="00023EE3" w:rsidP="00023EE3">
      <w:pPr>
        <w:pStyle w:val="NormalWeb"/>
        <w:numPr>
          <w:ilvl w:val="0"/>
          <w:numId w:val="1"/>
        </w:numPr>
      </w:pPr>
      <w:r>
        <w:t>The seller does not hold the title claimed.</w:t>
      </w:r>
    </w:p>
    <w:p w:rsidR="00023EE3" w:rsidRDefault="00023EE3" w:rsidP="00023EE3">
      <w:pPr>
        <w:pStyle w:val="NormalWeb"/>
        <w:numPr>
          <w:ilvl w:val="0"/>
          <w:numId w:val="1"/>
        </w:numPr>
      </w:pPr>
      <w:r>
        <w:t>The property was inherited but the rights of all heirs have not been established.</w:t>
      </w:r>
    </w:p>
    <w:p w:rsidR="00023EE3" w:rsidRDefault="00023EE3" w:rsidP="00023EE3">
      <w:pPr>
        <w:pStyle w:val="NormalWeb"/>
        <w:numPr>
          <w:ilvl w:val="0"/>
          <w:numId w:val="1"/>
        </w:numPr>
      </w:pPr>
      <w:r>
        <w:t>An earlier deed contains errors or defects.</w:t>
      </w:r>
    </w:p>
    <w:p w:rsidR="00023EE3" w:rsidRDefault="00023EE3" w:rsidP="00023EE3">
      <w:pPr>
        <w:pStyle w:val="NormalWeb"/>
        <w:numPr>
          <w:ilvl w:val="0"/>
          <w:numId w:val="1"/>
        </w:numPr>
      </w:pPr>
      <w:r>
        <w:t>The property is subject to a mortgage, charge or other encumbrance.</w:t>
      </w:r>
    </w:p>
    <w:p w:rsidR="00023EE3" w:rsidRDefault="00023EE3" w:rsidP="00023EE3">
      <w:pPr>
        <w:pStyle w:val="NormalWeb"/>
        <w:numPr>
          <w:ilvl w:val="0"/>
          <w:numId w:val="1"/>
        </w:numPr>
      </w:pPr>
      <w:r>
        <w:lastRenderedPageBreak/>
        <w:t>The land description differs across documents.</w:t>
      </w:r>
    </w:p>
    <w:p w:rsidR="00023EE3" w:rsidRDefault="00023EE3" w:rsidP="00023EE3">
      <w:pPr>
        <w:pStyle w:val="NormalWeb"/>
        <w:numPr>
          <w:ilvl w:val="0"/>
          <w:numId w:val="1"/>
        </w:numPr>
      </w:pPr>
      <w:r>
        <w:t>The seller is acting through a representative whose authority is inadequate.</w:t>
      </w:r>
    </w:p>
    <w:p w:rsidR="00023EE3" w:rsidRDefault="00023EE3" w:rsidP="00023EE3">
      <w:pPr>
        <w:pStyle w:val="NormalWeb"/>
        <w:numPr>
          <w:ilvl w:val="0"/>
          <w:numId w:val="1"/>
        </w:numPr>
      </w:pPr>
      <w:r>
        <w:t>The property is affected by litigation or a prohibitory order.</w:t>
      </w:r>
    </w:p>
    <w:p w:rsidR="00023EE3" w:rsidRDefault="00023EE3" w:rsidP="00023EE3">
      <w:pPr>
        <w:pStyle w:val="NormalWeb"/>
        <w:numPr>
          <w:ilvl w:val="0"/>
          <w:numId w:val="1"/>
        </w:numPr>
      </w:pPr>
      <w:r>
        <w:t>Planning, building or land-use approvals are incomplete.</w:t>
      </w:r>
    </w:p>
    <w:p w:rsidR="00023EE3" w:rsidRDefault="00023EE3" w:rsidP="00023EE3">
      <w:pPr>
        <w:pStyle w:val="NormalWeb"/>
        <w:numPr>
          <w:ilvl w:val="0"/>
          <w:numId w:val="1"/>
        </w:numPr>
      </w:pPr>
      <w:r>
        <w:t>The proposed acquisition is restricted by the buyer's legal status or the property's classification.</w:t>
      </w:r>
    </w:p>
    <w:p w:rsidR="00023EE3" w:rsidRDefault="00023EE3" w:rsidP="00023EE3">
      <w:pPr>
        <w:pStyle w:val="NormalWeb"/>
      </w:pPr>
      <w:r>
        <w:t>A thorough review can help identify these risks before the buyer pays a substantial advance or executes a binding agreement.</w:t>
      </w:r>
    </w:p>
    <w:p w:rsidR="00023EE3" w:rsidRDefault="00023EE3" w:rsidP="00023EE3">
      <w:pPr>
        <w:pStyle w:val="NormalWeb"/>
      </w:pPr>
      <w:r>
        <w:t>Due diligence cannot eliminate every risk or guarantee that no undisclosed claim exists. Its purpose is to assess the available evidence, identify material concerns and help the buyer make an informed decision.</w:t>
      </w:r>
    </w:p>
    <w:p w:rsidR="00023EE3" w:rsidRDefault="00023EE3" w:rsidP="00023EE3">
      <w:pPr>
        <w:pStyle w:val="Heading2"/>
      </w:pPr>
      <w:r>
        <w:t>2. Confirm That the Buyer Is Legally Eligible to Acquire the Property</w:t>
      </w:r>
    </w:p>
    <w:p w:rsidR="00023EE3" w:rsidRDefault="00023EE3" w:rsidP="00023EE3">
      <w:pPr>
        <w:pStyle w:val="NormalWeb"/>
      </w:pPr>
      <w:r>
        <w:t>Before examining the seller's title, establish whether the proposed buyer can lawfully acquire the property.</w:t>
      </w:r>
    </w:p>
    <w:p w:rsidR="00023EE3" w:rsidRDefault="00023EE3" w:rsidP="00023EE3">
      <w:pPr>
        <w:pStyle w:val="NormalWeb"/>
      </w:pPr>
      <w:r>
        <w:t>The legal position depends on the buyer's status and the category of property.</w:t>
      </w:r>
    </w:p>
    <w:p w:rsidR="00023EE3" w:rsidRDefault="00023EE3" w:rsidP="00023EE3">
      <w:pPr>
        <w:pStyle w:val="Heading3"/>
      </w:pPr>
      <w:r>
        <w:t>NRI buyers</w:t>
      </w:r>
    </w:p>
    <w:p w:rsidR="00023EE3" w:rsidRDefault="00023EE3" w:rsidP="00023EE3">
      <w:pPr>
        <w:pStyle w:val="NormalWeb"/>
      </w:pPr>
      <w:r>
        <w:t>NRIs may generally acquire eligible residential and commercial property in India, subject to the applicable foreign-exchange regulations and other laws.</w:t>
      </w:r>
    </w:p>
    <w:p w:rsidR="00023EE3" w:rsidRDefault="00023EE3" w:rsidP="00023EE3">
      <w:pPr>
        <w:pStyle w:val="Heading3"/>
      </w:pPr>
      <w:r>
        <w:t>OCI cardholders</w:t>
      </w:r>
    </w:p>
    <w:p w:rsidR="00023EE3" w:rsidRDefault="00023EE3" w:rsidP="00023EE3">
      <w:pPr>
        <w:pStyle w:val="NormalWeb"/>
      </w:pPr>
      <w:r>
        <w:t>OCI cardholders may generally purchase eligible immovable property other than agricultural land, farmhouses and plantation property, subject to the applicable legal framework.</w:t>
      </w:r>
    </w:p>
    <w:p w:rsidR="00023EE3" w:rsidRDefault="00023EE3" w:rsidP="00023EE3">
      <w:pPr>
        <w:pStyle w:val="NormalWeb"/>
      </w:pPr>
      <w:r>
        <w:t>The restrictions affecting agricultural land, farmhouses and plantation property require particular attention. A buyer should not assume that an ordinary residential-property purchase rule applies to every parcel of land.</w:t>
      </w:r>
    </w:p>
    <w:p w:rsidR="00023EE3" w:rsidRDefault="00023EE3" w:rsidP="00023EE3">
      <w:pPr>
        <w:pStyle w:val="Heading3"/>
      </w:pPr>
      <w:r>
        <w:t>Other foreign nationals</w:t>
      </w:r>
    </w:p>
    <w:p w:rsidR="00023EE3" w:rsidRDefault="00023EE3" w:rsidP="00023EE3">
      <w:pPr>
        <w:pStyle w:val="NormalWeb"/>
      </w:pPr>
      <w:r>
        <w:t>A person who is neither an eligible NRI nor an eligible OCI cardholder may be subject to different restrictions. Residence, citizenship and the applicable foreign-exchange rules may affect whether the acquisition is permitted.</w:t>
      </w:r>
    </w:p>
    <w:p w:rsidR="00023EE3" w:rsidRDefault="00023EE3" w:rsidP="00023EE3">
      <w:pPr>
        <w:pStyle w:val="NormalWeb"/>
      </w:pPr>
      <w:r>
        <w:t>Before proceeding, establish:</w:t>
      </w:r>
    </w:p>
    <w:p w:rsidR="00023EE3" w:rsidRDefault="00023EE3" w:rsidP="00023EE3">
      <w:pPr>
        <w:pStyle w:val="NormalWeb"/>
        <w:numPr>
          <w:ilvl w:val="0"/>
          <w:numId w:val="2"/>
        </w:numPr>
      </w:pPr>
      <w:r>
        <w:t>The buyer's citizenship and relevant residential status.</w:t>
      </w:r>
    </w:p>
    <w:p w:rsidR="00023EE3" w:rsidRDefault="00023EE3" w:rsidP="00023EE3">
      <w:pPr>
        <w:pStyle w:val="NormalWeb"/>
        <w:numPr>
          <w:ilvl w:val="0"/>
          <w:numId w:val="2"/>
        </w:numPr>
      </w:pPr>
      <w:r>
        <w:lastRenderedPageBreak/>
        <w:t>The legal category under which the buyer proposes to acquire the property.</w:t>
      </w:r>
    </w:p>
    <w:p w:rsidR="00023EE3" w:rsidRDefault="00023EE3" w:rsidP="00023EE3">
      <w:pPr>
        <w:pStyle w:val="NormalWeb"/>
        <w:numPr>
          <w:ilvl w:val="0"/>
          <w:numId w:val="2"/>
        </w:numPr>
      </w:pPr>
      <w:r>
        <w:t>Whether the property is residential, commercial, agricultural or another category.</w:t>
      </w:r>
    </w:p>
    <w:p w:rsidR="00023EE3" w:rsidRDefault="00023EE3" w:rsidP="00023EE3">
      <w:pPr>
        <w:pStyle w:val="NormalWeb"/>
        <w:numPr>
          <w:ilvl w:val="0"/>
          <w:numId w:val="2"/>
        </w:numPr>
      </w:pPr>
      <w:r>
        <w:t>Whether any special permission or restriction applies.</w:t>
      </w:r>
    </w:p>
    <w:p w:rsidR="00023EE3" w:rsidRDefault="00023EE3" w:rsidP="00023EE3">
      <w:pPr>
        <w:pStyle w:val="NormalWeb"/>
        <w:numPr>
          <w:ilvl w:val="0"/>
          <w:numId w:val="2"/>
        </w:numPr>
      </w:pPr>
      <w:r>
        <w:t>Whether the payment and remittance arrangements comply with the applicable law.</w:t>
      </w:r>
    </w:p>
    <w:p w:rsidR="00023EE3" w:rsidRDefault="00023EE3" w:rsidP="00023EE3">
      <w:pPr>
        <w:pStyle w:val="NormalWeb"/>
      </w:pPr>
      <w:r>
        <w:t>Eligibility should be checked before the transaction advances to the agreement or payment stage.</w:t>
      </w:r>
    </w:p>
    <w:p w:rsidR="00023EE3" w:rsidRDefault="00023EE3" w:rsidP="00023EE3">
      <w:pPr>
        <w:pStyle w:val="Heading2"/>
      </w:pPr>
      <w:r>
        <w:t>3. Examine the Seller's Title Deeds</w:t>
      </w:r>
    </w:p>
    <w:p w:rsidR="00023EE3" w:rsidRDefault="00023EE3" w:rsidP="00023EE3">
      <w:pPr>
        <w:pStyle w:val="NormalWeb"/>
      </w:pPr>
      <w:r>
        <w:t>The first major step is to identify the document under which the seller claims ownership.</w:t>
      </w:r>
    </w:p>
    <w:p w:rsidR="00023EE3" w:rsidRDefault="00023EE3" w:rsidP="00023EE3">
      <w:pPr>
        <w:pStyle w:val="NormalWeb"/>
      </w:pPr>
      <w:r>
        <w:t>Depending on the circumstances, this may be a registered sale deed, gift deed, settlement deed, partition deed, conveyance, court decree or another legally recognised instrument.</w:t>
      </w:r>
    </w:p>
    <w:p w:rsidR="00023EE3" w:rsidRDefault="00023EE3" w:rsidP="00023EE3">
      <w:pPr>
        <w:pStyle w:val="NormalWeb"/>
      </w:pPr>
      <w:r>
        <w:t>The investigation should not stop at the latest document. The earlier chain of title may need to be examined to determine how the seller acquired the property and whether the earlier transfers were legally effective.</w:t>
      </w:r>
    </w:p>
    <w:p w:rsidR="00023EE3" w:rsidRDefault="00023EE3" w:rsidP="00023EE3">
      <w:pPr>
        <w:pStyle w:val="Heading3"/>
      </w:pPr>
      <w:r>
        <w:t>What should be checked?</w:t>
      </w:r>
    </w:p>
    <w:p w:rsidR="00023EE3" w:rsidRDefault="00023EE3" w:rsidP="00023EE3">
      <w:pPr>
        <w:pStyle w:val="NormalWeb"/>
      </w:pPr>
      <w:r>
        <w:t>The title review should consider:</w:t>
      </w:r>
    </w:p>
    <w:p w:rsidR="00023EE3" w:rsidRDefault="00023EE3" w:rsidP="00023EE3">
      <w:pPr>
        <w:pStyle w:val="NormalWeb"/>
        <w:numPr>
          <w:ilvl w:val="0"/>
          <w:numId w:val="3"/>
        </w:numPr>
      </w:pPr>
      <w:r>
        <w:t>The identity and legal capacity of the parties.</w:t>
      </w:r>
    </w:p>
    <w:p w:rsidR="00023EE3" w:rsidRDefault="00023EE3" w:rsidP="00023EE3">
      <w:pPr>
        <w:pStyle w:val="NormalWeb"/>
        <w:numPr>
          <w:ilvl w:val="0"/>
          <w:numId w:val="3"/>
        </w:numPr>
      </w:pPr>
      <w:r>
        <w:t>The property description and extent.</w:t>
      </w:r>
    </w:p>
    <w:p w:rsidR="00023EE3" w:rsidRDefault="00023EE3" w:rsidP="00023EE3">
      <w:pPr>
        <w:pStyle w:val="NormalWeb"/>
        <w:numPr>
          <w:ilvl w:val="0"/>
          <w:numId w:val="3"/>
        </w:numPr>
      </w:pPr>
      <w:r>
        <w:t>Survey numbers, subdivision numbers and boundaries.</w:t>
      </w:r>
    </w:p>
    <w:p w:rsidR="00023EE3" w:rsidRDefault="00023EE3" w:rsidP="00023EE3">
      <w:pPr>
        <w:pStyle w:val="NormalWeb"/>
        <w:numPr>
          <w:ilvl w:val="0"/>
          <w:numId w:val="3"/>
        </w:numPr>
      </w:pPr>
      <w:r>
        <w:t>The nature of the instrument.</w:t>
      </w:r>
    </w:p>
    <w:p w:rsidR="00023EE3" w:rsidRDefault="00023EE3" w:rsidP="00023EE3">
      <w:pPr>
        <w:pStyle w:val="NormalWeb"/>
        <w:numPr>
          <w:ilvl w:val="0"/>
          <w:numId w:val="3"/>
        </w:numPr>
      </w:pPr>
      <w:r>
        <w:t>Registration particulars, where applicable.</w:t>
      </w:r>
    </w:p>
    <w:p w:rsidR="00023EE3" w:rsidRDefault="00023EE3" w:rsidP="00023EE3">
      <w:pPr>
        <w:pStyle w:val="NormalWeb"/>
        <w:numPr>
          <w:ilvl w:val="0"/>
          <w:numId w:val="3"/>
        </w:numPr>
      </w:pPr>
      <w:r>
        <w:t>The seller's source of title.</w:t>
      </w:r>
    </w:p>
    <w:p w:rsidR="00023EE3" w:rsidRDefault="00023EE3" w:rsidP="00023EE3">
      <w:pPr>
        <w:pStyle w:val="NormalWeb"/>
        <w:numPr>
          <w:ilvl w:val="0"/>
          <w:numId w:val="3"/>
        </w:numPr>
      </w:pPr>
      <w:r>
        <w:t>Any conditions or limitations in the instrument.</w:t>
      </w:r>
    </w:p>
    <w:p w:rsidR="00023EE3" w:rsidRDefault="00023EE3" w:rsidP="00023EE3">
      <w:pPr>
        <w:pStyle w:val="NormalWeb"/>
        <w:numPr>
          <w:ilvl w:val="0"/>
          <w:numId w:val="3"/>
        </w:numPr>
      </w:pPr>
      <w:r>
        <w:t>Whether the deed refers to earlier documents that must also be examined.</w:t>
      </w:r>
    </w:p>
    <w:p w:rsidR="00023EE3" w:rsidRDefault="00023EE3" w:rsidP="00023EE3">
      <w:pPr>
        <w:pStyle w:val="NormalWeb"/>
        <w:numPr>
          <w:ilvl w:val="0"/>
          <w:numId w:val="3"/>
        </w:numPr>
      </w:pPr>
      <w:r>
        <w:t>Whether the property is the same property that the seller proposes to transfer.</w:t>
      </w:r>
    </w:p>
    <w:p w:rsidR="00023EE3" w:rsidRDefault="00023EE3" w:rsidP="00023EE3">
      <w:pPr>
        <w:pStyle w:val="NormalWeb"/>
      </w:pPr>
      <w:r>
        <w:t>A registered document is important evidence, but registration alone should not be treated as conclusive proof that every aspect of the seller's title is free from defects.</w:t>
      </w:r>
    </w:p>
    <w:p w:rsidR="00023EE3" w:rsidRDefault="00023EE3" w:rsidP="00023EE3">
      <w:pPr>
        <w:pStyle w:val="NormalWeb"/>
      </w:pPr>
      <w:r>
        <w:t>The legal effect of the instrument, the earlier ownership history and the applicable law must be considered.</w:t>
      </w:r>
    </w:p>
    <w:p w:rsidR="00023EE3" w:rsidRDefault="00023EE3" w:rsidP="00023EE3">
      <w:pPr>
        <w:pStyle w:val="Heading2"/>
      </w:pPr>
      <w:r>
        <w:t>4. Verify the Chain of Title</w:t>
      </w:r>
    </w:p>
    <w:p w:rsidR="00023EE3" w:rsidRDefault="00023EE3" w:rsidP="00023EE3">
      <w:pPr>
        <w:pStyle w:val="NormalWeb"/>
      </w:pPr>
      <w:r>
        <w:t>A chain-of-title investigation examines the successive ownership documents through which the property passed from one person to another.</w:t>
      </w:r>
    </w:p>
    <w:p w:rsidR="00023EE3" w:rsidRDefault="00023EE3" w:rsidP="00023EE3">
      <w:pPr>
        <w:pStyle w:val="NormalWeb"/>
      </w:pPr>
      <w:r>
        <w:lastRenderedPageBreak/>
        <w:t>The appropriate historical period depends on the property, the nature of the title and the legal requirements relevant to the transaction. A fixed period should not be assumed sufficient for every property.</w:t>
      </w:r>
    </w:p>
    <w:p w:rsidR="00023EE3" w:rsidRDefault="00023EE3" w:rsidP="00023EE3">
      <w:pPr>
        <w:pStyle w:val="NormalWeb"/>
      </w:pPr>
      <w:r>
        <w:t>The investigation may involve reviewing:</w:t>
      </w:r>
    </w:p>
    <w:p w:rsidR="00023EE3" w:rsidRDefault="00023EE3" w:rsidP="00023EE3">
      <w:pPr>
        <w:pStyle w:val="NormalWeb"/>
        <w:numPr>
          <w:ilvl w:val="0"/>
          <w:numId w:val="4"/>
        </w:numPr>
      </w:pPr>
      <w:r>
        <w:t>Earlier sale deeds.</w:t>
      </w:r>
    </w:p>
    <w:p w:rsidR="00023EE3" w:rsidRDefault="00023EE3" w:rsidP="00023EE3">
      <w:pPr>
        <w:pStyle w:val="NormalWeb"/>
        <w:numPr>
          <w:ilvl w:val="0"/>
          <w:numId w:val="4"/>
        </w:numPr>
      </w:pPr>
      <w:r>
        <w:t>Settlement and gift deeds.</w:t>
      </w:r>
    </w:p>
    <w:p w:rsidR="00023EE3" w:rsidRDefault="00023EE3" w:rsidP="00023EE3">
      <w:pPr>
        <w:pStyle w:val="NormalWeb"/>
        <w:numPr>
          <w:ilvl w:val="0"/>
          <w:numId w:val="4"/>
        </w:numPr>
      </w:pPr>
      <w:r>
        <w:t>Partition documents.</w:t>
      </w:r>
    </w:p>
    <w:p w:rsidR="00023EE3" w:rsidRDefault="00023EE3" w:rsidP="00023EE3">
      <w:pPr>
        <w:pStyle w:val="NormalWeb"/>
        <w:numPr>
          <w:ilvl w:val="0"/>
          <w:numId w:val="4"/>
        </w:numPr>
      </w:pPr>
      <w:r>
        <w:t>Inheritance-related records.</w:t>
      </w:r>
    </w:p>
    <w:p w:rsidR="00023EE3" w:rsidRDefault="00023EE3" w:rsidP="00023EE3">
      <w:pPr>
        <w:pStyle w:val="NormalWeb"/>
        <w:numPr>
          <w:ilvl w:val="0"/>
          <w:numId w:val="4"/>
        </w:numPr>
      </w:pPr>
      <w:r>
        <w:t>Court decrees affecting ownership.</w:t>
      </w:r>
    </w:p>
    <w:p w:rsidR="00023EE3" w:rsidRDefault="00023EE3" w:rsidP="00023EE3">
      <w:pPr>
        <w:pStyle w:val="NormalWeb"/>
        <w:numPr>
          <w:ilvl w:val="0"/>
          <w:numId w:val="4"/>
        </w:numPr>
      </w:pPr>
      <w:r>
        <w:t>Previous conveyances or transfers.</w:t>
      </w:r>
    </w:p>
    <w:p w:rsidR="00023EE3" w:rsidRDefault="00023EE3" w:rsidP="00023EE3">
      <w:pPr>
        <w:pStyle w:val="NormalWeb"/>
        <w:numPr>
          <w:ilvl w:val="0"/>
          <w:numId w:val="4"/>
        </w:numPr>
      </w:pPr>
      <w:r>
        <w:t>Relevant historical revenue records.</w:t>
      </w:r>
    </w:p>
    <w:p w:rsidR="00023EE3" w:rsidRDefault="00023EE3" w:rsidP="00023EE3">
      <w:pPr>
        <w:pStyle w:val="NormalWeb"/>
        <w:numPr>
          <w:ilvl w:val="0"/>
          <w:numId w:val="4"/>
        </w:numPr>
      </w:pPr>
      <w:r>
        <w:t>Documents establishing the identity and authority of previous owners.</w:t>
      </w:r>
    </w:p>
    <w:p w:rsidR="00023EE3" w:rsidRDefault="00023EE3" w:rsidP="00023EE3">
      <w:pPr>
        <w:pStyle w:val="Heading3"/>
      </w:pPr>
      <w:r>
        <w:t>Why earlier documents matter</w:t>
      </w:r>
    </w:p>
    <w:p w:rsidR="00023EE3" w:rsidRDefault="00023EE3" w:rsidP="00023EE3">
      <w:pPr>
        <w:pStyle w:val="NormalWeb"/>
      </w:pPr>
      <w:r>
        <w:t>Suppose a seller relies on a recent sale deed but the earlier title came through an inheritance in which several heirs may have held rights.</w:t>
      </w:r>
    </w:p>
    <w:p w:rsidR="00023EE3" w:rsidRDefault="00023EE3" w:rsidP="00023EE3">
      <w:pPr>
        <w:pStyle w:val="NormalWeb"/>
      </w:pPr>
      <w:r>
        <w:t>The recent deed cannot be assessed in isolation. The investigation should determine whether the person who executed it was entitled to transfer the interest described in the deed.</w:t>
      </w:r>
    </w:p>
    <w:p w:rsidR="00023EE3" w:rsidRDefault="00023EE3" w:rsidP="00023EE3">
      <w:pPr>
        <w:pStyle w:val="NormalWeb"/>
      </w:pPr>
      <w:r>
        <w:t>Similarly, if the property was transferred under a partition or settlement, the document should be examined to determine which parcel or share was allotted to the seller.</w:t>
      </w:r>
    </w:p>
    <w:p w:rsidR="00023EE3" w:rsidRDefault="00023EE3" w:rsidP="00023EE3">
      <w:pPr>
        <w:pStyle w:val="NormalWeb"/>
      </w:pPr>
      <w:r>
        <w:t>If an earlier document contains an unresolved defect, the buyer should obtain legal advice before proceeding.</w:t>
      </w:r>
    </w:p>
    <w:p w:rsidR="00023EE3" w:rsidRDefault="00023EE3" w:rsidP="00023EE3">
      <w:pPr>
        <w:pStyle w:val="Heading2"/>
      </w:pPr>
      <w:r>
        <w:t>5. Obtain and Review the Encumbrance Certificate</w:t>
      </w:r>
    </w:p>
    <w:p w:rsidR="00023EE3" w:rsidRDefault="00023EE3" w:rsidP="00023EE3">
      <w:pPr>
        <w:pStyle w:val="NormalWeb"/>
      </w:pPr>
      <w:r>
        <w:t>An Encumbrance Certificate (EC) is an important part of property due diligence. It is issued through the relevant registration system and records specified registered transactions or encumbrances reflected in the available records for the property and period searched.</w:t>
      </w:r>
    </w:p>
    <w:p w:rsidR="00023EE3" w:rsidRDefault="00023EE3" w:rsidP="00023EE3">
      <w:pPr>
        <w:pStyle w:val="NormalWeb"/>
      </w:pPr>
      <w:r>
        <w:t>However, an EC should not be treated as a complete certificate of title.</w:t>
      </w:r>
    </w:p>
    <w:p w:rsidR="00023EE3" w:rsidRDefault="00023EE3" w:rsidP="00023EE3">
      <w:pPr>
        <w:pStyle w:val="NormalWeb"/>
      </w:pPr>
      <w:r>
        <w:t>The result depends on factors such as:</w:t>
      </w:r>
    </w:p>
    <w:p w:rsidR="00023EE3" w:rsidRDefault="00023EE3" w:rsidP="00023EE3">
      <w:pPr>
        <w:pStyle w:val="NormalWeb"/>
        <w:numPr>
          <w:ilvl w:val="0"/>
          <w:numId w:val="5"/>
        </w:numPr>
      </w:pPr>
      <w:r>
        <w:t>The period requested.</w:t>
      </w:r>
    </w:p>
    <w:p w:rsidR="00023EE3" w:rsidRDefault="00023EE3" w:rsidP="00023EE3">
      <w:pPr>
        <w:pStyle w:val="NormalWeb"/>
        <w:numPr>
          <w:ilvl w:val="0"/>
          <w:numId w:val="5"/>
        </w:numPr>
      </w:pPr>
      <w:r>
        <w:t>The property identifiers supplied.</w:t>
      </w:r>
    </w:p>
    <w:p w:rsidR="00023EE3" w:rsidRDefault="00023EE3" w:rsidP="00023EE3">
      <w:pPr>
        <w:pStyle w:val="NormalWeb"/>
        <w:numPr>
          <w:ilvl w:val="0"/>
          <w:numId w:val="5"/>
        </w:numPr>
      </w:pPr>
      <w:r>
        <w:t>The registration records searched.</w:t>
      </w:r>
    </w:p>
    <w:p w:rsidR="00023EE3" w:rsidRDefault="00023EE3" w:rsidP="00023EE3">
      <w:pPr>
        <w:pStyle w:val="NormalWeb"/>
        <w:numPr>
          <w:ilvl w:val="0"/>
          <w:numId w:val="5"/>
        </w:numPr>
      </w:pPr>
      <w:r>
        <w:t>The accuracy of the property description.</w:t>
      </w:r>
    </w:p>
    <w:p w:rsidR="00023EE3" w:rsidRDefault="00023EE3" w:rsidP="00023EE3">
      <w:pPr>
        <w:pStyle w:val="NormalWeb"/>
        <w:numPr>
          <w:ilvl w:val="0"/>
          <w:numId w:val="5"/>
        </w:numPr>
      </w:pPr>
      <w:r>
        <w:t>The transactions recorded in the relevant system.</w:t>
      </w:r>
    </w:p>
    <w:p w:rsidR="00023EE3" w:rsidRDefault="00023EE3" w:rsidP="00023EE3">
      <w:pPr>
        <w:pStyle w:val="NormalWeb"/>
        <w:numPr>
          <w:ilvl w:val="0"/>
          <w:numId w:val="5"/>
        </w:numPr>
      </w:pPr>
      <w:r>
        <w:t>The scope and limitations of the certificate.</w:t>
      </w:r>
    </w:p>
    <w:p w:rsidR="00023EE3" w:rsidRDefault="00023EE3" w:rsidP="00023EE3">
      <w:pPr>
        <w:pStyle w:val="NormalWeb"/>
      </w:pPr>
      <w:r>
        <w:lastRenderedPageBreak/>
        <w:t>An EC may not reveal every possible legal risk. For example, an unregistered claim, certain disputes, possession issues, errors in historical records or other matters outside the searched records may require separate investigation.</w:t>
      </w:r>
    </w:p>
    <w:p w:rsidR="00023EE3" w:rsidRDefault="00023EE3" w:rsidP="00023EE3">
      <w:pPr>
        <w:pStyle w:val="Heading3"/>
      </w:pPr>
      <w:r>
        <w:t>How should the EC be checked?</w:t>
      </w:r>
    </w:p>
    <w:p w:rsidR="00023EE3" w:rsidRDefault="00023EE3" w:rsidP="00023EE3">
      <w:pPr>
        <w:pStyle w:val="NormalWeb"/>
      </w:pPr>
      <w:r>
        <w:t>The buyer should verify:</w:t>
      </w:r>
    </w:p>
    <w:p w:rsidR="00023EE3" w:rsidRDefault="00023EE3" w:rsidP="00023EE3">
      <w:pPr>
        <w:pStyle w:val="NormalWeb"/>
        <w:numPr>
          <w:ilvl w:val="0"/>
          <w:numId w:val="6"/>
        </w:numPr>
      </w:pPr>
      <w:r>
        <w:t>That the survey numbers, subdivision numbers or other identifiers are accurate.</w:t>
      </w:r>
    </w:p>
    <w:p w:rsidR="00023EE3" w:rsidRDefault="00023EE3" w:rsidP="00023EE3">
      <w:pPr>
        <w:pStyle w:val="NormalWeb"/>
        <w:numPr>
          <w:ilvl w:val="0"/>
          <w:numId w:val="6"/>
        </w:numPr>
      </w:pPr>
      <w:r>
        <w:t>That the EC covers an appropriate period for the title investigation.</w:t>
      </w:r>
    </w:p>
    <w:p w:rsidR="00023EE3" w:rsidRDefault="00023EE3" w:rsidP="00023EE3">
      <w:pPr>
        <w:pStyle w:val="NormalWeb"/>
        <w:numPr>
          <w:ilvl w:val="0"/>
          <w:numId w:val="6"/>
        </w:numPr>
      </w:pPr>
      <w:r>
        <w:t>That the property description corresponds with the title documents.</w:t>
      </w:r>
    </w:p>
    <w:p w:rsidR="00023EE3" w:rsidRDefault="00023EE3" w:rsidP="00023EE3">
      <w:pPr>
        <w:pStyle w:val="NormalWeb"/>
        <w:numPr>
          <w:ilvl w:val="0"/>
          <w:numId w:val="6"/>
        </w:numPr>
      </w:pPr>
      <w:r>
        <w:t>That entries in the EC are consistent with the deeds supplied.</w:t>
      </w:r>
    </w:p>
    <w:p w:rsidR="00023EE3" w:rsidRDefault="00023EE3" w:rsidP="00023EE3">
      <w:pPr>
        <w:pStyle w:val="NormalWeb"/>
        <w:numPr>
          <w:ilvl w:val="0"/>
          <w:numId w:val="6"/>
        </w:numPr>
      </w:pPr>
      <w:r>
        <w:t>That any mortgage, release, transfer or other recorded entry is understood.</w:t>
      </w:r>
    </w:p>
    <w:p w:rsidR="00023EE3" w:rsidRDefault="00023EE3" w:rsidP="00023EE3">
      <w:pPr>
        <w:pStyle w:val="NormalWeb"/>
        <w:numPr>
          <w:ilvl w:val="0"/>
          <w:numId w:val="6"/>
        </w:numPr>
      </w:pPr>
      <w:r>
        <w:t>Whether additional searches or documents are needed to investigate identified concerns.</w:t>
      </w:r>
    </w:p>
    <w:p w:rsidR="00023EE3" w:rsidRDefault="00023EE3" w:rsidP="00023EE3">
      <w:pPr>
        <w:pStyle w:val="NormalWeb"/>
      </w:pPr>
      <w:r>
        <w:t>If the EC reveals an unexplained transaction, obtain the underlying registered document where available and assess its legal effect.</w:t>
      </w:r>
    </w:p>
    <w:p w:rsidR="00023EE3" w:rsidRDefault="00023EE3" w:rsidP="00023EE3">
      <w:pPr>
        <w:pStyle w:val="NormalWeb"/>
      </w:pPr>
      <w:r>
        <w:t>A certificate showing no recorded encumbrance should not, by itself, be described as proof that the property has an absolutely clear title.</w:t>
      </w:r>
    </w:p>
    <w:p w:rsidR="00023EE3" w:rsidRDefault="00023EE3" w:rsidP="00023EE3">
      <w:pPr>
        <w:pStyle w:val="Heading2"/>
      </w:pPr>
      <w:r>
        <w:t>6. Verify Patta and Other Revenue Records</w:t>
      </w:r>
    </w:p>
    <w:p w:rsidR="00023EE3" w:rsidRDefault="00023EE3" w:rsidP="00023EE3">
      <w:pPr>
        <w:pStyle w:val="NormalWeb"/>
      </w:pPr>
      <w:r>
        <w:t>In Tamil Nadu, buyers may need to review revenue records such as patta, chitta, adangal, the A-Register and relevant survey records, depending on the property.</w:t>
      </w:r>
    </w:p>
    <w:p w:rsidR="00023EE3" w:rsidRDefault="00023EE3" w:rsidP="00023EE3">
      <w:pPr>
        <w:pStyle w:val="NormalWeb"/>
      </w:pPr>
      <w:r>
        <w:t>These records can provide useful information about the land, its classification, the recorded holder and related revenue particulars.</w:t>
      </w:r>
    </w:p>
    <w:p w:rsidR="00023EE3" w:rsidRDefault="00023EE3" w:rsidP="00023EE3">
      <w:pPr>
        <w:pStyle w:val="NormalWeb"/>
      </w:pPr>
      <w:r>
        <w:t xml:space="preserve">However, </w:t>
      </w:r>
      <w:r>
        <w:rPr>
          <w:rStyle w:val="Strong"/>
        </w:rPr>
        <w:t>revenue records and title documents serve different legal purposes</w:t>
      </w:r>
      <w:r>
        <w:t>.</w:t>
      </w:r>
    </w:p>
    <w:p w:rsidR="00023EE3" w:rsidRDefault="00023EE3" w:rsidP="00023EE3">
      <w:pPr>
        <w:pStyle w:val="NormalWeb"/>
      </w:pPr>
      <w:r>
        <w:t>A patta or similar record should not automatically be treated as conclusive proof of ownership. The underlying title deeds, succession documents, transfers and other relevant evidence must also be examined.</w:t>
      </w:r>
    </w:p>
    <w:p w:rsidR="00023EE3" w:rsidRDefault="00023EE3" w:rsidP="00023EE3">
      <w:pPr>
        <w:pStyle w:val="Heading3"/>
      </w:pPr>
      <w:r>
        <w:t>What should be checked?</w:t>
      </w:r>
    </w:p>
    <w:p w:rsidR="00023EE3" w:rsidRDefault="00023EE3" w:rsidP="00023EE3">
      <w:pPr>
        <w:pStyle w:val="NormalWeb"/>
      </w:pPr>
      <w:r>
        <w:t>Depending on the property, the investigation may include:</w:t>
      </w:r>
    </w:p>
    <w:p w:rsidR="00023EE3" w:rsidRDefault="00023EE3" w:rsidP="00023EE3">
      <w:pPr>
        <w:pStyle w:val="NormalWeb"/>
        <w:numPr>
          <w:ilvl w:val="0"/>
          <w:numId w:val="7"/>
        </w:numPr>
      </w:pPr>
      <w:r>
        <w:t>Whether the survey and subdivision numbers match.</w:t>
      </w:r>
    </w:p>
    <w:p w:rsidR="00023EE3" w:rsidRDefault="00023EE3" w:rsidP="00023EE3">
      <w:pPr>
        <w:pStyle w:val="NormalWeb"/>
        <w:numPr>
          <w:ilvl w:val="0"/>
          <w:numId w:val="7"/>
        </w:numPr>
      </w:pPr>
      <w:r>
        <w:t>Whether the recorded extent is consistent with the title deeds.</w:t>
      </w:r>
    </w:p>
    <w:p w:rsidR="00023EE3" w:rsidRDefault="00023EE3" w:rsidP="00023EE3">
      <w:pPr>
        <w:pStyle w:val="NormalWeb"/>
        <w:numPr>
          <w:ilvl w:val="0"/>
          <w:numId w:val="7"/>
        </w:numPr>
      </w:pPr>
      <w:r>
        <w:t>Whether the land classification requires further investigation.</w:t>
      </w:r>
    </w:p>
    <w:p w:rsidR="00023EE3" w:rsidRDefault="00023EE3" w:rsidP="00023EE3">
      <w:pPr>
        <w:pStyle w:val="NormalWeb"/>
        <w:numPr>
          <w:ilvl w:val="0"/>
          <w:numId w:val="7"/>
        </w:numPr>
      </w:pPr>
      <w:r>
        <w:t>Whether the revenue records identify the expected person.</w:t>
      </w:r>
    </w:p>
    <w:p w:rsidR="00023EE3" w:rsidRDefault="00023EE3" w:rsidP="00023EE3">
      <w:pPr>
        <w:pStyle w:val="NormalWeb"/>
        <w:numPr>
          <w:ilvl w:val="0"/>
          <w:numId w:val="7"/>
        </w:numPr>
      </w:pPr>
      <w:r>
        <w:t>Whether there are unexplained discrepancies or recent changes.</w:t>
      </w:r>
    </w:p>
    <w:p w:rsidR="00023EE3" w:rsidRDefault="00023EE3" w:rsidP="00023EE3">
      <w:pPr>
        <w:pStyle w:val="NormalWeb"/>
        <w:numPr>
          <w:ilvl w:val="0"/>
          <w:numId w:val="7"/>
        </w:numPr>
      </w:pPr>
      <w:r>
        <w:t>Whether the property includes a pathway, common area or other shared feature.</w:t>
      </w:r>
    </w:p>
    <w:p w:rsidR="00023EE3" w:rsidRDefault="00023EE3" w:rsidP="00023EE3">
      <w:pPr>
        <w:pStyle w:val="NormalWeb"/>
        <w:numPr>
          <w:ilvl w:val="0"/>
          <w:numId w:val="7"/>
        </w:numPr>
      </w:pPr>
      <w:r>
        <w:t>Whether a survey or boundary verification is needed.</w:t>
      </w:r>
    </w:p>
    <w:p w:rsidR="00023EE3" w:rsidRDefault="00023EE3" w:rsidP="00023EE3">
      <w:pPr>
        <w:pStyle w:val="NormalWeb"/>
      </w:pPr>
      <w:r>
        <w:lastRenderedPageBreak/>
        <w:t>Where the property is in Tamil Nadu, the buyer can consult the state's official land-record services and the relevant revenue or survey authority.</w:t>
      </w:r>
    </w:p>
    <w:p w:rsidR="00023EE3" w:rsidRDefault="00023EE3" w:rsidP="00023EE3">
      <w:pPr>
        <w:pStyle w:val="NormalWeb"/>
      </w:pPr>
      <w:r>
        <w:t xml:space="preserve">Official reference: </w:t>
      </w:r>
      <w:hyperlink r:id="rId7" w:history="1">
        <w:r>
          <w:rPr>
            <w:rStyle w:val="Hyperlink"/>
          </w:rPr>
          <w:t>Tamil Nadu land e-Services</w:t>
        </w:r>
      </w:hyperlink>
      <w:r>
        <w:t>.</w:t>
      </w:r>
    </w:p>
    <w:p w:rsidR="00023EE3" w:rsidRDefault="00023EE3" w:rsidP="00023EE3">
      <w:pPr>
        <w:pStyle w:val="NormalWeb"/>
      </w:pPr>
      <w:r>
        <w:t>If a discrepancy is discovered, it should be investigated rather than dismissed on the assumption that the records can easily be corrected after purchase.</w:t>
      </w:r>
    </w:p>
    <w:p w:rsidR="00023EE3" w:rsidRDefault="00023EE3" w:rsidP="00023EE3">
      <w:pPr>
        <w:pStyle w:val="Heading2"/>
      </w:pPr>
      <w:r>
        <w:t>7. Check Land Classification and Permitted Use</w:t>
      </w:r>
    </w:p>
    <w:p w:rsidR="00023EE3" w:rsidRDefault="00023EE3" w:rsidP="00023EE3">
      <w:pPr>
        <w:pStyle w:val="NormalWeb"/>
      </w:pPr>
      <w:r>
        <w:t>The legal classification of land can affect whether it may be acquired, developed or used for the buyer's intended purpose.</w:t>
      </w:r>
    </w:p>
    <w:p w:rsidR="00023EE3" w:rsidRDefault="00023EE3" w:rsidP="00023EE3">
      <w:pPr>
        <w:pStyle w:val="NormalWeb"/>
      </w:pPr>
      <w:r>
        <w:t>For an overseas buyer, this check is particularly important because OCI and NRI property rights do not apply identically to every category of immovable property.</w:t>
      </w:r>
    </w:p>
    <w:p w:rsidR="00023EE3" w:rsidRDefault="00023EE3" w:rsidP="00023EE3">
      <w:pPr>
        <w:pStyle w:val="NormalWeb"/>
      </w:pPr>
      <w:r>
        <w:t>The investigation should determine:</w:t>
      </w:r>
    </w:p>
    <w:p w:rsidR="00023EE3" w:rsidRDefault="00023EE3" w:rsidP="00023EE3">
      <w:pPr>
        <w:pStyle w:val="NormalWeb"/>
        <w:numPr>
          <w:ilvl w:val="0"/>
          <w:numId w:val="8"/>
        </w:numPr>
      </w:pPr>
      <w:r>
        <w:t>Whether the property is agricultural or non-agricultural.</w:t>
      </w:r>
    </w:p>
    <w:p w:rsidR="00023EE3" w:rsidRDefault="00023EE3" w:rsidP="00023EE3">
      <w:pPr>
        <w:pStyle w:val="NormalWeb"/>
        <w:numPr>
          <w:ilvl w:val="0"/>
          <w:numId w:val="8"/>
        </w:numPr>
      </w:pPr>
      <w:r>
        <w:t>Whether the relevant revenue records identify a restricted or special classification.</w:t>
      </w:r>
    </w:p>
    <w:p w:rsidR="00023EE3" w:rsidRDefault="00023EE3" w:rsidP="00023EE3">
      <w:pPr>
        <w:pStyle w:val="NormalWeb"/>
        <w:numPr>
          <w:ilvl w:val="0"/>
          <w:numId w:val="8"/>
        </w:numPr>
      </w:pPr>
      <w:r>
        <w:t>Whether conversion or land-use permission is required.</w:t>
      </w:r>
    </w:p>
    <w:p w:rsidR="00023EE3" w:rsidRDefault="00023EE3" w:rsidP="00023EE3">
      <w:pPr>
        <w:pStyle w:val="NormalWeb"/>
        <w:numPr>
          <w:ilvl w:val="0"/>
          <w:numId w:val="8"/>
        </w:numPr>
      </w:pPr>
      <w:r>
        <w:t>Whether planning restrictions affect the proposed use.</w:t>
      </w:r>
    </w:p>
    <w:p w:rsidR="00023EE3" w:rsidRDefault="00023EE3" w:rsidP="00023EE3">
      <w:pPr>
        <w:pStyle w:val="NormalWeb"/>
        <w:numPr>
          <w:ilvl w:val="0"/>
          <w:numId w:val="8"/>
        </w:numPr>
      </w:pPr>
      <w:r>
        <w:t>Whether the property is within a regulated or restricted area.</w:t>
      </w:r>
    </w:p>
    <w:p w:rsidR="00023EE3" w:rsidRDefault="00023EE3" w:rsidP="00023EE3">
      <w:pPr>
        <w:pStyle w:val="NormalWeb"/>
        <w:numPr>
          <w:ilvl w:val="0"/>
          <w:numId w:val="8"/>
        </w:numPr>
      </w:pPr>
      <w:r>
        <w:t>Whether any special state law affects ownership or transfer.</w:t>
      </w:r>
    </w:p>
    <w:p w:rsidR="00023EE3" w:rsidRDefault="00023EE3" w:rsidP="00023EE3">
      <w:pPr>
        <w:pStyle w:val="NormalWeb"/>
      </w:pPr>
      <w:r>
        <w:t>A seller's description of land as a residential plot is not sufficient if the official records or applicable planning rules indicate otherwise.</w:t>
      </w:r>
    </w:p>
    <w:p w:rsidR="00023EE3" w:rsidRDefault="00023EE3" w:rsidP="00023EE3">
      <w:pPr>
        <w:pStyle w:val="NormalWeb"/>
      </w:pPr>
      <w:r>
        <w:t>If the buyer intends to build a house, commercial premises or another structure, the relevant planning and building requirements should be examined separately.</w:t>
      </w:r>
    </w:p>
    <w:p w:rsidR="00023EE3" w:rsidRDefault="00023EE3" w:rsidP="00023EE3">
      <w:pPr>
        <w:pStyle w:val="Heading2"/>
      </w:pPr>
      <w:r>
        <w:t>8. Check for Litigation and Competing Claims</w:t>
      </w:r>
    </w:p>
    <w:p w:rsidR="00023EE3" w:rsidRDefault="00023EE3" w:rsidP="00023EE3">
      <w:pPr>
        <w:pStyle w:val="NormalWeb"/>
      </w:pPr>
      <w:r>
        <w:t>Property may be affected by pending litigation, injunctions, attachments or other legal proceedings.</w:t>
      </w:r>
    </w:p>
    <w:p w:rsidR="00023EE3" w:rsidRDefault="00023EE3" w:rsidP="00023EE3">
      <w:pPr>
        <w:pStyle w:val="NormalWeb"/>
      </w:pPr>
      <w:r>
        <w:t>The investigation should identify known disputes that could affect the seller's ownership, possession or ability to complete the proposed transaction.</w:t>
      </w:r>
    </w:p>
    <w:p w:rsidR="00023EE3" w:rsidRDefault="00023EE3" w:rsidP="00023EE3">
      <w:pPr>
        <w:pStyle w:val="NormalWeb"/>
      </w:pPr>
      <w:r>
        <w:t>Potential issues include:</w:t>
      </w:r>
    </w:p>
    <w:p w:rsidR="00023EE3" w:rsidRDefault="00023EE3" w:rsidP="00023EE3">
      <w:pPr>
        <w:pStyle w:val="NormalWeb"/>
        <w:numPr>
          <w:ilvl w:val="0"/>
          <w:numId w:val="9"/>
        </w:numPr>
      </w:pPr>
      <w:r>
        <w:t>Partition suits among family members.</w:t>
      </w:r>
    </w:p>
    <w:p w:rsidR="00023EE3" w:rsidRDefault="00023EE3" w:rsidP="00023EE3">
      <w:pPr>
        <w:pStyle w:val="NormalWeb"/>
        <w:numPr>
          <w:ilvl w:val="0"/>
          <w:numId w:val="9"/>
        </w:numPr>
      </w:pPr>
      <w:r>
        <w:t>Claims under a will.</w:t>
      </w:r>
    </w:p>
    <w:p w:rsidR="00023EE3" w:rsidRDefault="00023EE3" w:rsidP="00023EE3">
      <w:pPr>
        <w:pStyle w:val="NormalWeb"/>
        <w:numPr>
          <w:ilvl w:val="0"/>
          <w:numId w:val="9"/>
        </w:numPr>
      </w:pPr>
      <w:r>
        <w:t>Disputes over inheritance or legal-heir status.</w:t>
      </w:r>
    </w:p>
    <w:p w:rsidR="00023EE3" w:rsidRDefault="00023EE3" w:rsidP="00023EE3">
      <w:pPr>
        <w:pStyle w:val="NormalWeb"/>
        <w:numPr>
          <w:ilvl w:val="0"/>
          <w:numId w:val="9"/>
        </w:numPr>
      </w:pPr>
      <w:r>
        <w:t>Mortgage recovery proceedings.</w:t>
      </w:r>
    </w:p>
    <w:p w:rsidR="00023EE3" w:rsidRDefault="00023EE3" w:rsidP="00023EE3">
      <w:pPr>
        <w:pStyle w:val="NormalWeb"/>
        <w:numPr>
          <w:ilvl w:val="0"/>
          <w:numId w:val="9"/>
        </w:numPr>
      </w:pPr>
      <w:r>
        <w:lastRenderedPageBreak/>
        <w:t>Injunctions restricting sale or transfer.</w:t>
      </w:r>
    </w:p>
    <w:p w:rsidR="00023EE3" w:rsidRDefault="00023EE3" w:rsidP="00023EE3">
      <w:pPr>
        <w:pStyle w:val="NormalWeb"/>
        <w:numPr>
          <w:ilvl w:val="0"/>
          <w:numId w:val="9"/>
        </w:numPr>
      </w:pPr>
      <w:r>
        <w:t>Disputes concerning boundaries or possession.</w:t>
      </w:r>
    </w:p>
    <w:p w:rsidR="00023EE3" w:rsidRDefault="00023EE3" w:rsidP="00023EE3">
      <w:pPr>
        <w:pStyle w:val="NormalWeb"/>
        <w:numPr>
          <w:ilvl w:val="0"/>
          <w:numId w:val="9"/>
        </w:numPr>
      </w:pPr>
      <w:r>
        <w:t>Proceedings concerning acquisition or other statutory restrictions.</w:t>
      </w:r>
    </w:p>
    <w:p w:rsidR="00023EE3" w:rsidRDefault="00023EE3" w:rsidP="00023EE3">
      <w:pPr>
        <w:pStyle w:val="NormalWeb"/>
        <w:numPr>
          <w:ilvl w:val="0"/>
          <w:numId w:val="9"/>
        </w:numPr>
      </w:pPr>
      <w:r>
        <w:t>Claims by tenants, occupants or other persons.</w:t>
      </w:r>
    </w:p>
    <w:p w:rsidR="00023EE3" w:rsidRDefault="00023EE3" w:rsidP="00023EE3">
      <w:pPr>
        <w:pStyle w:val="NormalWeb"/>
      </w:pPr>
      <w:r>
        <w:t>The precise search depends on the property and the available information. A review of court records may be necessary where the title history, seller's disclosures or other documents indicate a potential dispute.</w:t>
      </w:r>
    </w:p>
    <w:p w:rsidR="00023EE3" w:rsidRDefault="00023EE3" w:rsidP="00023EE3">
      <w:pPr>
        <w:pStyle w:val="NormalWeb"/>
      </w:pPr>
      <w:r>
        <w:t>A statement from the seller that there is no litigation should not replace independent investigation where a material risk has been identified.</w:t>
      </w:r>
    </w:p>
    <w:p w:rsidR="00023EE3" w:rsidRDefault="00023EE3" w:rsidP="00023EE3">
      <w:pPr>
        <w:pStyle w:val="NormalWeb"/>
      </w:pPr>
      <w:r>
        <w:t>If proceedings exist, the buyer should examine the relevant pleadings and orders and obtain legal advice on their effect before deciding whether to proceed.</w:t>
      </w:r>
    </w:p>
    <w:p w:rsidR="00023EE3" w:rsidRDefault="00023EE3" w:rsidP="00023EE3">
      <w:pPr>
        <w:pStyle w:val="Heading2"/>
      </w:pPr>
      <w:r>
        <w:t>9. Verify the Seller's Identity and Authority</w:t>
      </w:r>
    </w:p>
    <w:p w:rsidR="00023EE3" w:rsidRDefault="00023EE3" w:rsidP="00023EE3">
      <w:pPr>
        <w:pStyle w:val="NormalWeb"/>
      </w:pPr>
      <w:r>
        <w:t>The buyer should establish that the person executing the transaction is legally entitled to transfer the property.</w:t>
      </w:r>
    </w:p>
    <w:p w:rsidR="00023EE3" w:rsidRDefault="00023EE3" w:rsidP="00023EE3">
      <w:pPr>
        <w:pStyle w:val="NormalWeb"/>
      </w:pPr>
      <w:r>
        <w:t>This is especially important where the seller is:</w:t>
      </w:r>
    </w:p>
    <w:p w:rsidR="00023EE3" w:rsidRDefault="00023EE3" w:rsidP="00023EE3">
      <w:pPr>
        <w:pStyle w:val="NormalWeb"/>
        <w:numPr>
          <w:ilvl w:val="0"/>
          <w:numId w:val="10"/>
        </w:numPr>
      </w:pPr>
      <w:r>
        <w:t>An heir of a deceased owner.</w:t>
      </w:r>
    </w:p>
    <w:p w:rsidR="00023EE3" w:rsidRDefault="00023EE3" w:rsidP="00023EE3">
      <w:pPr>
        <w:pStyle w:val="NormalWeb"/>
        <w:numPr>
          <w:ilvl w:val="0"/>
          <w:numId w:val="10"/>
        </w:numPr>
      </w:pPr>
      <w:r>
        <w:t>One of several co-owners.</w:t>
      </w:r>
    </w:p>
    <w:p w:rsidR="00023EE3" w:rsidRDefault="00023EE3" w:rsidP="00023EE3">
      <w:pPr>
        <w:pStyle w:val="NormalWeb"/>
        <w:numPr>
          <w:ilvl w:val="0"/>
          <w:numId w:val="10"/>
        </w:numPr>
      </w:pPr>
      <w:r>
        <w:t>A person acting under a power of attorney.</w:t>
      </w:r>
    </w:p>
    <w:p w:rsidR="00023EE3" w:rsidRDefault="00023EE3" w:rsidP="00023EE3">
      <w:pPr>
        <w:pStyle w:val="NormalWeb"/>
        <w:numPr>
          <w:ilvl w:val="0"/>
          <w:numId w:val="10"/>
        </w:numPr>
      </w:pPr>
      <w:r>
        <w:t>A company or other legal entity.</w:t>
      </w:r>
    </w:p>
    <w:p w:rsidR="00023EE3" w:rsidRDefault="00023EE3" w:rsidP="00023EE3">
      <w:pPr>
        <w:pStyle w:val="NormalWeb"/>
        <w:numPr>
          <w:ilvl w:val="0"/>
          <w:numId w:val="10"/>
        </w:numPr>
      </w:pPr>
      <w:r>
        <w:t>A guardian or representative.</w:t>
      </w:r>
    </w:p>
    <w:p w:rsidR="00023EE3" w:rsidRDefault="00023EE3" w:rsidP="00023EE3">
      <w:pPr>
        <w:pStyle w:val="NormalWeb"/>
        <w:numPr>
          <w:ilvl w:val="0"/>
          <w:numId w:val="10"/>
        </w:numPr>
      </w:pPr>
      <w:r>
        <w:t>A party to a partition or settlement.</w:t>
      </w:r>
    </w:p>
    <w:p w:rsidR="00023EE3" w:rsidRDefault="00023EE3" w:rsidP="00023EE3">
      <w:pPr>
        <w:pStyle w:val="NormalWeb"/>
        <w:numPr>
          <w:ilvl w:val="0"/>
          <w:numId w:val="10"/>
        </w:numPr>
      </w:pPr>
      <w:r>
        <w:t>A person claiming ownership through a court order.</w:t>
      </w:r>
    </w:p>
    <w:p w:rsidR="00023EE3" w:rsidRDefault="00023EE3" w:rsidP="00023EE3">
      <w:pPr>
        <w:pStyle w:val="Heading3"/>
      </w:pPr>
      <w:r>
        <w:t>If the property is inherited</w:t>
      </w:r>
    </w:p>
    <w:p w:rsidR="00023EE3" w:rsidRDefault="00023EE3" w:rsidP="00023EE3">
      <w:pPr>
        <w:pStyle w:val="NormalWeb"/>
      </w:pPr>
      <w:r>
        <w:t>Review the death certificate, will if any, relevant succession documents and the rights of other heirs.</w:t>
      </w:r>
    </w:p>
    <w:p w:rsidR="00023EE3" w:rsidRDefault="00023EE3" w:rsidP="00023EE3">
      <w:pPr>
        <w:pStyle w:val="NormalWeb"/>
      </w:pPr>
      <w:r>
        <w:t>The fact that a person is a legal heir does not necessarily mean that they alone own the entire property.</w:t>
      </w:r>
    </w:p>
    <w:p w:rsidR="00023EE3" w:rsidRDefault="00023EE3" w:rsidP="00023EE3">
      <w:pPr>
        <w:pStyle w:val="Heading3"/>
      </w:pPr>
      <w:r>
        <w:t>If the seller acts through a power of attorney</w:t>
      </w:r>
    </w:p>
    <w:p w:rsidR="00023EE3" w:rsidRDefault="00023EE3" w:rsidP="00023EE3">
      <w:pPr>
        <w:pStyle w:val="NormalWeb"/>
      </w:pPr>
      <w:r>
        <w:t>Verify the instrument, the identity of the principal and agent, the scope of authority and any applicable execution, authentication, stamping or registration requirements.</w:t>
      </w:r>
    </w:p>
    <w:p w:rsidR="00023EE3" w:rsidRDefault="00023EE3" w:rsidP="00023EE3">
      <w:pPr>
        <w:pStyle w:val="NormalWeb"/>
      </w:pPr>
      <w:r>
        <w:t>A power of attorney is generally an instrument of agency. It does not, by itself, transfer ownership of the property to the agent.</w:t>
      </w:r>
    </w:p>
    <w:p w:rsidR="00023EE3" w:rsidRDefault="00023EE3" w:rsidP="00023EE3">
      <w:pPr>
        <w:pStyle w:val="Heading3"/>
      </w:pPr>
      <w:r>
        <w:lastRenderedPageBreak/>
        <w:t>If several people own the property</w:t>
      </w:r>
    </w:p>
    <w:p w:rsidR="00023EE3" w:rsidRDefault="00023EE3" w:rsidP="00023EE3">
      <w:pPr>
        <w:pStyle w:val="NormalWeb"/>
      </w:pPr>
      <w:r>
        <w:t>Establish whether all required owners must participate in the sale and whether any owner has a separate or undivided interest.</w:t>
      </w:r>
    </w:p>
    <w:p w:rsidR="00023EE3" w:rsidRDefault="00023EE3" w:rsidP="00023EE3">
      <w:pPr>
        <w:pStyle w:val="NormalWeb"/>
      </w:pPr>
      <w:r>
        <w:t>Do not assume that the person negotiating with the buyer has authority to bind every co-owner.</w:t>
      </w:r>
    </w:p>
    <w:p w:rsidR="00023EE3" w:rsidRDefault="00023EE3" w:rsidP="00023EE3">
      <w:pPr>
        <w:pStyle w:val="Heading2"/>
      </w:pPr>
      <w:r>
        <w:t>10. Verify Building Approvals and Physical Features</w:t>
      </w:r>
    </w:p>
    <w:p w:rsidR="00023EE3" w:rsidRDefault="00023EE3" w:rsidP="00023EE3">
      <w:pPr>
        <w:pStyle w:val="NormalWeb"/>
      </w:pPr>
      <w:r>
        <w:t>For a house, apartment, commercial unit or development property, legal due diligence should extend beyond the land title.</w:t>
      </w:r>
    </w:p>
    <w:p w:rsidR="00023EE3" w:rsidRDefault="00023EE3" w:rsidP="00023EE3">
      <w:pPr>
        <w:pStyle w:val="NormalWeb"/>
      </w:pPr>
      <w:r>
        <w:t>Depending on the property and intended use, relevant documents may include:</w:t>
      </w:r>
    </w:p>
    <w:p w:rsidR="00023EE3" w:rsidRDefault="00023EE3" w:rsidP="00023EE3">
      <w:pPr>
        <w:pStyle w:val="NormalWeb"/>
        <w:numPr>
          <w:ilvl w:val="0"/>
          <w:numId w:val="11"/>
        </w:numPr>
      </w:pPr>
      <w:r>
        <w:t>Planning permission.</w:t>
      </w:r>
    </w:p>
    <w:p w:rsidR="00023EE3" w:rsidRDefault="00023EE3" w:rsidP="00023EE3">
      <w:pPr>
        <w:pStyle w:val="NormalWeb"/>
        <w:numPr>
          <w:ilvl w:val="0"/>
          <w:numId w:val="11"/>
        </w:numPr>
      </w:pPr>
      <w:r>
        <w:t>Building-plan approval.</w:t>
      </w:r>
    </w:p>
    <w:p w:rsidR="00023EE3" w:rsidRDefault="00023EE3" w:rsidP="00023EE3">
      <w:pPr>
        <w:pStyle w:val="NormalWeb"/>
        <w:numPr>
          <w:ilvl w:val="0"/>
          <w:numId w:val="11"/>
        </w:numPr>
      </w:pPr>
      <w:r>
        <w:t>Completion or occupancy documentation, where applicable.</w:t>
      </w:r>
    </w:p>
    <w:p w:rsidR="00023EE3" w:rsidRDefault="00023EE3" w:rsidP="00023EE3">
      <w:pPr>
        <w:pStyle w:val="NormalWeb"/>
        <w:numPr>
          <w:ilvl w:val="0"/>
          <w:numId w:val="11"/>
        </w:numPr>
      </w:pPr>
      <w:r>
        <w:t>Property tax records.</w:t>
      </w:r>
    </w:p>
    <w:p w:rsidR="00023EE3" w:rsidRDefault="00023EE3" w:rsidP="00023EE3">
      <w:pPr>
        <w:pStyle w:val="NormalWeb"/>
        <w:numPr>
          <w:ilvl w:val="0"/>
          <w:numId w:val="11"/>
        </w:numPr>
      </w:pPr>
      <w:r>
        <w:t>Relevant local-body approvals.</w:t>
      </w:r>
    </w:p>
    <w:p w:rsidR="00023EE3" w:rsidRDefault="00023EE3" w:rsidP="00023EE3">
      <w:pPr>
        <w:pStyle w:val="NormalWeb"/>
        <w:numPr>
          <w:ilvl w:val="0"/>
          <w:numId w:val="11"/>
        </w:numPr>
      </w:pPr>
      <w:r>
        <w:t>Documents relating to common areas or shared facilities.</w:t>
      </w:r>
    </w:p>
    <w:p w:rsidR="00023EE3" w:rsidRDefault="00023EE3" w:rsidP="00023EE3">
      <w:pPr>
        <w:pStyle w:val="NormalWeb"/>
        <w:numPr>
          <w:ilvl w:val="0"/>
          <w:numId w:val="11"/>
        </w:numPr>
      </w:pPr>
      <w:r>
        <w:t>Records concerning access roads and easements.</w:t>
      </w:r>
    </w:p>
    <w:p w:rsidR="00023EE3" w:rsidRDefault="00023EE3" w:rsidP="00023EE3">
      <w:pPr>
        <w:pStyle w:val="NormalWeb"/>
        <w:numPr>
          <w:ilvl w:val="0"/>
          <w:numId w:val="11"/>
        </w:numPr>
      </w:pPr>
      <w:r>
        <w:t>Apartment or association documents, where applicable.</w:t>
      </w:r>
    </w:p>
    <w:p w:rsidR="00023EE3" w:rsidRDefault="00023EE3" w:rsidP="00023EE3">
      <w:pPr>
        <w:pStyle w:val="NormalWeb"/>
      </w:pPr>
      <w:r>
        <w:t>The exact requirements vary according to the type of property, the local authority and the applicable planning law.</w:t>
      </w:r>
    </w:p>
    <w:p w:rsidR="00023EE3" w:rsidRDefault="00023EE3" w:rsidP="00023EE3">
      <w:pPr>
        <w:pStyle w:val="NormalWeb"/>
      </w:pPr>
      <w:r>
        <w:t>A buyer should also consider an independent physical inspection or survey where boundaries, extent, access, occupation or construction details require verification.</w:t>
      </w:r>
    </w:p>
    <w:p w:rsidR="00023EE3" w:rsidRDefault="00023EE3" w:rsidP="00023EE3">
      <w:pPr>
        <w:pStyle w:val="NormalWeb"/>
      </w:pPr>
      <w:r>
        <w:t>A property may have a documented title but still present separate issues relating to unauthorised construction, access, planning compliance or possession.</w:t>
      </w:r>
    </w:p>
    <w:p w:rsidR="00023EE3" w:rsidRDefault="00023EE3" w:rsidP="00023EE3">
      <w:pPr>
        <w:pStyle w:val="Heading2"/>
      </w:pPr>
      <w:r>
        <w:t>11. Check Possession, Tenancies and Access</w:t>
      </w:r>
    </w:p>
    <w:p w:rsidR="00023EE3" w:rsidRDefault="00023EE3" w:rsidP="00023EE3">
      <w:pPr>
        <w:pStyle w:val="NormalWeb"/>
      </w:pPr>
      <w:r>
        <w:t>The buyer should establish who occupies the property and on what legal basis.</w:t>
      </w:r>
    </w:p>
    <w:p w:rsidR="00023EE3" w:rsidRDefault="00023EE3" w:rsidP="00023EE3">
      <w:pPr>
        <w:pStyle w:val="NormalWeb"/>
      </w:pPr>
      <w:r>
        <w:t>Possible issues include:</w:t>
      </w:r>
    </w:p>
    <w:p w:rsidR="00023EE3" w:rsidRDefault="00023EE3" w:rsidP="00023EE3">
      <w:pPr>
        <w:pStyle w:val="NormalWeb"/>
        <w:numPr>
          <w:ilvl w:val="0"/>
          <w:numId w:val="12"/>
        </w:numPr>
      </w:pPr>
      <w:r>
        <w:t>A tenant whose lease remains in force.</w:t>
      </w:r>
    </w:p>
    <w:p w:rsidR="00023EE3" w:rsidRDefault="00023EE3" w:rsidP="00023EE3">
      <w:pPr>
        <w:pStyle w:val="NormalWeb"/>
        <w:numPr>
          <w:ilvl w:val="0"/>
          <w:numId w:val="12"/>
        </w:numPr>
      </w:pPr>
      <w:r>
        <w:t>A family member occupying the property.</w:t>
      </w:r>
    </w:p>
    <w:p w:rsidR="00023EE3" w:rsidRDefault="00023EE3" w:rsidP="00023EE3">
      <w:pPr>
        <w:pStyle w:val="NormalWeb"/>
        <w:numPr>
          <w:ilvl w:val="0"/>
          <w:numId w:val="12"/>
        </w:numPr>
      </w:pPr>
      <w:r>
        <w:t>A third party claiming possession.</w:t>
      </w:r>
    </w:p>
    <w:p w:rsidR="00023EE3" w:rsidRDefault="00023EE3" w:rsidP="00023EE3">
      <w:pPr>
        <w:pStyle w:val="NormalWeb"/>
        <w:numPr>
          <w:ilvl w:val="0"/>
          <w:numId w:val="12"/>
        </w:numPr>
      </w:pPr>
      <w:r>
        <w:t>A boundary dispute with an adjoining owner.</w:t>
      </w:r>
    </w:p>
    <w:p w:rsidR="00023EE3" w:rsidRDefault="00023EE3" w:rsidP="00023EE3">
      <w:pPr>
        <w:pStyle w:val="NormalWeb"/>
        <w:numPr>
          <w:ilvl w:val="0"/>
          <w:numId w:val="12"/>
        </w:numPr>
      </w:pPr>
      <w:r>
        <w:t>Lack of a legally enforceable access route.</w:t>
      </w:r>
    </w:p>
    <w:p w:rsidR="00023EE3" w:rsidRDefault="00023EE3" w:rsidP="00023EE3">
      <w:pPr>
        <w:pStyle w:val="NormalWeb"/>
        <w:numPr>
          <w:ilvl w:val="0"/>
          <w:numId w:val="12"/>
        </w:numPr>
      </w:pPr>
      <w:r>
        <w:t>A pathway or common area used by several properties.</w:t>
      </w:r>
    </w:p>
    <w:p w:rsidR="00023EE3" w:rsidRDefault="00023EE3" w:rsidP="00023EE3">
      <w:pPr>
        <w:pStyle w:val="NormalWeb"/>
        <w:numPr>
          <w:ilvl w:val="0"/>
          <w:numId w:val="12"/>
        </w:numPr>
      </w:pPr>
      <w:r>
        <w:t>A discrepancy between the property description and the area physically occupied.</w:t>
      </w:r>
    </w:p>
    <w:p w:rsidR="00023EE3" w:rsidRDefault="00023EE3" w:rsidP="00023EE3">
      <w:pPr>
        <w:pStyle w:val="NormalWeb"/>
      </w:pPr>
      <w:r>
        <w:lastRenderedPageBreak/>
        <w:t>If the property is occupied, review the relevant lease or occupancy documents and understand what the seller is legally able to deliver.</w:t>
      </w:r>
    </w:p>
    <w:p w:rsidR="00023EE3" w:rsidRDefault="00023EE3" w:rsidP="00023EE3">
      <w:pPr>
        <w:pStyle w:val="NormalWeb"/>
      </w:pPr>
      <w:r>
        <w:t>Physical possession, documentary ownership and the right to use a particular access route are related but distinct issues.</w:t>
      </w:r>
    </w:p>
    <w:p w:rsidR="00023EE3" w:rsidRDefault="00023EE3" w:rsidP="00023EE3">
      <w:pPr>
        <w:pStyle w:val="NormalWeb"/>
      </w:pPr>
      <w:r>
        <w:t>Where the seller promises vacant possession, the agreement should clearly address the obligation and the consequences of non-compliance.</w:t>
      </w:r>
    </w:p>
    <w:p w:rsidR="00023EE3" w:rsidRDefault="00023EE3" w:rsidP="00023EE3">
      <w:pPr>
        <w:pStyle w:val="Heading2"/>
      </w:pPr>
      <w:r>
        <w:t>12. Understand the Sale Agreement Before Paying an Advance</w:t>
      </w:r>
    </w:p>
    <w:p w:rsidR="00023EE3" w:rsidRDefault="00023EE3" w:rsidP="00023EE3">
      <w:pPr>
        <w:pStyle w:val="NormalWeb"/>
      </w:pPr>
      <w:r>
        <w:t>A sale agreement can create important contractual obligations. The buyer should understand the proposed terms before signing or paying a substantial advance.</w:t>
      </w:r>
    </w:p>
    <w:p w:rsidR="00023EE3" w:rsidRDefault="00023EE3" w:rsidP="00023EE3">
      <w:pPr>
        <w:pStyle w:val="NormalWeb"/>
      </w:pPr>
      <w:r>
        <w:t>The agreement should accurately identify:</w:t>
      </w:r>
    </w:p>
    <w:p w:rsidR="00023EE3" w:rsidRDefault="00023EE3" w:rsidP="00023EE3">
      <w:pPr>
        <w:pStyle w:val="NormalWeb"/>
        <w:numPr>
          <w:ilvl w:val="0"/>
          <w:numId w:val="13"/>
        </w:numPr>
      </w:pPr>
      <w:r>
        <w:t>The parties.</w:t>
      </w:r>
    </w:p>
    <w:p w:rsidR="00023EE3" w:rsidRDefault="00023EE3" w:rsidP="00023EE3">
      <w:pPr>
        <w:pStyle w:val="NormalWeb"/>
        <w:numPr>
          <w:ilvl w:val="0"/>
          <w:numId w:val="13"/>
        </w:numPr>
      </w:pPr>
      <w:r>
        <w:t>The property.</w:t>
      </w:r>
    </w:p>
    <w:p w:rsidR="00023EE3" w:rsidRDefault="00023EE3" w:rsidP="00023EE3">
      <w:pPr>
        <w:pStyle w:val="NormalWeb"/>
        <w:numPr>
          <w:ilvl w:val="0"/>
          <w:numId w:val="13"/>
        </w:numPr>
      </w:pPr>
      <w:r>
        <w:t>The agreed consideration.</w:t>
      </w:r>
    </w:p>
    <w:p w:rsidR="00023EE3" w:rsidRDefault="00023EE3" w:rsidP="00023EE3">
      <w:pPr>
        <w:pStyle w:val="NormalWeb"/>
        <w:numPr>
          <w:ilvl w:val="0"/>
          <w:numId w:val="13"/>
        </w:numPr>
      </w:pPr>
      <w:r>
        <w:t>The payment schedule.</w:t>
      </w:r>
    </w:p>
    <w:p w:rsidR="00023EE3" w:rsidRDefault="00023EE3" w:rsidP="00023EE3">
      <w:pPr>
        <w:pStyle w:val="NormalWeb"/>
        <w:numPr>
          <w:ilvl w:val="0"/>
          <w:numId w:val="13"/>
        </w:numPr>
      </w:pPr>
      <w:r>
        <w:t>The documents the seller must provide.</w:t>
      </w:r>
    </w:p>
    <w:p w:rsidR="00023EE3" w:rsidRDefault="00023EE3" w:rsidP="00023EE3">
      <w:pPr>
        <w:pStyle w:val="NormalWeb"/>
        <w:numPr>
          <w:ilvl w:val="0"/>
          <w:numId w:val="13"/>
        </w:numPr>
      </w:pPr>
      <w:r>
        <w:t>Any title-related conditions.</w:t>
      </w:r>
    </w:p>
    <w:p w:rsidR="00023EE3" w:rsidRDefault="00023EE3" w:rsidP="00023EE3">
      <w:pPr>
        <w:pStyle w:val="NormalWeb"/>
        <w:numPr>
          <w:ilvl w:val="0"/>
          <w:numId w:val="13"/>
        </w:numPr>
      </w:pPr>
      <w:r>
        <w:t>The deadline for completing the transaction.</w:t>
      </w:r>
    </w:p>
    <w:p w:rsidR="00023EE3" w:rsidRDefault="00023EE3" w:rsidP="00023EE3">
      <w:pPr>
        <w:pStyle w:val="NormalWeb"/>
        <w:numPr>
          <w:ilvl w:val="0"/>
          <w:numId w:val="13"/>
        </w:numPr>
      </w:pPr>
      <w:r>
        <w:t>The procedure if a material defect is discovered.</w:t>
      </w:r>
    </w:p>
    <w:p w:rsidR="00023EE3" w:rsidRDefault="00023EE3" w:rsidP="00023EE3">
      <w:pPr>
        <w:pStyle w:val="NormalWeb"/>
        <w:numPr>
          <w:ilvl w:val="0"/>
          <w:numId w:val="13"/>
        </w:numPr>
      </w:pPr>
      <w:r>
        <w:t>The parties' obligations concerning registration and possession.</w:t>
      </w:r>
    </w:p>
    <w:p w:rsidR="00023EE3" w:rsidRDefault="00023EE3" w:rsidP="00023EE3">
      <w:pPr>
        <w:pStyle w:val="NormalWeb"/>
        <w:numPr>
          <w:ilvl w:val="0"/>
          <w:numId w:val="13"/>
        </w:numPr>
      </w:pPr>
      <w:r>
        <w:t>The treatment of the advance if the transaction does not proceed.</w:t>
      </w:r>
    </w:p>
    <w:p w:rsidR="00023EE3" w:rsidRDefault="00023EE3" w:rsidP="00023EE3">
      <w:pPr>
        <w:pStyle w:val="NormalWeb"/>
      </w:pPr>
      <w:r>
        <w:t>Where appropriate, the agreement may provide for completion to be conditional on satisfactory title verification and other specified requirements.</w:t>
      </w:r>
    </w:p>
    <w:p w:rsidR="00023EE3" w:rsidRDefault="00023EE3" w:rsidP="00023EE3">
      <w:pPr>
        <w:pStyle w:val="NormalWeb"/>
      </w:pPr>
      <w:r>
        <w:t>The exact wording depends on the transaction and the applicable law.</w:t>
      </w:r>
    </w:p>
    <w:p w:rsidR="00023EE3" w:rsidRDefault="00023EE3" w:rsidP="00023EE3">
      <w:pPr>
        <w:pStyle w:val="NormalWeb"/>
      </w:pPr>
      <w:r>
        <w:t>Under Indian law, an agreement to sell is not, by itself, a conveyance transferring ownership. A sale of immovable property ordinarily requires the legally appropriate registered instrument, subject to the applicable statutory provisions.</w:t>
      </w:r>
    </w:p>
    <w:p w:rsidR="00023EE3" w:rsidRDefault="00023EE3" w:rsidP="00023EE3">
      <w:pPr>
        <w:pStyle w:val="NormalWeb"/>
      </w:pPr>
      <w:r>
        <w:t>The buyer should therefore distinguish the contractual stage from the completed transfer of title.</w:t>
      </w:r>
    </w:p>
    <w:p w:rsidR="00023EE3" w:rsidRDefault="00023EE3" w:rsidP="00023EE3">
      <w:pPr>
        <w:pStyle w:val="Heading2"/>
      </w:pPr>
      <w:r>
        <w:t>13. Special Considerations for OCI and NRI Buyers</w:t>
      </w:r>
    </w:p>
    <w:p w:rsidR="00023EE3" w:rsidRDefault="00023EE3" w:rsidP="00023EE3">
      <w:pPr>
        <w:pStyle w:val="NormalWeb"/>
      </w:pPr>
      <w:r>
        <w:t>Overseas buyers should address immigration, foreign-exchange and payment issues alongside the title investigation.</w:t>
      </w:r>
    </w:p>
    <w:p w:rsidR="00023EE3" w:rsidRDefault="00023EE3" w:rsidP="00023EE3">
      <w:pPr>
        <w:pStyle w:val="Heading3"/>
      </w:pPr>
      <w:r>
        <w:lastRenderedPageBreak/>
        <w:t>Property eligibility</w:t>
      </w:r>
    </w:p>
    <w:p w:rsidR="00023EE3" w:rsidRDefault="00023EE3" w:rsidP="00023EE3">
      <w:pPr>
        <w:pStyle w:val="NormalWeb"/>
      </w:pPr>
      <w:r>
        <w:t>Confirm that the buyer is legally permitted to acquire the particular category of property. OCI cardholders' ordinary property benefits do not extend to purchasing agricultural land, farmhouses or plantation property.</w:t>
      </w:r>
    </w:p>
    <w:p w:rsidR="00023EE3" w:rsidRDefault="00023EE3" w:rsidP="00023EE3">
      <w:pPr>
        <w:pStyle w:val="Heading3"/>
      </w:pPr>
      <w:r>
        <w:t>Payment arrangements</w:t>
      </w:r>
    </w:p>
    <w:p w:rsidR="00023EE3" w:rsidRDefault="00023EE3" w:rsidP="00023EE3">
      <w:pPr>
        <w:pStyle w:val="NormalWeb"/>
      </w:pPr>
      <w:r>
        <w:t>Check that the source and method of payment comply with the applicable foreign-exchange regulations and banking requirements.</w:t>
      </w:r>
    </w:p>
    <w:p w:rsidR="00023EE3" w:rsidRDefault="00023EE3" w:rsidP="00023EE3">
      <w:pPr>
        <w:pStyle w:val="Heading3"/>
      </w:pPr>
      <w:r>
        <w:t>Power of attorney</w:t>
      </w:r>
    </w:p>
    <w:p w:rsidR="00023EE3" w:rsidRDefault="00023EE3" w:rsidP="00023EE3">
      <w:pPr>
        <w:pStyle w:val="NormalWeb"/>
      </w:pPr>
      <w:r>
        <w:t>If the buyer or seller will act through a representative, confirm that the authority is suitable for the intended transaction and satisfies the relevant requirements.</w:t>
      </w:r>
    </w:p>
    <w:p w:rsidR="00023EE3" w:rsidRDefault="00023EE3" w:rsidP="00023EE3">
      <w:pPr>
        <w:pStyle w:val="Heading3"/>
      </w:pPr>
      <w:r>
        <w:t>Inherited or gifted property</w:t>
      </w:r>
    </w:p>
    <w:p w:rsidR="00023EE3" w:rsidRDefault="00023EE3" w:rsidP="00023EE3">
      <w:pPr>
        <w:pStyle w:val="NormalWeb"/>
      </w:pPr>
      <w:r>
        <w:t>Inheritance and gifts involve different legal questions from ordinary purchases. Their permissibility should be assessed under the applicable succession and foreign-exchange rules.</w:t>
      </w:r>
    </w:p>
    <w:p w:rsidR="00023EE3" w:rsidRDefault="00023EE3" w:rsidP="00023EE3">
      <w:pPr>
        <w:pStyle w:val="Heading3"/>
      </w:pPr>
      <w:r>
        <w:t>Tax</w:t>
      </w:r>
    </w:p>
    <w:p w:rsidR="00023EE3" w:rsidRDefault="00023EE3" w:rsidP="00023EE3">
      <w:pPr>
        <w:pStyle w:val="NormalWeb"/>
      </w:pPr>
      <w:r>
        <w:t>The transaction may have tax consequences for the buyer or seller. These should be assessed separately according to the facts and applicable law.</w:t>
      </w:r>
    </w:p>
    <w:p w:rsidR="00023EE3" w:rsidRDefault="00023EE3" w:rsidP="00023EE3">
      <w:pPr>
        <w:pStyle w:val="NormalWeb"/>
      </w:pPr>
      <w:r>
        <w:t>An OCI card or NRI status should not be treated as a substitute for property-specific legal verification.</w:t>
      </w:r>
    </w:p>
    <w:p w:rsidR="00023EE3" w:rsidRDefault="00023EE3" w:rsidP="00023EE3">
      <w:pPr>
        <w:pStyle w:val="Heading2"/>
      </w:pPr>
      <w:r>
        <w:t>14. Property Due Diligence Checklist for Overseas Buyers</w:t>
      </w:r>
    </w:p>
    <w:p w:rsidR="00023EE3" w:rsidRDefault="00023EE3" w:rsidP="00023EE3">
      <w:pPr>
        <w:pStyle w:val="NormalWeb"/>
      </w:pPr>
      <w:r>
        <w:t>Before committing to a property purchase, consider the following checklist.</w:t>
      </w:r>
    </w:p>
    <w:p w:rsidR="00023EE3" w:rsidRDefault="00023EE3" w:rsidP="00023EE3">
      <w:pPr>
        <w:pStyle w:val="Heading3"/>
      </w:pPr>
      <w:r>
        <w:t>Ownership and title</w:t>
      </w:r>
    </w:p>
    <w:p w:rsidR="00023EE3" w:rsidRDefault="00023EE3" w:rsidP="00023EE3">
      <w:pPr>
        <w:pStyle w:val="NormalWeb"/>
        <w:numPr>
          <w:ilvl w:val="0"/>
          <w:numId w:val="14"/>
        </w:numPr>
      </w:pPr>
      <w:r>
        <w:t>Identify the seller's source of title.</w:t>
      </w:r>
    </w:p>
    <w:p w:rsidR="00023EE3" w:rsidRDefault="00023EE3" w:rsidP="00023EE3">
      <w:pPr>
        <w:pStyle w:val="NormalWeb"/>
        <w:numPr>
          <w:ilvl w:val="0"/>
          <w:numId w:val="14"/>
        </w:numPr>
      </w:pPr>
      <w:r>
        <w:t>Review the relevant title deeds.</w:t>
      </w:r>
    </w:p>
    <w:p w:rsidR="00023EE3" w:rsidRDefault="00023EE3" w:rsidP="00023EE3">
      <w:pPr>
        <w:pStyle w:val="NormalWeb"/>
        <w:numPr>
          <w:ilvl w:val="0"/>
          <w:numId w:val="14"/>
        </w:numPr>
      </w:pPr>
      <w:r>
        <w:t>Examine the chain of title appropriate to the property.</w:t>
      </w:r>
    </w:p>
    <w:p w:rsidR="00023EE3" w:rsidRDefault="00023EE3" w:rsidP="00023EE3">
      <w:pPr>
        <w:pStyle w:val="NormalWeb"/>
        <w:numPr>
          <w:ilvl w:val="0"/>
          <w:numId w:val="14"/>
        </w:numPr>
      </w:pPr>
      <w:r>
        <w:t>Verify the property description and boundaries.</w:t>
      </w:r>
    </w:p>
    <w:p w:rsidR="00023EE3" w:rsidRDefault="00023EE3" w:rsidP="00023EE3">
      <w:pPr>
        <w:pStyle w:val="NormalWeb"/>
        <w:numPr>
          <w:ilvl w:val="0"/>
          <w:numId w:val="14"/>
        </w:numPr>
      </w:pPr>
      <w:r>
        <w:t>Check the legal effect of inheritance, partition or previous transfers.</w:t>
      </w:r>
    </w:p>
    <w:p w:rsidR="00023EE3" w:rsidRDefault="00023EE3" w:rsidP="00023EE3">
      <w:pPr>
        <w:pStyle w:val="Heading3"/>
      </w:pPr>
      <w:r>
        <w:t>Public records</w:t>
      </w:r>
    </w:p>
    <w:p w:rsidR="00023EE3" w:rsidRDefault="00023EE3" w:rsidP="00023EE3">
      <w:pPr>
        <w:pStyle w:val="NormalWeb"/>
        <w:numPr>
          <w:ilvl w:val="0"/>
          <w:numId w:val="15"/>
        </w:numPr>
      </w:pPr>
      <w:r>
        <w:t>Obtain an appropriate Encumbrance Certificate.</w:t>
      </w:r>
    </w:p>
    <w:p w:rsidR="00023EE3" w:rsidRDefault="00023EE3" w:rsidP="00023EE3">
      <w:pPr>
        <w:pStyle w:val="NormalWeb"/>
        <w:numPr>
          <w:ilvl w:val="0"/>
          <w:numId w:val="15"/>
        </w:numPr>
      </w:pPr>
      <w:r>
        <w:t>Review relevant revenue records.</w:t>
      </w:r>
    </w:p>
    <w:p w:rsidR="00023EE3" w:rsidRDefault="00023EE3" w:rsidP="00023EE3">
      <w:pPr>
        <w:pStyle w:val="NormalWeb"/>
        <w:numPr>
          <w:ilvl w:val="0"/>
          <w:numId w:val="15"/>
        </w:numPr>
      </w:pPr>
      <w:r>
        <w:lastRenderedPageBreak/>
        <w:t>Compare survey and subdivision details.</w:t>
      </w:r>
    </w:p>
    <w:p w:rsidR="00023EE3" w:rsidRDefault="00023EE3" w:rsidP="00023EE3">
      <w:pPr>
        <w:pStyle w:val="NormalWeb"/>
        <w:numPr>
          <w:ilvl w:val="0"/>
          <w:numId w:val="15"/>
        </w:numPr>
      </w:pPr>
      <w:r>
        <w:t>Investigate discrepancies between records.</w:t>
      </w:r>
    </w:p>
    <w:p w:rsidR="00023EE3" w:rsidRDefault="00023EE3" w:rsidP="00023EE3">
      <w:pPr>
        <w:pStyle w:val="NormalWeb"/>
        <w:numPr>
          <w:ilvl w:val="0"/>
          <w:numId w:val="15"/>
        </w:numPr>
      </w:pPr>
      <w:r>
        <w:t>Obtain underlying documents for unexplained entries.</w:t>
      </w:r>
    </w:p>
    <w:p w:rsidR="00023EE3" w:rsidRDefault="00023EE3" w:rsidP="00023EE3">
      <w:pPr>
        <w:pStyle w:val="Heading3"/>
      </w:pPr>
      <w:r>
        <w:t>Legal restrictions</w:t>
      </w:r>
    </w:p>
    <w:p w:rsidR="00023EE3" w:rsidRDefault="00023EE3" w:rsidP="00023EE3">
      <w:pPr>
        <w:pStyle w:val="NormalWeb"/>
        <w:numPr>
          <w:ilvl w:val="0"/>
          <w:numId w:val="16"/>
        </w:numPr>
      </w:pPr>
      <w:r>
        <w:t>Confirm the buyer's eligibility to acquire the property.</w:t>
      </w:r>
    </w:p>
    <w:p w:rsidR="00023EE3" w:rsidRDefault="00023EE3" w:rsidP="00023EE3">
      <w:pPr>
        <w:pStyle w:val="NormalWeb"/>
        <w:numPr>
          <w:ilvl w:val="0"/>
          <w:numId w:val="16"/>
        </w:numPr>
      </w:pPr>
      <w:r>
        <w:t>Verify land classification.</w:t>
      </w:r>
    </w:p>
    <w:p w:rsidR="00023EE3" w:rsidRDefault="00023EE3" w:rsidP="00023EE3">
      <w:pPr>
        <w:pStyle w:val="NormalWeb"/>
        <w:numPr>
          <w:ilvl w:val="0"/>
          <w:numId w:val="16"/>
        </w:numPr>
      </w:pPr>
      <w:r>
        <w:t>Check for relevant statutory or planning restrictions.</w:t>
      </w:r>
    </w:p>
    <w:p w:rsidR="00023EE3" w:rsidRDefault="00023EE3" w:rsidP="00023EE3">
      <w:pPr>
        <w:pStyle w:val="NormalWeb"/>
        <w:numPr>
          <w:ilvl w:val="0"/>
          <w:numId w:val="16"/>
        </w:numPr>
      </w:pPr>
      <w:r>
        <w:t>Investigate known litigation or competing claims.</w:t>
      </w:r>
    </w:p>
    <w:p w:rsidR="00023EE3" w:rsidRDefault="00023EE3" w:rsidP="00023EE3">
      <w:pPr>
        <w:pStyle w:val="NormalWeb"/>
        <w:numPr>
          <w:ilvl w:val="0"/>
          <w:numId w:val="16"/>
        </w:numPr>
      </w:pPr>
      <w:r>
        <w:t>Review the seller's authority to transfer.</w:t>
      </w:r>
    </w:p>
    <w:p w:rsidR="00023EE3" w:rsidRDefault="00023EE3" w:rsidP="00023EE3">
      <w:pPr>
        <w:pStyle w:val="Heading3"/>
      </w:pPr>
      <w:r>
        <w:t>Physical and planning matters</w:t>
      </w:r>
    </w:p>
    <w:p w:rsidR="00023EE3" w:rsidRDefault="00023EE3" w:rsidP="00023EE3">
      <w:pPr>
        <w:pStyle w:val="NormalWeb"/>
        <w:numPr>
          <w:ilvl w:val="0"/>
          <w:numId w:val="17"/>
        </w:numPr>
      </w:pPr>
      <w:r>
        <w:t>Inspect the property or arrange a suitable independent inspection.</w:t>
      </w:r>
    </w:p>
    <w:p w:rsidR="00023EE3" w:rsidRDefault="00023EE3" w:rsidP="00023EE3">
      <w:pPr>
        <w:pStyle w:val="NormalWeb"/>
        <w:numPr>
          <w:ilvl w:val="0"/>
          <w:numId w:val="17"/>
        </w:numPr>
      </w:pPr>
      <w:r>
        <w:t>Check possession and occupation.</w:t>
      </w:r>
    </w:p>
    <w:p w:rsidR="00023EE3" w:rsidRDefault="00023EE3" w:rsidP="00023EE3">
      <w:pPr>
        <w:pStyle w:val="NormalWeb"/>
        <w:numPr>
          <w:ilvl w:val="0"/>
          <w:numId w:val="17"/>
        </w:numPr>
      </w:pPr>
      <w:r>
        <w:t>Verify access and boundary issues.</w:t>
      </w:r>
    </w:p>
    <w:p w:rsidR="00023EE3" w:rsidRDefault="00023EE3" w:rsidP="00023EE3">
      <w:pPr>
        <w:pStyle w:val="NormalWeb"/>
        <w:numPr>
          <w:ilvl w:val="0"/>
          <w:numId w:val="17"/>
        </w:numPr>
      </w:pPr>
      <w:r>
        <w:t>Review applicable building and planning approvals.</w:t>
      </w:r>
    </w:p>
    <w:p w:rsidR="00023EE3" w:rsidRDefault="00023EE3" w:rsidP="00023EE3">
      <w:pPr>
        <w:pStyle w:val="NormalWeb"/>
        <w:numPr>
          <w:ilvl w:val="0"/>
          <w:numId w:val="17"/>
        </w:numPr>
      </w:pPr>
      <w:r>
        <w:t>Identify any material differences between the documents and the property on the ground.</w:t>
      </w:r>
    </w:p>
    <w:p w:rsidR="00023EE3" w:rsidRDefault="00023EE3" w:rsidP="00023EE3">
      <w:pPr>
        <w:pStyle w:val="Heading3"/>
      </w:pPr>
      <w:r>
        <w:t>Transaction documentation</w:t>
      </w:r>
    </w:p>
    <w:p w:rsidR="00023EE3" w:rsidRDefault="00023EE3" w:rsidP="00023EE3">
      <w:pPr>
        <w:pStyle w:val="NormalWeb"/>
        <w:numPr>
          <w:ilvl w:val="0"/>
          <w:numId w:val="18"/>
        </w:numPr>
      </w:pPr>
      <w:r>
        <w:t>Review the sale agreement.</w:t>
      </w:r>
    </w:p>
    <w:p w:rsidR="00023EE3" w:rsidRDefault="00023EE3" w:rsidP="00023EE3">
      <w:pPr>
        <w:pStyle w:val="NormalWeb"/>
        <w:numPr>
          <w:ilvl w:val="0"/>
          <w:numId w:val="18"/>
        </w:numPr>
      </w:pPr>
      <w:r>
        <w:t>Check the payment terms and proposed completion date.</w:t>
      </w:r>
    </w:p>
    <w:p w:rsidR="00023EE3" w:rsidRDefault="00023EE3" w:rsidP="00023EE3">
      <w:pPr>
        <w:pStyle w:val="NormalWeb"/>
        <w:numPr>
          <w:ilvl w:val="0"/>
          <w:numId w:val="18"/>
        </w:numPr>
      </w:pPr>
      <w:r>
        <w:t>Confirm the documents required for registration.</w:t>
      </w:r>
    </w:p>
    <w:p w:rsidR="00023EE3" w:rsidRDefault="00023EE3" w:rsidP="00023EE3">
      <w:pPr>
        <w:pStyle w:val="NormalWeb"/>
        <w:numPr>
          <w:ilvl w:val="0"/>
          <w:numId w:val="18"/>
        </w:numPr>
      </w:pPr>
      <w:r>
        <w:t>Review any power of attorney.</w:t>
      </w:r>
    </w:p>
    <w:p w:rsidR="00023EE3" w:rsidRDefault="00023EE3" w:rsidP="00023EE3">
      <w:pPr>
        <w:pStyle w:val="NormalWeb"/>
        <w:numPr>
          <w:ilvl w:val="0"/>
          <w:numId w:val="18"/>
        </w:numPr>
      </w:pPr>
      <w:r>
        <w:t>Understand the obligations concerning possession and completion.</w:t>
      </w:r>
    </w:p>
    <w:p w:rsidR="00023EE3" w:rsidRDefault="00023EE3" w:rsidP="00023EE3">
      <w:pPr>
        <w:pStyle w:val="NormalWeb"/>
      </w:pPr>
      <w:r>
        <w:t>Not every property requires every item in the same form. The investigation should be tailored to the property, its ownership history and the proposed transaction.</w:t>
      </w:r>
    </w:p>
    <w:p w:rsidR="00023EE3" w:rsidRDefault="00023EE3" w:rsidP="00023EE3">
      <w:pPr>
        <w:pStyle w:val="Heading2"/>
      </w:pPr>
      <w:r>
        <w:t>15. How RRC Law Associates Can Assist Overseas Buyers</w:t>
      </w:r>
    </w:p>
    <w:p w:rsidR="00023EE3" w:rsidRDefault="00023EE3" w:rsidP="00023EE3">
      <w:pPr>
        <w:pStyle w:val="NormalWeb"/>
      </w:pPr>
      <w:r>
        <w:t>An overseas buyer may have difficulty obtaining and comparing records from several offices, assessing local title documents or understanding the implications of a discrepancy.</w:t>
      </w:r>
    </w:p>
    <w:p w:rsidR="00023EE3" w:rsidRDefault="00023EE3" w:rsidP="00023EE3">
      <w:pPr>
        <w:pStyle w:val="NormalWeb"/>
      </w:pPr>
      <w:r>
        <w:t>RRC Law Associates can assist with a structured property due-diligence review, including:</w:t>
      </w:r>
    </w:p>
    <w:p w:rsidR="00023EE3" w:rsidRDefault="00023EE3" w:rsidP="00023EE3">
      <w:pPr>
        <w:pStyle w:val="NormalWeb"/>
        <w:numPr>
          <w:ilvl w:val="0"/>
          <w:numId w:val="19"/>
        </w:numPr>
      </w:pPr>
      <w:r>
        <w:t>Examination of available title deeds and ownership history.</w:t>
      </w:r>
    </w:p>
    <w:p w:rsidR="00023EE3" w:rsidRDefault="00023EE3" w:rsidP="00023EE3">
      <w:pPr>
        <w:pStyle w:val="NormalWeb"/>
        <w:numPr>
          <w:ilvl w:val="0"/>
          <w:numId w:val="19"/>
        </w:numPr>
      </w:pPr>
      <w:r>
        <w:t>Review of Encumbrance Certificates and relevant registered documents.</w:t>
      </w:r>
    </w:p>
    <w:p w:rsidR="00023EE3" w:rsidRDefault="00023EE3" w:rsidP="00023EE3">
      <w:pPr>
        <w:pStyle w:val="NormalWeb"/>
        <w:numPr>
          <w:ilvl w:val="0"/>
          <w:numId w:val="19"/>
        </w:numPr>
      </w:pPr>
      <w:r>
        <w:t>Assessment of revenue records and land classification.</w:t>
      </w:r>
    </w:p>
    <w:p w:rsidR="00023EE3" w:rsidRDefault="00023EE3" w:rsidP="00023EE3">
      <w:pPr>
        <w:pStyle w:val="NormalWeb"/>
        <w:numPr>
          <w:ilvl w:val="0"/>
          <w:numId w:val="19"/>
        </w:numPr>
      </w:pPr>
      <w:r>
        <w:t>Review of succession and co-ownership issues.</w:t>
      </w:r>
    </w:p>
    <w:p w:rsidR="00023EE3" w:rsidRDefault="00023EE3" w:rsidP="00023EE3">
      <w:pPr>
        <w:pStyle w:val="NormalWeb"/>
        <w:numPr>
          <w:ilvl w:val="0"/>
          <w:numId w:val="19"/>
        </w:numPr>
      </w:pPr>
      <w:r>
        <w:t>Identification of apparent title defects or documentary gaps.</w:t>
      </w:r>
    </w:p>
    <w:p w:rsidR="00023EE3" w:rsidRDefault="00023EE3" w:rsidP="00023EE3">
      <w:pPr>
        <w:pStyle w:val="NormalWeb"/>
        <w:numPr>
          <w:ilvl w:val="0"/>
          <w:numId w:val="19"/>
        </w:numPr>
      </w:pPr>
      <w:r>
        <w:t>Review of seller authority and power of attorney arrangements.</w:t>
      </w:r>
    </w:p>
    <w:p w:rsidR="00023EE3" w:rsidRDefault="00023EE3" w:rsidP="00023EE3">
      <w:pPr>
        <w:pStyle w:val="NormalWeb"/>
        <w:numPr>
          <w:ilvl w:val="0"/>
          <w:numId w:val="19"/>
        </w:numPr>
      </w:pPr>
      <w:r>
        <w:t>Identification of issues requiring survey, planning or specialist review.</w:t>
      </w:r>
    </w:p>
    <w:p w:rsidR="00023EE3" w:rsidRDefault="00023EE3" w:rsidP="00023EE3">
      <w:pPr>
        <w:pStyle w:val="NormalWeb"/>
        <w:numPr>
          <w:ilvl w:val="0"/>
          <w:numId w:val="19"/>
        </w:numPr>
      </w:pPr>
      <w:r>
        <w:lastRenderedPageBreak/>
        <w:t>Preparation of a written report identifying material concerns and recommended next steps.</w:t>
      </w:r>
    </w:p>
    <w:p w:rsidR="00023EE3" w:rsidRDefault="00023EE3" w:rsidP="00023EE3">
      <w:pPr>
        <w:pStyle w:val="NormalWeb"/>
      </w:pPr>
      <w:r>
        <w:t>The scope of work depends on the property, the records available and the transaction. A review of supplied documents alone should not be represented as a physical inspection or as an exhaustive search of every possible source.</w:t>
      </w:r>
    </w:p>
    <w:p w:rsidR="00023EE3" w:rsidRDefault="00023EE3" w:rsidP="00023EE3">
      <w:pPr>
        <w:pStyle w:val="NormalWeb"/>
      </w:pPr>
      <w:r>
        <w:t>Where further records, court searches, surveys or specialist opinions are necessary, these should be identified as additional steps.</w:t>
      </w:r>
    </w:p>
    <w:p w:rsidR="00023EE3" w:rsidRDefault="00023EE3" w:rsidP="00023EE3">
      <w:pPr>
        <w:pStyle w:val="Heading2"/>
      </w:pPr>
      <w:r>
        <w:t>Frequently Asked Questions</w:t>
      </w:r>
    </w:p>
    <w:p w:rsidR="00023EE3" w:rsidRDefault="00023EE3" w:rsidP="00023EE3">
      <w:pPr>
        <w:pStyle w:val="Heading3"/>
      </w:pPr>
      <w:r>
        <w:t>1. Is an Encumbrance Certificate enough to establish clear title?</w:t>
      </w:r>
    </w:p>
    <w:p w:rsidR="00023EE3" w:rsidRDefault="00023EE3" w:rsidP="00023EE3">
      <w:pPr>
        <w:pStyle w:val="NormalWeb"/>
      </w:pPr>
      <w:r>
        <w:t>No. An EC is an important part of due diligence, but its evidentiary scope depends on the records and period searched. It should be read alongside title deeds, relevant revenue records and other evidence.</w:t>
      </w:r>
    </w:p>
    <w:p w:rsidR="00023EE3" w:rsidRDefault="00023EE3" w:rsidP="00023EE3">
      <w:pPr>
        <w:pStyle w:val="Heading3"/>
      </w:pPr>
      <w:r>
        <w:t>2. Does a registered sale deed guarantee that the seller has perfect title?</w:t>
      </w:r>
    </w:p>
    <w:p w:rsidR="00023EE3" w:rsidRDefault="00023EE3" w:rsidP="00023EE3">
      <w:pPr>
        <w:pStyle w:val="NormalWeb"/>
      </w:pPr>
      <w:r>
        <w:t>Not by itself. The deed must be examined in the context of the seller's source of title, previous transfers, the property's description and other relevant legal issues.</w:t>
      </w:r>
    </w:p>
    <w:p w:rsidR="00023EE3" w:rsidRDefault="00023EE3" w:rsidP="00023EE3">
      <w:pPr>
        <w:pStyle w:val="Heading3"/>
      </w:pPr>
      <w:r>
        <w:t>3. Does patta prove ownership of land in Tamil Nadu?</w:t>
      </w:r>
    </w:p>
    <w:p w:rsidR="00023EE3" w:rsidRDefault="00023EE3" w:rsidP="00023EE3">
      <w:pPr>
        <w:pStyle w:val="NormalWeb"/>
      </w:pPr>
      <w:r>
        <w:t>Patta and other revenue records are relevant, but they should not automatically be treated as conclusive proof of title. The underlying ownership documents and applicable law must also be considered.</w:t>
      </w:r>
    </w:p>
    <w:p w:rsidR="00023EE3" w:rsidRDefault="00023EE3" w:rsidP="00023EE3">
      <w:pPr>
        <w:pStyle w:val="Heading3"/>
      </w:pPr>
      <w:r>
        <w:t>4. Can an OCI cardholder buy agricultural land in India?</w:t>
      </w:r>
    </w:p>
    <w:p w:rsidR="00023EE3" w:rsidRDefault="00023EE3" w:rsidP="00023EE3">
      <w:pPr>
        <w:pStyle w:val="NormalWeb"/>
      </w:pPr>
      <w:r>
        <w:t>The ordinary OCI property benefit does not permit the purchase of agricultural land, a farmhouse or plantation property. The applicable rules should be checked before entering into a transaction.</w:t>
      </w:r>
    </w:p>
    <w:p w:rsidR="00023EE3" w:rsidRDefault="00023EE3" w:rsidP="00023EE3">
      <w:pPr>
        <w:pStyle w:val="Heading3"/>
      </w:pPr>
      <w:r>
        <w:t>5. Can an NRI buy a house or apartment in India?</w:t>
      </w:r>
    </w:p>
    <w:p w:rsidR="00023EE3" w:rsidRDefault="00023EE3" w:rsidP="00023EE3">
      <w:pPr>
        <w:pStyle w:val="NormalWeb"/>
      </w:pPr>
      <w:r>
        <w:t>NRIs may generally acquire eligible residential property, subject to the applicable foreign-exchange regulations and other laws. The buyer's status and the particular property should be verified.</w:t>
      </w:r>
    </w:p>
    <w:p w:rsidR="00023EE3" w:rsidRDefault="00023EE3" w:rsidP="00023EE3">
      <w:pPr>
        <w:pStyle w:val="Heading3"/>
      </w:pPr>
      <w:r>
        <w:t>6. Should an overseas buyer inspect the property physically?</w:t>
      </w:r>
    </w:p>
    <w:p w:rsidR="00023EE3" w:rsidRDefault="00023EE3" w:rsidP="00023EE3">
      <w:pPr>
        <w:pStyle w:val="NormalWeb"/>
      </w:pPr>
      <w:r>
        <w:t>A physical inspection or independent survey can be valuable, particularly where boundaries, possession, access, extent or construction require verification. Documentary review and physical inspection address different risks.</w:t>
      </w:r>
    </w:p>
    <w:p w:rsidR="00023EE3" w:rsidRDefault="00023EE3" w:rsidP="00023EE3">
      <w:pPr>
        <w:pStyle w:val="Heading3"/>
      </w:pPr>
      <w:r>
        <w:lastRenderedPageBreak/>
        <w:t>7. What if the property is still in the name of a deceased relative?</w:t>
      </w:r>
    </w:p>
    <w:p w:rsidR="00023EE3" w:rsidRDefault="00023EE3" w:rsidP="00023EE3">
      <w:pPr>
        <w:pStyle w:val="NormalWeb"/>
      </w:pPr>
      <w:r>
        <w:t>The succession and title history should be examined to establish the current legal owners and their respective shares. The required steps depend on the applicable succession law and the available documents.</w:t>
      </w:r>
    </w:p>
    <w:p w:rsidR="00023EE3" w:rsidRDefault="00023EE3" w:rsidP="00023EE3">
      <w:pPr>
        <w:pStyle w:val="Heading3"/>
      </w:pPr>
      <w:r>
        <w:t>8. Can I buy property through a representative in India?</w:t>
      </w:r>
    </w:p>
    <w:p w:rsidR="00023EE3" w:rsidRDefault="00023EE3" w:rsidP="00023EE3">
      <w:pPr>
        <w:pStyle w:val="NormalWeb"/>
      </w:pPr>
      <w:r>
        <w:t>A representative may undertake permitted acts under a properly drafted power of attorney, subject to the applicable requirements. The instrument does not itself transfer ownership.</w:t>
      </w:r>
    </w:p>
    <w:p w:rsidR="00023EE3" w:rsidRDefault="00023EE3" w:rsidP="00023EE3">
      <w:pPr>
        <w:pStyle w:val="Heading3"/>
      </w:pPr>
      <w:r>
        <w:t>9. Can property due diligence guarantee that there will be no dispute later?</w:t>
      </w:r>
    </w:p>
    <w:p w:rsidR="00023EE3" w:rsidRDefault="00023EE3" w:rsidP="00023EE3">
      <w:pPr>
        <w:pStyle w:val="NormalWeb"/>
      </w:pPr>
      <w:r>
        <w:t>No. Due diligence can identify known issues and risks in the available evidence, but it cannot guarantee that no undisclosed claim or future dispute will arise.</w:t>
      </w:r>
    </w:p>
    <w:p w:rsidR="00023EE3" w:rsidRDefault="00023EE3" w:rsidP="00023EE3">
      <w:pPr>
        <w:pStyle w:val="Heading3"/>
      </w:pPr>
      <w:r>
        <w:t>10. When should I appoint a lawyer for property verification?</w:t>
      </w:r>
    </w:p>
    <w:p w:rsidR="00023EE3" w:rsidRDefault="00023EE3" w:rsidP="00023EE3">
      <w:pPr>
        <w:pStyle w:val="NormalWeb"/>
      </w:pPr>
      <w:r>
        <w:t>Ideally, arrange legal review before signing a binding agreement or making a substantial payment. Early review may identify issues that can be clarified or resolved before the transaction progresses.</w:t>
      </w:r>
    </w:p>
    <w:p w:rsidR="00023EE3" w:rsidRDefault="00023EE3" w:rsidP="00023EE3">
      <w:pPr>
        <w:pStyle w:val="Heading2"/>
      </w:pPr>
      <w:r>
        <w:t>Planning to Buy Property in India From Overseas?</w:t>
      </w:r>
    </w:p>
    <w:p w:rsidR="00023EE3" w:rsidRDefault="00023EE3" w:rsidP="00023EE3">
      <w:pPr>
        <w:pStyle w:val="NormalWeb"/>
      </w:pPr>
      <w:r>
        <w:t>A property purchase is a significant financial commitment. Before paying an advance or signing a binding agreement, establish the seller's title, review the relevant public records, verify the property's classification and investigate material legal risks.</w:t>
      </w:r>
    </w:p>
    <w:p w:rsidR="00023EE3" w:rsidRDefault="00023EE3" w:rsidP="00023EE3">
      <w:pPr>
        <w:pStyle w:val="NormalWeb"/>
      </w:pPr>
      <w:r>
        <w:rPr>
          <w:rStyle w:val="Strong"/>
        </w:rPr>
        <w:t>RRC Law Associates provides legal assistance to overseas clients dealing with property title verification, ancestral property, succession, due diligence and property documentation in India.</w:t>
      </w:r>
    </w:p>
    <w:p w:rsidR="00023EE3" w:rsidRDefault="00023EE3" w:rsidP="00023EE3">
      <w:pPr>
        <w:pStyle w:val="NormalWeb"/>
      </w:pPr>
      <w:r>
        <w:t>Contact the firm to discuss the property's location, the documents available and the proposed transaction.</w:t>
      </w:r>
    </w:p>
    <w:p w:rsidR="00023EE3" w:rsidRDefault="00023EE3" w:rsidP="00023EE3">
      <w:pPr>
        <w:pStyle w:val="NormalWeb"/>
      </w:pPr>
      <w:r>
        <w:rPr>
          <w:rStyle w:val="Emphasis"/>
        </w:rPr>
        <w:t>Legal disclaimer: This article is for general informational purposes and is not a title certificate or legal opinion on any particular property. The scope and outcome of due diligence depend on the documents, records, searches and facts examined. Applicable laws and administrative requirements should be verified before acting. No particular title outcome or transaction result is guaranteed.</w:t>
      </w:r>
    </w:p>
    <w:p w:rsidR="00B23F78" w:rsidRDefault="00B23F78"/>
    <w:sectPr w:rsidR="00B23F78">
      <w:footerReference w:type="default" r:id="rId8"/>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36C49" w:rsidRDefault="00036C49" w:rsidP="00C419FF">
      <w:pPr>
        <w:spacing w:after="0" w:line="240" w:lineRule="auto"/>
      </w:pPr>
      <w:r>
        <w:separator/>
      </w:r>
    </w:p>
  </w:endnote>
  <w:endnote w:type="continuationSeparator" w:id="1">
    <w:p w:rsidR="00036C49" w:rsidRDefault="00036C49" w:rsidP="00C419F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8004610"/>
      <w:docPartObj>
        <w:docPartGallery w:val="Page Numbers (Bottom of Page)"/>
        <w:docPartUnique/>
      </w:docPartObj>
    </w:sdtPr>
    <w:sdtContent>
      <w:p w:rsidR="00C419FF" w:rsidRDefault="00C419FF">
        <w:pPr>
          <w:pStyle w:val="Footer"/>
          <w:jc w:val="center"/>
        </w:pPr>
        <w:fldSimple w:instr=" PAGE   \* MERGEFORMAT ">
          <w:r>
            <w:rPr>
              <w:noProof/>
            </w:rPr>
            <w:t>14</w:t>
          </w:r>
        </w:fldSimple>
      </w:p>
    </w:sdtContent>
  </w:sdt>
  <w:p w:rsidR="00C419FF" w:rsidRDefault="00C419F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36C49" w:rsidRDefault="00036C49" w:rsidP="00C419FF">
      <w:pPr>
        <w:spacing w:after="0" w:line="240" w:lineRule="auto"/>
      </w:pPr>
      <w:r>
        <w:separator/>
      </w:r>
    </w:p>
  </w:footnote>
  <w:footnote w:type="continuationSeparator" w:id="1">
    <w:p w:rsidR="00036C49" w:rsidRDefault="00036C49" w:rsidP="00C419F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8A02A1"/>
    <w:multiLevelType w:val="multilevel"/>
    <w:tmpl w:val="2B10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7F6C12"/>
    <w:multiLevelType w:val="multilevel"/>
    <w:tmpl w:val="677E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8F3E48"/>
    <w:multiLevelType w:val="multilevel"/>
    <w:tmpl w:val="2B96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A051DD"/>
    <w:multiLevelType w:val="multilevel"/>
    <w:tmpl w:val="B3B4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D86CF1"/>
    <w:multiLevelType w:val="multilevel"/>
    <w:tmpl w:val="476A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2E3EE4"/>
    <w:multiLevelType w:val="multilevel"/>
    <w:tmpl w:val="E69E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C7576E"/>
    <w:multiLevelType w:val="multilevel"/>
    <w:tmpl w:val="A880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6435DA"/>
    <w:multiLevelType w:val="multilevel"/>
    <w:tmpl w:val="4CEA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697D2B"/>
    <w:multiLevelType w:val="multilevel"/>
    <w:tmpl w:val="688E9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FDD3A84"/>
    <w:multiLevelType w:val="multilevel"/>
    <w:tmpl w:val="4694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32B1834"/>
    <w:multiLevelType w:val="multilevel"/>
    <w:tmpl w:val="9A92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88B4CD9"/>
    <w:multiLevelType w:val="multilevel"/>
    <w:tmpl w:val="E5D0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D766EDE"/>
    <w:multiLevelType w:val="multilevel"/>
    <w:tmpl w:val="20F6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E073713"/>
    <w:multiLevelType w:val="multilevel"/>
    <w:tmpl w:val="09B4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39C24A7"/>
    <w:multiLevelType w:val="multilevel"/>
    <w:tmpl w:val="BA18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3E1007F"/>
    <w:multiLevelType w:val="multilevel"/>
    <w:tmpl w:val="6C18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4A30D99"/>
    <w:multiLevelType w:val="multilevel"/>
    <w:tmpl w:val="BB48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1EF403F"/>
    <w:multiLevelType w:val="multilevel"/>
    <w:tmpl w:val="C5BE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228308D"/>
    <w:multiLevelType w:val="multilevel"/>
    <w:tmpl w:val="B934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
  </w:num>
  <w:num w:numId="3">
    <w:abstractNumId w:val="15"/>
  </w:num>
  <w:num w:numId="4">
    <w:abstractNumId w:val="9"/>
  </w:num>
  <w:num w:numId="5">
    <w:abstractNumId w:val="4"/>
  </w:num>
  <w:num w:numId="6">
    <w:abstractNumId w:val="8"/>
  </w:num>
  <w:num w:numId="7">
    <w:abstractNumId w:val="13"/>
  </w:num>
  <w:num w:numId="8">
    <w:abstractNumId w:val="2"/>
  </w:num>
  <w:num w:numId="9">
    <w:abstractNumId w:val="6"/>
  </w:num>
  <w:num w:numId="10">
    <w:abstractNumId w:val="16"/>
  </w:num>
  <w:num w:numId="11">
    <w:abstractNumId w:val="14"/>
  </w:num>
  <w:num w:numId="12">
    <w:abstractNumId w:val="11"/>
  </w:num>
  <w:num w:numId="13">
    <w:abstractNumId w:val="12"/>
  </w:num>
  <w:num w:numId="14">
    <w:abstractNumId w:val="5"/>
  </w:num>
  <w:num w:numId="15">
    <w:abstractNumId w:val="17"/>
  </w:num>
  <w:num w:numId="16">
    <w:abstractNumId w:val="18"/>
  </w:num>
  <w:num w:numId="17">
    <w:abstractNumId w:val="1"/>
  </w:num>
  <w:num w:numId="18">
    <w:abstractNumId w:val="7"/>
  </w:num>
  <w:num w:numId="1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useFELayout/>
  </w:compat>
  <w:rsids>
    <w:rsidRoot w:val="00B23F78"/>
    <w:rsid w:val="00023EE3"/>
    <w:rsid w:val="00036C49"/>
    <w:rsid w:val="00B23F78"/>
    <w:rsid w:val="00C419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23F7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23F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23E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F7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23F7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23F7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23F78"/>
    <w:rPr>
      <w:b/>
      <w:bCs/>
    </w:rPr>
  </w:style>
  <w:style w:type="character" w:styleId="HTMLCode">
    <w:name w:val="HTML Code"/>
    <w:basedOn w:val="DefaultParagraphFont"/>
    <w:uiPriority w:val="99"/>
    <w:semiHidden/>
    <w:unhideWhenUsed/>
    <w:rsid w:val="00B23F7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023EE3"/>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023EE3"/>
    <w:rPr>
      <w:i/>
      <w:iCs/>
    </w:rPr>
  </w:style>
  <w:style w:type="character" w:styleId="Hyperlink">
    <w:name w:val="Hyperlink"/>
    <w:basedOn w:val="DefaultParagraphFont"/>
    <w:uiPriority w:val="99"/>
    <w:semiHidden/>
    <w:unhideWhenUsed/>
    <w:rsid w:val="00023EE3"/>
    <w:rPr>
      <w:color w:val="0000FF"/>
      <w:u w:val="single"/>
    </w:rPr>
  </w:style>
  <w:style w:type="paragraph" w:styleId="Header">
    <w:name w:val="header"/>
    <w:basedOn w:val="Normal"/>
    <w:link w:val="HeaderChar"/>
    <w:uiPriority w:val="99"/>
    <w:semiHidden/>
    <w:unhideWhenUsed/>
    <w:rsid w:val="00C419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419FF"/>
  </w:style>
  <w:style w:type="paragraph" w:styleId="Footer">
    <w:name w:val="footer"/>
    <w:basedOn w:val="Normal"/>
    <w:link w:val="FooterChar"/>
    <w:uiPriority w:val="99"/>
    <w:unhideWhenUsed/>
    <w:rsid w:val="00C419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19FF"/>
  </w:style>
</w:styles>
</file>

<file path=word/webSettings.xml><?xml version="1.0" encoding="utf-8"?>
<w:webSettings xmlns:r="http://schemas.openxmlformats.org/officeDocument/2006/relationships" xmlns:w="http://schemas.openxmlformats.org/wordprocessingml/2006/main">
  <w:divs>
    <w:div w:id="1555196881">
      <w:bodyDiv w:val="1"/>
      <w:marLeft w:val="0"/>
      <w:marRight w:val="0"/>
      <w:marTop w:val="0"/>
      <w:marBottom w:val="0"/>
      <w:divBdr>
        <w:top w:val="none" w:sz="0" w:space="0" w:color="auto"/>
        <w:left w:val="none" w:sz="0" w:space="0" w:color="auto"/>
        <w:bottom w:val="none" w:sz="0" w:space="0" w:color="auto"/>
        <w:right w:val="none" w:sz="0" w:space="0" w:color="auto"/>
      </w:divBdr>
      <w:divsChild>
        <w:div w:id="1402294787">
          <w:marLeft w:val="0"/>
          <w:marRight w:val="0"/>
          <w:marTop w:val="0"/>
          <w:marBottom w:val="0"/>
          <w:divBdr>
            <w:top w:val="none" w:sz="0" w:space="0" w:color="auto"/>
            <w:left w:val="none" w:sz="0" w:space="0" w:color="auto"/>
            <w:bottom w:val="none" w:sz="0" w:space="0" w:color="auto"/>
            <w:right w:val="none" w:sz="0" w:space="0" w:color="auto"/>
          </w:divBdr>
          <w:divsChild>
            <w:div w:id="154429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services.tn.gov.in/eservicesnew/hom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14</Pages>
  <Words>3862</Words>
  <Characters>22019</Characters>
  <Application>Microsoft Office Word</Application>
  <DocSecurity>0</DocSecurity>
  <Lines>183</Lines>
  <Paragraphs>51</Paragraphs>
  <ScaleCrop>false</ScaleCrop>
  <Company>Grizli777</Company>
  <LinksUpToDate>false</LinksUpToDate>
  <CharactersWithSpaces>25830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4</cp:revision>
  <dcterms:created xsi:type="dcterms:W3CDTF">2026-10-12T07:12:00Z</dcterms:created>
  <dcterms:modified xsi:type="dcterms:W3CDTF">2026-10-12T08:16:00Z</dcterms:modified>
</cp:coreProperties>
</file>