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Light" w:hAnsi="Calibri Light"/>
          <w:b/>
          <w:i w:val="0"/>
          <w:color w:val="B87333"/>
          <w:sz w:val="48"/>
        </w:rPr>
        <w:t>Dissecting Investment Strategies</w:t>
        <w:br/>
        <w:t>in the Cross Section and Time Series</w:t>
      </w:r>
    </w:p>
    <w:p/>
    <w:p>
      <w:pPr>
        <w:jc w:val="center"/>
      </w:pPr>
      <w:r>
        <w:rPr>
          <w:rFonts w:ascii="Calibri" w:hAnsi="Calibri"/>
          <w:b w:val="0"/>
          <w:i/>
          <w:color w:val="444444"/>
          <w:sz w:val="26"/>
        </w:rPr>
        <w:t>A Practitioner Summary with Mathematics, Examples, and Application to Metals</w:t>
      </w:r>
    </w:p>
    <w:p/>
    <w:p>
      <w:pPr>
        <w:jc w:val="center"/>
      </w:pPr>
      <w:r>
        <w:rPr>
          <w:rFonts w:ascii="Calibri" w:hAnsi="Calibri"/>
          <w:b w:val="0"/>
          <w:i w:val="0"/>
          <w:color w:val="888888"/>
          <w:sz w:val="22"/>
        </w:rPr>
        <w:t>Source: Baz, Granger, Harvey, Le Roux, Rattray — Man AHL (December 2015)</w:t>
      </w:r>
    </w:p>
    <w:p>
      <w:pPr>
        <w:jc w:val="center"/>
      </w:pPr>
      <w:r>
        <w:rPr>
          <w:rFonts w:ascii="Calibri" w:hAnsi="Calibri"/>
          <w:b w:val="0"/>
          <w:i w:val="0"/>
          <w:color w:val="888888"/>
          <w:sz w:val="22"/>
        </w:rPr>
        <w:t>Summary by: Kartavya Joshi</w:t>
      </w:r>
    </w:p>
    <w:p>
      <w:r>
        <w:br w:type="page"/>
      </w:r>
    </w:p>
    <w:p>
      <w:pPr>
        <w:spacing w:before="80" w:after="120"/>
        <w:pBdr>
          <w:bottom w:val="single" w:sz="6" w:space="1" w:color="B87333"/>
        </w:pBdr>
      </w:pPr>
      <w:r>
        <w:rPr>
          <w:rFonts w:ascii="Calibri" w:hAnsi="Calibri"/>
          <w:b/>
          <w:i w:val="0"/>
          <w:color w:val="B87333"/>
          <w:sz w:val="26"/>
        </w:rPr>
        <w:t xml:space="preserve">Page 1  |  </w:t>
      </w:r>
      <w:r>
        <w:rPr>
          <w:rFonts w:ascii="Calibri" w:hAnsi="Calibri"/>
          <w:b/>
          <w:i w:val="0"/>
          <w:color w:val="B87333"/>
          <w:sz w:val="26"/>
        </w:rPr>
        <w:t>Big Picture: What the Paper Is About</w:t>
      </w:r>
    </w:p>
    <w:p>
      <w:pPr>
        <w:spacing w:after="80"/>
      </w:pPr>
      <w:r>
        <w:rPr>
          <w:rFonts w:ascii="Calibri" w:hAnsi="Calibri"/>
          <w:b w:val="0"/>
          <w:i w:val="0"/>
          <w:color w:val="1E1E1E"/>
          <w:sz w:val="22"/>
        </w:rPr>
        <w:t>The paper asks one deceptively simple question: does it matter whether you implement carry, momentum, or value as a directional (time-series) trade or as a relative-value (cross-sectional) trade? The answer is a definitive yes — and it differs by strategy.</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C2C2C"/>
          </w:tcPr>
          <w:p>
            <w:r>
              <w:rPr>
                <w:b/>
                <w:color w:val="FFFFFF"/>
                <w:sz w:val="19"/>
              </w:rPr>
              <w:t>Strategy</w:t>
            </w:r>
          </w:p>
        </w:tc>
        <w:tc>
          <w:tcPr>
            <w:tcW w:type="dxa" w:w="3969"/>
            <w:shd w:val="clear" w:color="auto" w:fill="2C2C2C"/>
          </w:tcPr>
          <w:p>
            <w:r>
              <w:rPr>
                <w:b/>
                <w:color w:val="FFFFFF"/>
                <w:sz w:val="19"/>
              </w:rPr>
              <w:t>Better Cross-Sectional?</w:t>
            </w:r>
          </w:p>
        </w:tc>
        <w:tc>
          <w:tcPr>
            <w:tcW w:type="dxa" w:w="3969"/>
            <w:shd w:val="clear" w:color="auto" w:fill="2C2C2C"/>
          </w:tcPr>
          <w:p>
            <w:r>
              <w:rPr>
                <w:b/>
                <w:color w:val="FFFFFF"/>
                <w:sz w:val="19"/>
              </w:rPr>
              <w:t>Better Time-Series?</w:t>
            </w:r>
          </w:p>
        </w:tc>
      </w:tr>
      <w:tr>
        <w:tc>
          <w:tcPr>
            <w:tcW w:type="dxa" w:w="2268"/>
            <w:shd w:val="clear" w:color="auto" w:fill="F5F0EB"/>
          </w:tcPr>
          <w:p>
            <w:r>
              <w:rPr>
                <w:sz w:val="19"/>
              </w:rPr>
              <w:t>Value</w:t>
            </w:r>
          </w:p>
        </w:tc>
        <w:tc>
          <w:tcPr>
            <w:tcW w:type="dxa" w:w="3969"/>
            <w:shd w:val="clear" w:color="auto" w:fill="F5F0EB"/>
          </w:tcPr>
          <w:p>
            <w:r>
              <w:rPr>
                <w:sz w:val="19"/>
              </w:rPr>
              <w:t>Yes — mean reversion relative</w:t>
            </w:r>
          </w:p>
        </w:tc>
        <w:tc>
          <w:tcPr>
            <w:tcW w:type="dxa" w:w="3969"/>
            <w:shd w:val="clear" w:color="auto" w:fill="F5F0EB"/>
          </w:tcPr>
          <w:p>
            <w:r>
              <w:rPr>
                <w:sz w:val="19"/>
              </w:rPr>
              <w:t>No — overwhelmed by global trend</w:t>
            </w:r>
          </w:p>
        </w:tc>
      </w:tr>
      <w:tr>
        <w:tc>
          <w:tcPr>
            <w:tcW w:type="dxa" w:w="2268"/>
            <w:shd w:val="clear" w:color="auto" w:fill="FAFAFA"/>
          </w:tcPr>
          <w:p>
            <w:r>
              <w:rPr>
                <w:sz w:val="19"/>
              </w:rPr>
              <w:t>Momentum</w:t>
            </w:r>
          </w:p>
        </w:tc>
        <w:tc>
          <w:tcPr>
            <w:tcW w:type="dxa" w:w="3969"/>
            <w:shd w:val="clear" w:color="auto" w:fill="FAFAFA"/>
          </w:tcPr>
          <w:p>
            <w:r>
              <w:rPr>
                <w:sz w:val="19"/>
              </w:rPr>
              <w:t>No — hedges out strong global trend</w:t>
            </w:r>
          </w:p>
        </w:tc>
        <w:tc>
          <w:tcPr>
            <w:tcW w:type="dxa" w:w="3969"/>
            <w:shd w:val="clear" w:color="auto" w:fill="FAFAFA"/>
          </w:tcPr>
          <w:p>
            <w:r>
              <w:rPr>
                <w:sz w:val="19"/>
              </w:rPr>
              <w:t>Yes — captures market directionality</w:t>
            </w:r>
          </w:p>
        </w:tc>
      </w:tr>
      <w:tr>
        <w:tc>
          <w:tcPr>
            <w:tcW w:type="dxa" w:w="2268"/>
            <w:shd w:val="clear" w:color="auto" w:fill="F5F0EB"/>
          </w:tcPr>
          <w:p>
            <w:r>
              <w:rPr>
                <w:sz w:val="19"/>
              </w:rPr>
              <w:t>Carry</w:t>
            </w:r>
          </w:p>
        </w:tc>
        <w:tc>
          <w:tcPr>
            <w:tcW w:type="dxa" w:w="3969"/>
            <w:shd w:val="clear" w:color="auto" w:fill="F5F0EB"/>
          </w:tcPr>
          <w:p>
            <w:r>
              <w:rPr>
                <w:sz w:val="19"/>
              </w:rPr>
              <w:t>Similar performance in both</w:t>
            </w:r>
          </w:p>
        </w:tc>
        <w:tc>
          <w:tcPr>
            <w:tcW w:type="dxa" w:w="3969"/>
            <w:shd w:val="clear" w:color="auto" w:fill="F5F0EB"/>
          </w:tcPr>
          <w:p>
            <w:r>
              <w:rPr>
                <w:sz w:val="19"/>
              </w:rPr>
              <w:t>Similar performance in both</w:t>
            </w:r>
          </w:p>
        </w:tc>
      </w:tr>
    </w:tbl>
    <w:p/>
    <w:p>
      <w:pPr>
        <w:spacing w:before="200" w:after="40"/>
      </w:pPr>
      <w:r>
        <w:rPr>
          <w:rFonts w:ascii="Calibri" w:hAnsi="Calibri"/>
          <w:b/>
          <w:i w:val="0"/>
          <w:color w:val="444444"/>
          <w:sz w:val="24"/>
        </w:rPr>
        <w:t>The Mathematical Link</w:t>
      </w:r>
    </w:p>
    <w:p>
      <w:pPr>
        <w:spacing w:after="80"/>
      </w:pPr>
      <w:r>
        <w:rPr>
          <w:rFonts w:ascii="Calibri" w:hAnsi="Calibri"/>
          <w:b w:val="0"/>
          <w:i w:val="0"/>
          <w:color w:val="1E1E1E"/>
          <w:sz w:val="22"/>
        </w:rPr>
        <w:t>Cross-sectional (CS) portfolio weights = time-series (TS) weights MINUS the cross-sectional average. That average is the global factor (e.g., 'all commodities rise'). So a CS portfolio is a TS portfolio with the global market trend hedged out.</w:t>
      </w:r>
    </w:p>
    <w:p>
      <w:pPr>
        <w:spacing w:before="200" w:after="40"/>
      </w:pPr>
      <w:r>
        <w:rPr>
          <w:rFonts w:ascii="Calibri" w:hAnsi="Calibri"/>
          <w:b/>
          <w:i w:val="0"/>
          <w:color w:val="444444"/>
          <w:sz w:val="24"/>
        </w:rPr>
        <w:t>Definitions</w:t>
      </w:r>
    </w:p>
    <w:p>
      <w:pPr>
        <w:pStyle w:val="ListBullet"/>
        <w:spacing w:after="40"/>
        <w:ind w:left="283"/>
      </w:pPr>
      <w:r>
        <w:rPr>
          <w:rFonts w:ascii="Calibri" w:hAnsi="Calibri"/>
          <w:b w:val="0"/>
          <w:i w:val="0"/>
          <w:color w:val="1E1E1E"/>
          <w:sz w:val="22"/>
        </w:rPr>
        <w:t>Cross-sectional: Rank assets, go long the best, short the worst. Always market-neutral.</w:t>
      </w:r>
    </w:p>
    <w:p>
      <w:pPr>
        <w:pStyle w:val="ListBullet"/>
        <w:spacing w:after="40"/>
        <w:ind w:left="283"/>
      </w:pPr>
      <w:r>
        <w:rPr>
          <w:rFonts w:ascii="Calibri" w:hAnsi="Calibri"/>
          <w:b w:val="0"/>
          <w:i w:val="0"/>
          <w:color w:val="1E1E1E"/>
          <w:sz w:val="22"/>
        </w:rPr>
        <w:t>Time-series: Each asset votes independently — long if signal &gt; 0, short if signal &lt; 0. Retains exposure to the global factor.</w:t>
      </w:r>
    </w:p>
    <w:p>
      <w:pPr>
        <w:spacing w:before="200" w:after="40"/>
      </w:pPr>
      <w:r>
        <w:rPr>
          <w:rFonts w:ascii="Calibri" w:hAnsi="Calibri"/>
          <w:b/>
          <w:i w:val="0"/>
          <w:color w:val="444444"/>
          <w:sz w:val="24"/>
        </w:rPr>
        <w:t>Practical Implication for Metals</w:t>
      </w:r>
    </w:p>
    <w:p>
      <w:pPr>
        <w:spacing w:after="60"/>
        <w:ind w:left="567"/>
      </w:pPr>
      <w:r>
        <w:rPr>
          <w:i/>
          <w:color w:val="664422"/>
          <w:sz w:val="20"/>
        </w:rPr>
        <w:t>▶  A backwardation/carry signal on copper → trade it directionally (TS: long copper futures).</w:t>
      </w:r>
    </w:p>
    <w:p>
      <w:pPr>
        <w:spacing w:after="60"/>
        <w:ind w:left="567"/>
      </w:pPr>
      <w:r>
        <w:rPr>
          <w:i/>
          <w:color w:val="664422"/>
          <w:sz w:val="20"/>
        </w:rPr>
        <w:t>▶  A value signal comparing copper to aluminium → trade it as a spread (CS: long Cu, short Al).</w:t>
      </w:r>
    </w:p>
    <w:p>
      <w:pPr>
        <w:spacing w:after="60"/>
        <w:ind w:left="567"/>
      </w:pPr>
      <w:r>
        <w:rPr>
          <w:i/>
          <w:color w:val="664422"/>
          <w:sz w:val="20"/>
        </w:rPr>
        <w:t>▶  Momentum → substantially more powerful as TS for commodities because of the China/dollar cycle.</w:t>
      </w:r>
    </w:p>
    <w:p>
      <w:pPr>
        <w:spacing w:before="200" w:after="40"/>
      </w:pPr>
      <w:r>
        <w:rPr>
          <w:rFonts w:ascii="Calibri" w:hAnsi="Calibri"/>
          <w:b/>
          <w:i w:val="0"/>
          <w:color w:val="444444"/>
          <w:sz w:val="24"/>
        </w:rPr>
        <w:t>Study Scope</w:t>
      </w:r>
    </w:p>
    <w:p>
      <w:pPr>
        <w:spacing w:after="80"/>
      </w:pPr>
      <w:r>
        <w:rPr>
          <w:rFonts w:ascii="Calibri" w:hAnsi="Calibri"/>
          <w:b w:val="0"/>
          <w:i w:val="0"/>
          <w:color w:val="1E1E1E"/>
          <w:sz w:val="22"/>
        </w:rPr>
        <w:t>Sample: January 1990 to April 2015. Universe: 26 equity futures, 14 interest-rate swaps, 31 FX pairs, 16 commodity futures. All prices in USD, mid-market. When all three strategies are combined in both TS and CS implementations, the all-asset Sharpe ratio reaches 1.61.</w:t>
      </w:r>
    </w:p>
    <w:p>
      <w:r>
        <w:br w:type="page"/>
      </w:r>
    </w:p>
    <w:p>
      <w:pPr>
        <w:spacing w:before="80" w:after="120"/>
        <w:pBdr>
          <w:bottom w:val="single" w:sz="6" w:space="1" w:color="B87333"/>
        </w:pBdr>
      </w:pPr>
      <w:r>
        <w:rPr>
          <w:rFonts w:ascii="Calibri" w:hAnsi="Calibri"/>
          <w:b/>
          <w:i w:val="0"/>
          <w:color w:val="B87333"/>
          <w:sz w:val="26"/>
        </w:rPr>
        <w:t xml:space="preserve">Page 2  |  </w:t>
      </w:r>
      <w:r>
        <w:rPr>
          <w:rFonts w:ascii="Calibri" w:hAnsi="Calibri"/>
          <w:b/>
          <w:i w:val="0"/>
          <w:color w:val="B87333"/>
          <w:sz w:val="26"/>
        </w:rPr>
        <w:t>Economic Foundations: Carry</w:t>
      </w:r>
    </w:p>
    <w:p>
      <w:pPr>
        <w:spacing w:before="200" w:after="40"/>
      </w:pPr>
      <w:r>
        <w:rPr>
          <w:rFonts w:ascii="Calibri" w:hAnsi="Calibri"/>
          <w:b/>
          <w:i w:val="0"/>
          <w:color w:val="444444"/>
          <w:sz w:val="24"/>
        </w:rPr>
        <w:t>2.1  What Is Carry?</w:t>
      </w:r>
    </w:p>
    <w:p>
      <w:pPr>
        <w:spacing w:after="80"/>
      </w:pPr>
      <w:r>
        <w:rPr>
          <w:rFonts w:ascii="Calibri" w:hAnsi="Calibri"/>
          <w:b w:val="0"/>
          <w:i w:val="0"/>
          <w:color w:val="1E1E1E"/>
          <w:sz w:val="22"/>
        </w:rPr>
        <w:t>Carry is the profit you earn if prices do not move — the difference between the spot price and the forward price of an asset.</w:t>
      </w:r>
    </w:p>
    <w:p>
      <w:pPr>
        <w:spacing w:before="60" w:after="60"/>
        <w:ind w:left="850"/>
      </w:pPr>
      <w:r>
        <w:rPr>
          <w:rFonts w:ascii="Courier New" w:hAnsi="Courier New"/>
          <w:color w:val="1A1A6C"/>
          <w:sz w:val="20"/>
        </w:rPr>
        <w:t>Carry(t) = Spot(t) - Forward(t, T)</w:t>
      </w:r>
    </w:p>
    <w:p>
      <w:pPr>
        <w:spacing w:after="80"/>
      </w:pPr>
      <w:r>
        <w:rPr>
          <w:rFonts w:ascii="Calibri" w:hAnsi="Calibri"/>
          <w:b w:val="0"/>
          <w:i w:val="0"/>
          <w:color w:val="1E1E1E"/>
          <w:sz w:val="22"/>
        </w:rPr>
        <w:t>A simple carry trade: buy the asset forward if carry is positive (backwardation); sell it forward if carry is negative (contango).</w:t>
      </w:r>
    </w:p>
    <w:p>
      <w:pPr>
        <w:spacing w:before="200" w:after="40"/>
      </w:pPr>
      <w:r>
        <w:rPr>
          <w:rFonts w:ascii="Calibri" w:hAnsi="Calibri"/>
          <w:b/>
          <w:i w:val="0"/>
          <w:color w:val="444444"/>
          <w:sz w:val="24"/>
        </w:rPr>
        <w:t>2.2  Why Does the Forward Price Differ from the Expected Spot?</w:t>
      </w:r>
    </w:p>
    <w:p>
      <w:pPr>
        <w:spacing w:after="80"/>
      </w:pPr>
      <w:r>
        <w:rPr>
          <w:rFonts w:ascii="Calibri" w:hAnsi="Calibri"/>
          <w:b w:val="0"/>
          <w:i w:val="0"/>
          <w:color w:val="1E1E1E"/>
          <w:sz w:val="22"/>
        </w:rPr>
        <w:t>If forward prices were unbiased predictors of future spot prices (Eq. 1):</w:t>
      </w:r>
    </w:p>
    <w:p>
      <w:pPr>
        <w:spacing w:before="60" w:after="60"/>
        <w:ind w:left="850"/>
      </w:pPr>
      <w:r>
        <w:rPr>
          <w:rFonts w:ascii="Courier New" w:hAnsi="Courier New"/>
          <w:color w:val="1A1A6C"/>
          <w:sz w:val="20"/>
        </w:rPr>
        <w:t>F(t,T) = E_t[S_T]</w:t>
      </w:r>
    </w:p>
    <w:p>
      <w:pPr>
        <w:spacing w:after="80"/>
      </w:pPr>
      <w:r>
        <w:rPr>
          <w:rFonts w:ascii="Calibri" w:hAnsi="Calibri"/>
          <w:b w:val="0"/>
          <w:i w:val="0"/>
          <w:color w:val="1E1E1E"/>
          <w:sz w:val="22"/>
        </w:rPr>
        <w:t>By Jensen's inequality, this cannot hold simultaneously for the price and its reciprocal. Therefore forward prices are systematically biased — this bias is the engine of the carry trade.</w:t>
      </w:r>
    </w:p>
    <w:p>
      <w:pPr>
        <w:spacing w:before="200" w:after="40"/>
      </w:pPr>
      <w:r>
        <w:rPr>
          <w:rFonts w:ascii="Calibri" w:hAnsi="Calibri"/>
          <w:b/>
          <w:i w:val="0"/>
          <w:color w:val="444444"/>
          <w:sz w:val="24"/>
        </w:rPr>
        <w:t>2.3  CAPM Derivation of Carry P&amp;L</w:t>
      </w:r>
    </w:p>
    <w:p>
      <w:pPr>
        <w:spacing w:after="80"/>
      </w:pPr>
      <w:r>
        <w:rPr>
          <w:rFonts w:ascii="Calibri" w:hAnsi="Calibri"/>
          <w:b w:val="0"/>
          <w:i w:val="0"/>
          <w:color w:val="1E1E1E"/>
          <w:sz w:val="22"/>
        </w:rPr>
        <w:t>No-arbitrage forward pricing for a dividend/convenience-yield-paying asset (Eq. 4):</w:t>
      </w:r>
    </w:p>
    <w:p>
      <w:pPr>
        <w:spacing w:before="60" w:after="60"/>
        <w:ind w:left="850"/>
      </w:pPr>
      <w:r>
        <w:rPr>
          <w:rFonts w:ascii="Courier New" w:hAnsi="Courier New"/>
          <w:color w:val="1A1A6C"/>
          <w:sz w:val="20"/>
        </w:rPr>
        <w:t>F(t,T) = S(t) x exp[(r - d)(T - t)]</w:t>
      </w:r>
    </w:p>
    <w:p>
      <w:pPr>
        <w:spacing w:after="80"/>
      </w:pPr>
      <w:r>
        <w:rPr>
          <w:rFonts w:ascii="Calibri" w:hAnsi="Calibri"/>
          <w:b w:val="0"/>
          <w:i w:val="0"/>
          <w:color w:val="1E1E1E"/>
          <w:sz w:val="22"/>
        </w:rPr>
        <w:t>With CAPM, the expected spot price (Eq. 5):</w:t>
      </w:r>
    </w:p>
    <w:p>
      <w:pPr>
        <w:spacing w:before="60" w:after="60"/>
        <w:ind w:left="850"/>
      </w:pPr>
      <w:r>
        <w:rPr>
          <w:rFonts w:ascii="Courier New" w:hAnsi="Courier New"/>
          <w:color w:val="1A1A6C"/>
          <w:sz w:val="20"/>
        </w:rPr>
        <w:t>E_t[S_T] = S(t) x exp[(r + beta*pi - d)(T - t)]</w:t>
      </w:r>
    </w:p>
    <w:p>
      <w:pPr>
        <w:spacing w:after="80"/>
      </w:pPr>
      <w:r>
        <w:rPr>
          <w:rFonts w:ascii="Calibri" w:hAnsi="Calibri"/>
          <w:b w:val="0"/>
          <w:i w:val="0"/>
          <w:color w:val="1E1E1E"/>
          <w:sz w:val="22"/>
        </w:rPr>
        <w:t>where beta = asset beta, pi = equity risk premium. Expected P&amp;L on a long forward (Eq. 7):</w:t>
      </w:r>
    </w:p>
    <w:p>
      <w:pPr>
        <w:spacing w:before="60" w:after="60"/>
        <w:ind w:left="850"/>
      </w:pPr>
      <w:r>
        <w:rPr>
          <w:rFonts w:ascii="Courier New" w:hAnsi="Courier New"/>
          <w:color w:val="1A1A6C"/>
          <w:sz w:val="20"/>
        </w:rPr>
        <w:t>E_t[S_T] - F(t,T) = S(t) x exp[(r-d)(T-t)] x [exp(beta*pi*(T-t)) - 1]  &gt; 0</w:t>
      </w:r>
    </w:p>
    <w:p>
      <w:pPr>
        <w:spacing w:after="80"/>
      </w:pPr>
      <w:r>
        <w:rPr>
          <w:rFonts w:ascii="Calibri" w:hAnsi="Calibri"/>
          <w:b w:val="0"/>
          <w:i w:val="0"/>
          <w:color w:val="1E1E1E"/>
          <w:sz w:val="22"/>
        </w:rPr>
        <w:t>Key insight: The forward bias depends on beta*pi (market risk premium), NOT on r-d (carry). To link carry to forward bias you need a dividend/value factor in the pricing model (Eqs. 8-9), which makes the forward bias correlated with the dividend yield — the basis of the carry trade.</w:t>
      </w:r>
    </w:p>
    <w:p>
      <w:pPr>
        <w:spacing w:before="200" w:after="40"/>
      </w:pPr>
      <w:r>
        <w:rPr>
          <w:rFonts w:ascii="Calibri" w:hAnsi="Calibri"/>
          <w:b/>
          <w:i w:val="0"/>
          <w:color w:val="444444"/>
          <w:sz w:val="24"/>
        </w:rPr>
        <w:t>2.4  Commodity Carry: Backwardation</w:t>
      </w:r>
    </w:p>
    <w:p>
      <w:pPr>
        <w:spacing w:after="80"/>
      </w:pPr>
      <w:r>
        <w:rPr>
          <w:rFonts w:ascii="Calibri" w:hAnsi="Calibri"/>
          <w:b w:val="0"/>
          <w:i w:val="0"/>
          <w:color w:val="1E1E1E"/>
          <w:sz w:val="22"/>
        </w:rPr>
        <w:t>In commodities, backwardation (spot &gt; futures) arises from two competing theories:</w:t>
      </w:r>
    </w:p>
    <w:p>
      <w:pPr>
        <w:pStyle w:val="ListBullet"/>
        <w:spacing w:after="40"/>
        <w:ind w:left="283"/>
      </w:pPr>
      <w:r>
        <w:rPr>
          <w:rFonts w:ascii="Calibri" w:hAnsi="Calibri"/>
          <w:b w:val="0"/>
          <w:i w:val="0"/>
          <w:color w:val="1E1E1E"/>
          <w:sz w:val="22"/>
        </w:rPr>
        <w:t>Keynes (Normal Backwardation): Producers sell futures to hedge price falls → structural excess futures supply → futures trade below expected spot to attract speculators.</w:t>
      </w:r>
    </w:p>
    <w:p>
      <w:pPr>
        <w:pStyle w:val="ListBullet"/>
        <w:spacing w:after="40"/>
        <w:ind w:left="283"/>
      </w:pPr>
      <w:r>
        <w:rPr>
          <w:rFonts w:ascii="Calibri" w:hAnsi="Calibri"/>
          <w:b w:val="0"/>
          <w:i w:val="0"/>
          <w:color w:val="1E1E1E"/>
          <w:sz w:val="22"/>
        </w:rPr>
        <w:t>Storage Theory (Kaldor 1939, Working 1933): Low inventories → high convenience yield → high carry → backwardation. Profits persist because inventories take time to rebuild.</w:t>
      </w:r>
    </w:p>
    <w:p>
      <w:pPr>
        <w:spacing w:after="60"/>
        <w:ind w:left="567"/>
      </w:pPr>
      <w:r>
        <w:rPr>
          <w:i/>
          <w:color w:val="664422"/>
          <w:sz w:val="20"/>
        </w:rPr>
        <w:t>▶  Metals example: LME copper spot = $9,200/t, 3M future = $9,100/t. Annualised carry = 4 x (9,200/9,100 - 1) = +4.4%. Backwardated: carry signal says LONG copper.</w:t>
      </w:r>
    </w:p>
    <w:p>
      <w:r>
        <w:br w:type="page"/>
      </w:r>
    </w:p>
    <w:p>
      <w:pPr>
        <w:spacing w:before="80" w:after="120"/>
        <w:pBdr>
          <w:bottom w:val="single" w:sz="6" w:space="1" w:color="B87333"/>
        </w:pBdr>
      </w:pPr>
      <w:r>
        <w:rPr>
          <w:rFonts w:ascii="Calibri" w:hAnsi="Calibri"/>
          <w:b/>
          <w:i w:val="0"/>
          <w:color w:val="B87333"/>
          <w:sz w:val="26"/>
        </w:rPr>
        <w:t xml:space="preserve">Page 3  |  </w:t>
      </w:r>
      <w:r>
        <w:rPr>
          <w:rFonts w:ascii="Calibri" w:hAnsi="Calibri"/>
          <w:b/>
          <w:i w:val="0"/>
          <w:color w:val="B87333"/>
          <w:sz w:val="26"/>
        </w:rPr>
        <w:t>Economic Foundations: Momentum</w:t>
      </w:r>
    </w:p>
    <w:p>
      <w:pPr>
        <w:spacing w:before="200" w:after="40"/>
      </w:pPr>
      <w:r>
        <w:rPr>
          <w:rFonts w:ascii="Calibri" w:hAnsi="Calibri"/>
          <w:b/>
          <w:i w:val="0"/>
          <w:color w:val="444444"/>
          <w:sz w:val="24"/>
        </w:rPr>
        <w:t>3.1  What Is Momentum?</w:t>
      </w:r>
    </w:p>
    <w:p>
      <w:pPr>
        <w:spacing w:after="80"/>
      </w:pPr>
      <w:r>
        <w:rPr>
          <w:rFonts w:ascii="Calibri" w:hAnsi="Calibri"/>
          <w:b w:val="0"/>
          <w:i w:val="0"/>
          <w:color w:val="1E1E1E"/>
          <w:sz w:val="22"/>
        </w:rPr>
        <w:t>Momentum is persistence in asset returns: past winners tend to continue outperforming, past losers continue underperforming. The empirical sweet spot is 6-12 months. Returns are mean-reverting at horizons below 1 month and above 3 years.</w:t>
      </w:r>
    </w:p>
    <w:p>
      <w:pPr>
        <w:spacing w:before="200" w:after="40"/>
      </w:pPr>
      <w:r>
        <w:rPr>
          <w:rFonts w:ascii="Calibri" w:hAnsi="Calibri"/>
          <w:b/>
          <w:i w:val="0"/>
          <w:color w:val="444444"/>
          <w:sz w:val="24"/>
        </w:rPr>
        <w:t>3.2  Risk-Based Theory</w:t>
      </w:r>
    </w:p>
    <w:p>
      <w:pPr>
        <w:spacing w:after="80"/>
      </w:pPr>
      <w:r>
        <w:rPr>
          <w:rFonts w:ascii="Calibri" w:hAnsi="Calibri"/>
          <w:b w:val="0"/>
          <w:i w:val="0"/>
          <w:color w:val="1E1E1E"/>
          <w:sz w:val="22"/>
        </w:rPr>
        <w:t>Momentum can arise rationally: high-past-return assets may have higher expected future returns because they are more exposed to macroeconomic risk factors (e.g., industrial production growth — Liu &amp; Zhang 2008). If realised and expected returns are highly correlated, the cross-section of winners has higher expected returns going forward.</w:t>
      </w:r>
    </w:p>
    <w:p>
      <w:pPr>
        <w:spacing w:before="200" w:after="40"/>
      </w:pPr>
      <w:r>
        <w:rPr>
          <w:rFonts w:ascii="Calibri" w:hAnsi="Calibri"/>
          <w:b/>
          <w:i w:val="0"/>
          <w:color w:val="444444"/>
          <w:sz w:val="24"/>
        </w:rPr>
        <w:t>3.3  Behavioural Model: The Disposition Effect</w:t>
      </w:r>
    </w:p>
    <w:p>
      <w:pPr>
        <w:spacing w:after="80"/>
      </w:pPr>
      <w:r>
        <w:rPr>
          <w:rFonts w:ascii="Calibri" w:hAnsi="Calibri"/>
          <w:b w:val="0"/>
          <w:i w:val="0"/>
          <w:color w:val="1E1E1E"/>
          <w:sz w:val="22"/>
        </w:rPr>
        <w:t>Grinblatt and Han (2002) model a market with rational investors (fraction mu) and disposition investors (fraction 1-mu, who hold losers too long and sell winners early). Their demand curves (Eq. 10):</w:t>
      </w:r>
    </w:p>
    <w:p>
      <w:pPr>
        <w:spacing w:before="60" w:after="60"/>
        <w:ind w:left="850"/>
      </w:pPr>
      <w:r>
        <w:rPr>
          <w:rFonts w:ascii="Courier New" w:hAnsi="Courier New"/>
          <w:color w:val="1A1A6C"/>
          <w:sz w:val="20"/>
        </w:rPr>
        <w:t>Rational:     D_t^r = 1 + beta*(F_t - P_t)</w:t>
      </w:r>
    </w:p>
    <w:p>
      <w:pPr>
        <w:spacing w:before="60" w:after="60"/>
        <w:ind w:left="850"/>
      </w:pPr>
      <w:r>
        <w:rPr>
          <w:rFonts w:ascii="Courier New" w:hAnsi="Courier New"/>
          <w:color w:val="1A1A6C"/>
          <w:sz w:val="20"/>
        </w:rPr>
        <w:t>Disposition:  D_t^d = 1 + beta*(F_t - P_t) + alpha*(P_{t-1} - P_t)</w:t>
      </w:r>
    </w:p>
    <w:p>
      <w:pPr>
        <w:spacing w:after="80"/>
      </w:pPr>
      <w:r>
        <w:rPr>
          <w:rFonts w:ascii="Calibri" w:hAnsi="Calibri"/>
          <w:b w:val="0"/>
          <w:i w:val="0"/>
          <w:color w:val="1E1E1E"/>
          <w:sz w:val="22"/>
        </w:rPr>
        <w:t>F_t = fundamental price, P_t = market-clearing price. alpha &gt; 0: disposition investors demand more when today's price is below yesterday's. Aggregating demand = supply = 1 (Eq. 11):</w:t>
      </w:r>
    </w:p>
    <w:p>
      <w:pPr>
        <w:spacing w:before="60" w:after="60"/>
        <w:ind w:left="850"/>
      </w:pPr>
      <w:r>
        <w:rPr>
          <w:rFonts w:ascii="Courier New" w:hAnsi="Courier New"/>
          <w:color w:val="1A1A6C"/>
          <w:sz w:val="20"/>
        </w:rPr>
        <w:t>mu*D_t^r + (1 - mu)*D_t^d = 1</w:t>
      </w:r>
    </w:p>
    <w:p>
      <w:pPr>
        <w:spacing w:after="80"/>
      </w:pPr>
      <w:r>
        <w:rPr>
          <w:rFonts w:ascii="Calibri" w:hAnsi="Calibri"/>
          <w:b w:val="0"/>
          <w:i w:val="0"/>
          <w:color w:val="1E1E1E"/>
          <w:sz w:val="22"/>
        </w:rPr>
        <w:t>Solving for equilibrium price (Eq. 12):</w:t>
      </w:r>
    </w:p>
    <w:p>
      <w:pPr>
        <w:spacing w:before="60" w:after="60"/>
        <w:ind w:left="850"/>
      </w:pPr>
      <w:r>
        <w:rPr>
          <w:rFonts w:ascii="Courier New" w:hAnsi="Courier New"/>
          <w:color w:val="1A1A6C"/>
          <w:sz w:val="20"/>
        </w:rPr>
        <w:t>P_t = w*F_t + (1 - w)*P_{t-1},    where w = 1 / (1 + mu*alpha)</w:t>
      </w:r>
    </w:p>
    <w:p>
      <w:pPr>
        <w:spacing w:after="80"/>
      </w:pPr>
      <w:r>
        <w:rPr>
          <w:rFonts w:ascii="Calibri" w:hAnsi="Calibri"/>
          <w:b w:val="0"/>
          <w:i w:val="0"/>
          <w:color w:val="1E1E1E"/>
          <w:sz w:val="22"/>
        </w:rPr>
        <w:t>The equilibrium price is a weighted average of fundamental value and yesterday's price — it only partially reflects fundamentals. This underreaction creates positive autocorrelation (momentum). The smaller mu (fewer rational investors), the slower prices adjust.</w:t>
      </w:r>
    </w:p>
    <w:p>
      <w:pPr>
        <w:spacing w:after="60"/>
        <w:ind w:left="567"/>
      </w:pPr>
      <w:r>
        <w:rPr>
          <w:i/>
          <w:color w:val="664422"/>
          <w:sz w:val="20"/>
        </w:rPr>
        <w:t>▶  Example: If copper's fundamental value jumps from $9,000 to $10,000, the market price moves to only $9,200 on day 1, then $9,380 on day 2, creating a measurable uptrend that a momentum signal can exploit.</w:t>
      </w:r>
    </w:p>
    <w:p>
      <w:pPr>
        <w:spacing w:before="200" w:after="40"/>
      </w:pPr>
      <w:r>
        <w:rPr>
          <w:rFonts w:ascii="Calibri" w:hAnsi="Calibri"/>
          <w:b/>
          <w:i w:val="0"/>
          <w:color w:val="444444"/>
          <w:sz w:val="24"/>
        </w:rPr>
        <w:t>3.4  Why Momentum Works Better in Time-Series for Metals</w:t>
      </w:r>
    </w:p>
    <w:p>
      <w:pPr>
        <w:spacing w:after="80"/>
      </w:pPr>
      <w:r>
        <w:rPr>
          <w:rFonts w:ascii="Calibri" w:hAnsi="Calibri"/>
          <w:b w:val="0"/>
          <w:i w:val="0"/>
          <w:color w:val="1E1E1E"/>
          <w:sz w:val="22"/>
        </w:rPr>
        <w:t>Commodity markets exhibit strong global co-movement driven by the dollar, risk sentiment, and China demand. When this global factor trends — e.g., a commodity supercycle — the time-series signal captures it directly. A cross-sectional signal hedges out the common trend, leaving only the idiosyncratic metal-to-metal spread, which is weaker. The paper confirms: momentum Sharpe doubles (0.42 CS to 0.96 TS) all-asset.</w:t>
      </w:r>
    </w:p>
    <w:p>
      <w:r>
        <w:br w:type="page"/>
      </w:r>
    </w:p>
    <w:p>
      <w:pPr>
        <w:spacing w:before="80" w:after="120"/>
        <w:pBdr>
          <w:bottom w:val="single" w:sz="6" w:space="1" w:color="B87333"/>
        </w:pBdr>
      </w:pPr>
      <w:r>
        <w:rPr>
          <w:rFonts w:ascii="Calibri" w:hAnsi="Calibri"/>
          <w:b/>
          <w:i w:val="0"/>
          <w:color w:val="B87333"/>
          <w:sz w:val="26"/>
        </w:rPr>
        <w:t xml:space="preserve">Page 4  |  </w:t>
      </w:r>
      <w:r>
        <w:rPr>
          <w:rFonts w:ascii="Calibri" w:hAnsi="Calibri"/>
          <w:b/>
          <w:i w:val="0"/>
          <w:color w:val="B87333"/>
          <w:sz w:val="26"/>
        </w:rPr>
        <w:t>Economic Foundations: Value</w:t>
      </w:r>
    </w:p>
    <w:p>
      <w:pPr>
        <w:spacing w:before="200" w:after="40"/>
      </w:pPr>
      <w:r>
        <w:rPr>
          <w:rFonts w:ascii="Calibri" w:hAnsi="Calibri"/>
          <w:b/>
          <w:i w:val="0"/>
          <w:color w:val="444444"/>
          <w:sz w:val="24"/>
        </w:rPr>
        <w:t>4.1  What Is Value?</w:t>
      </w:r>
    </w:p>
    <w:p>
      <w:pPr>
        <w:spacing w:after="80"/>
      </w:pPr>
      <w:r>
        <w:rPr>
          <w:rFonts w:ascii="Calibri" w:hAnsi="Calibri"/>
          <w:b w:val="0"/>
          <w:i w:val="0"/>
          <w:color w:val="1E1E1E"/>
          <w:sz w:val="22"/>
        </w:rPr>
        <w:t>Value is the deviation of a market price from its fundamental (fair) value, exploiting mean-reversion back to fundamentals over long horizons (typically 1-5 years).</w:t>
      </w:r>
    </w:p>
    <w:p>
      <w:pPr>
        <w:spacing w:before="200" w:after="40"/>
      </w:pPr>
      <w:r>
        <w:rPr>
          <w:rFonts w:ascii="Calibri" w:hAnsi="Calibri"/>
          <w:b/>
          <w:i w:val="0"/>
          <w:color w:val="444444"/>
          <w:sz w:val="24"/>
        </w:rPr>
        <w:t>4.2  Interest Rate Value: Consumption Model</w:t>
      </w:r>
    </w:p>
    <w:p>
      <w:pPr>
        <w:spacing w:after="80"/>
      </w:pPr>
      <w:r>
        <w:rPr>
          <w:rFonts w:ascii="Calibri" w:hAnsi="Calibri"/>
          <w:b w:val="0"/>
          <w:i w:val="0"/>
          <w:color w:val="1E1E1E"/>
          <w:sz w:val="22"/>
        </w:rPr>
        <w:t>From a two-period consumption model, the inter-temporal equilibrium condition (Eq. 13):</w:t>
      </w:r>
    </w:p>
    <w:p>
      <w:pPr>
        <w:spacing w:before="60" w:after="60"/>
        <w:ind w:left="850"/>
      </w:pPr>
      <w:r>
        <w:rPr>
          <w:rFonts w:ascii="Courier New" w:hAnsi="Courier New"/>
          <w:color w:val="1A1A6C"/>
          <w:sz w:val="20"/>
        </w:rPr>
        <w:t>E_t [ exp(r - rho) x U'(C_{t+1}) / U'(C_t) ] = 1</w:t>
      </w:r>
    </w:p>
    <w:p>
      <w:pPr>
        <w:spacing w:after="80"/>
      </w:pPr>
      <w:r>
        <w:rPr>
          <w:rFonts w:ascii="Calibri" w:hAnsi="Calibri"/>
          <w:b w:val="0"/>
          <w:i w:val="0"/>
          <w:color w:val="1E1E1E"/>
          <w:sz w:val="22"/>
        </w:rPr>
        <w:t>With log utility and log-normal consumption, the equilibrium real interest rate (Eq. 14):</w:t>
      </w:r>
    </w:p>
    <w:p>
      <w:pPr>
        <w:spacing w:before="60" w:after="60"/>
        <w:ind w:left="850"/>
      </w:pPr>
      <w:r>
        <w:rPr>
          <w:rFonts w:ascii="Courier New" w:hAnsi="Courier New"/>
          <w:color w:val="1A1A6C"/>
          <w:sz w:val="20"/>
        </w:rPr>
        <w:t>r = g + rho - sigma^2</w:t>
      </w:r>
    </w:p>
    <w:p>
      <w:pPr>
        <w:spacing w:after="80"/>
      </w:pPr>
      <w:r>
        <w:rPr>
          <w:rFonts w:ascii="Calibri" w:hAnsi="Calibri"/>
          <w:b w:val="0"/>
          <w:i w:val="0"/>
          <w:color w:val="1E1E1E"/>
          <w:sz w:val="22"/>
        </w:rPr>
        <w:t>where g = real consumption growth, rho = time preference, sigma = consumption vol. In a deterministic world: r = g. Value signal for rates (Eq. 37):</w:t>
      </w:r>
    </w:p>
    <w:p>
      <w:pPr>
        <w:spacing w:before="60" w:after="60"/>
        <w:ind w:left="850"/>
      </w:pPr>
      <w:r>
        <w:rPr>
          <w:rFonts w:ascii="Courier New" w:hAnsi="Courier New"/>
          <w:color w:val="1A1A6C"/>
          <w:sz w:val="20"/>
        </w:rPr>
        <w:t>Value(t) = S_10Y(t) - GDP(t)</w:t>
      </w:r>
    </w:p>
    <w:p>
      <w:pPr>
        <w:spacing w:after="80"/>
      </w:pPr>
      <w:r>
        <w:rPr>
          <w:rFonts w:ascii="Calibri" w:hAnsi="Calibri"/>
          <w:b w:val="0"/>
          <w:i w:val="0"/>
          <w:color w:val="1E1E1E"/>
          <w:sz w:val="22"/>
        </w:rPr>
        <w:t>A high 10Y swap rate relative to GDP growth means rates are 'expensive' (bond prices cheap) → go long bonds (receive fixed). A low rate relative to GDP growth means go short bonds.</w:t>
      </w:r>
    </w:p>
    <w:p>
      <w:pPr>
        <w:spacing w:before="200" w:after="40"/>
      </w:pPr>
      <w:r>
        <w:rPr>
          <w:rFonts w:ascii="Calibri" w:hAnsi="Calibri"/>
          <w:b/>
          <w:i w:val="0"/>
          <w:color w:val="444444"/>
          <w:sz w:val="24"/>
        </w:rPr>
        <w:t>4.3  Equity Value: Gordon Growth / Dividend Discount</w:t>
      </w:r>
    </w:p>
    <w:p>
      <w:pPr>
        <w:spacing w:after="80"/>
      </w:pPr>
      <w:r>
        <w:rPr>
          <w:rFonts w:ascii="Calibri" w:hAnsi="Calibri"/>
          <w:b w:val="0"/>
          <w:i w:val="0"/>
          <w:color w:val="1E1E1E"/>
          <w:sz w:val="22"/>
        </w:rPr>
        <w:t>Stock price as PV of dividends (Eq. 16):</w:t>
      </w:r>
    </w:p>
    <w:p>
      <w:pPr>
        <w:spacing w:before="60" w:after="60"/>
        <w:ind w:left="850"/>
      </w:pPr>
      <w:r>
        <w:rPr>
          <w:rFonts w:ascii="Courier New" w:hAnsi="Courier New"/>
          <w:color w:val="1A1A6C"/>
          <w:sz w:val="20"/>
        </w:rPr>
        <w:t>P = D / (R - g_d)</w:t>
      </w:r>
    </w:p>
    <w:p>
      <w:pPr>
        <w:spacing w:after="80"/>
      </w:pPr>
      <w:r>
        <w:rPr>
          <w:rFonts w:ascii="Calibri" w:hAnsi="Calibri"/>
          <w:b w:val="0"/>
          <w:i w:val="0"/>
          <w:color w:val="1E1E1E"/>
          <w:sz w:val="22"/>
        </w:rPr>
        <w:t>Implied equity yield (Eq. 17) and equity risk premium when r = g (Eq. 19):</w:t>
      </w:r>
    </w:p>
    <w:p>
      <w:pPr>
        <w:spacing w:before="60" w:after="60"/>
        <w:ind w:left="850"/>
      </w:pPr>
      <w:r>
        <w:rPr>
          <w:rFonts w:ascii="Courier New" w:hAnsi="Courier New"/>
          <w:color w:val="1A1A6C"/>
          <w:sz w:val="20"/>
        </w:rPr>
        <w:t>R = g + D/P     =&gt;    ERP = D/P</w:t>
      </w:r>
    </w:p>
    <w:p>
      <w:pPr>
        <w:spacing w:after="80"/>
      </w:pPr>
      <w:r>
        <w:rPr>
          <w:rFonts w:ascii="Calibri" w:hAnsi="Calibri"/>
          <w:b w:val="0"/>
          <w:i w:val="0"/>
          <w:color w:val="1E1E1E"/>
          <w:sz w:val="22"/>
        </w:rPr>
        <w:t>A high dividend yield signals cheapness → go long equities. High price-to-book (Tobin's Q &gt; 1) signals expensiveness → go short.</w:t>
      </w:r>
    </w:p>
    <w:p>
      <w:pPr>
        <w:spacing w:before="200" w:after="40"/>
      </w:pPr>
      <w:r>
        <w:rPr>
          <w:rFonts w:ascii="Calibri" w:hAnsi="Calibri"/>
          <w:b/>
          <w:i w:val="0"/>
          <w:color w:val="444444"/>
          <w:sz w:val="24"/>
        </w:rPr>
        <w:t>4.4  Commodity Value: Real Price Mean Reversion</w:t>
      </w:r>
    </w:p>
    <w:p>
      <w:pPr>
        <w:spacing w:after="80"/>
      </w:pPr>
      <w:r>
        <w:rPr>
          <w:rFonts w:ascii="Calibri" w:hAnsi="Calibri"/>
          <w:b w:val="0"/>
          <w:i w:val="0"/>
          <w:color w:val="1E1E1E"/>
          <w:sz w:val="22"/>
        </w:rPr>
        <w:t>Commodity prices mean-revert because: (1) high prices incentivise expanded supply; (2) competitive markets pull prices toward production costs. Value in commodities = positioning for long mean-reversion cycles.</w:t>
      </w:r>
    </w:p>
    <w:p>
      <w:pPr>
        <w:spacing w:after="80"/>
      </w:pPr>
      <w:r>
        <w:rPr>
          <w:rFonts w:ascii="Calibri" w:hAnsi="Calibri"/>
          <w:b w:val="0"/>
          <w:i w:val="0"/>
          <w:color w:val="1E1E1E"/>
          <w:sz w:val="22"/>
        </w:rPr>
        <w:t>Signal: CPI-deflated price relative to its own long-run expanding-window average (Eq. 36):</w:t>
      </w:r>
    </w:p>
    <w:p>
      <w:pPr>
        <w:spacing w:before="60" w:after="60"/>
        <w:ind w:left="850"/>
      </w:pPr>
      <w:r>
        <w:rPr>
          <w:rFonts w:ascii="Courier New" w:hAnsi="Courier New"/>
          <w:color w:val="1A1A6C"/>
          <w:sz w:val="20"/>
        </w:rPr>
        <w:t>Value(t) = Adj_Price(t) / mean(Adj_Price),    Adj_Price(t) = Price(t) / CPI(t)</w:t>
      </w:r>
    </w:p>
    <w:p>
      <w:pPr>
        <w:spacing w:after="60"/>
        <w:ind w:left="567"/>
      </w:pPr>
      <w:r>
        <w:rPr>
          <w:i/>
          <w:color w:val="664422"/>
          <w:sz w:val="20"/>
        </w:rPr>
        <w:t>▶  Metals example: Real copper 40% above 10Y average → expensive → SHORT. Real aluminium 20% below average → cheap → LONG.</w:t>
      </w:r>
    </w:p>
    <w:p>
      <w:pPr>
        <w:spacing w:before="200" w:after="40"/>
      </w:pPr>
      <w:r>
        <w:rPr>
          <w:rFonts w:ascii="Calibri" w:hAnsi="Calibri"/>
          <w:b/>
          <w:i w:val="0"/>
          <w:color w:val="444444"/>
          <w:sz w:val="24"/>
        </w:rPr>
        <w:t>4.5  Why Value Works Better in Cross-Section</w:t>
      </w:r>
    </w:p>
    <w:p>
      <w:pPr>
        <w:spacing w:after="80"/>
      </w:pPr>
      <w:r>
        <w:rPr>
          <w:rFonts w:ascii="Calibri" w:hAnsi="Calibri"/>
          <w:b w:val="0"/>
          <w:i w:val="0"/>
          <w:color w:val="1E1E1E"/>
          <w:sz w:val="22"/>
        </w:rPr>
        <w:t>Value relies on mean reversion to a level. Traded cross-sectionally (e.g., cheap copper vs. expensive aluminium), it isolates relative cheapness and hedges the common metal cycle. In time-series, a 'cheap copper' signal can still lose if a global commodity bear market overwhelms the mean-reversion — the global factor swamps the signal. Cross-sectional implementation eliminates this risk by construction.</w:t>
      </w:r>
    </w:p>
    <w:p>
      <w:r>
        <w:br w:type="page"/>
      </w:r>
    </w:p>
    <w:p>
      <w:pPr>
        <w:spacing w:before="80" w:after="120"/>
        <w:pBdr>
          <w:bottom w:val="single" w:sz="6" w:space="1" w:color="B87333"/>
        </w:pBdr>
      </w:pPr>
      <w:r>
        <w:rPr>
          <w:rFonts w:ascii="Calibri" w:hAnsi="Calibri"/>
          <w:b/>
          <w:i w:val="0"/>
          <w:color w:val="B87333"/>
          <w:sz w:val="26"/>
        </w:rPr>
        <w:t xml:space="preserve">Page 5  |  </w:t>
      </w:r>
      <w:r>
        <w:rPr>
          <w:rFonts w:ascii="Calibri" w:hAnsi="Calibri"/>
          <w:b/>
          <w:i w:val="0"/>
          <w:color w:val="B87333"/>
          <w:sz w:val="26"/>
        </w:rPr>
        <w:t>Signal Construction: Exact Formulas</w:t>
      </w:r>
    </w:p>
    <w:p>
      <w:pPr>
        <w:spacing w:before="200" w:after="40"/>
      </w:pPr>
      <w:r>
        <w:rPr>
          <w:rFonts w:ascii="Calibri" w:hAnsi="Calibri"/>
          <w:b/>
          <w:i w:val="0"/>
          <w:color w:val="444444"/>
          <w:sz w:val="24"/>
        </w:rPr>
        <w:t>5.1  Carry Signals</w:t>
      </w:r>
    </w:p>
    <w:p>
      <w:pPr>
        <w:spacing w:before="120" w:after="20"/>
      </w:pPr>
      <w:r>
        <w:rPr>
          <w:rFonts w:ascii="Calibri" w:hAnsi="Calibri"/>
          <w:b/>
          <w:i/>
          <w:color w:val="444444"/>
          <w:sz w:val="22"/>
        </w:rPr>
        <w:t>FX (Eq. 21)</w:t>
      </w:r>
    </w:p>
    <w:p>
      <w:pPr>
        <w:spacing w:before="60" w:after="60"/>
        <w:ind w:left="850"/>
      </w:pPr>
      <w:r>
        <w:rPr>
          <w:rFonts w:ascii="Courier New" w:hAnsi="Courier New"/>
          <w:color w:val="1A1A6C"/>
          <w:sz w:val="20"/>
        </w:rPr>
        <w:t>Carry(t) = 4 x (Spot(t) / Fwd_3M(t) - 1)</w:t>
      </w:r>
    </w:p>
    <w:p>
      <w:pPr>
        <w:spacing w:before="120" w:after="20"/>
      </w:pPr>
      <w:r>
        <w:rPr>
          <w:rFonts w:ascii="Calibri" w:hAnsi="Calibri"/>
          <w:b/>
          <w:i/>
          <w:color w:val="444444"/>
          <w:sz w:val="22"/>
        </w:rPr>
        <w:t>Equity Futures — seasonality-adjusted (Eqs. 22-24)</w:t>
      </w:r>
    </w:p>
    <w:p>
      <w:pPr>
        <w:spacing w:before="60" w:after="60"/>
        <w:ind w:left="850"/>
      </w:pPr>
      <w:r>
        <w:rPr>
          <w:rFonts w:ascii="Courier New" w:hAnsi="Courier New"/>
          <w:color w:val="1A1A6C"/>
          <w:sz w:val="20"/>
        </w:rPr>
        <w:t>Raw_Carry(t) = 1/(T2-T1) x [Fut(t,T1) - Fut(t,T2)] / Fut(t,T2)</w:t>
      </w:r>
    </w:p>
    <w:p>
      <w:pPr>
        <w:spacing w:before="60" w:after="60"/>
        <w:ind w:left="850"/>
      </w:pPr>
      <w:r>
        <w:rPr>
          <w:rFonts w:ascii="Courier New" w:hAnsi="Courier New"/>
          <w:color w:val="1A1A6C"/>
          <w:sz w:val="20"/>
        </w:rPr>
        <w:t>Adj(t)       = mean[Raw_Carry(t) - 1Y_MA(Raw_Carry(t))]  over same calendar month</w:t>
      </w:r>
    </w:p>
    <w:p>
      <w:pPr>
        <w:spacing w:before="60" w:after="60"/>
        <w:ind w:left="850"/>
      </w:pPr>
      <w:r>
        <w:rPr>
          <w:rFonts w:ascii="Courier New" w:hAnsi="Courier New"/>
          <w:color w:val="1A1A6C"/>
          <w:sz w:val="20"/>
        </w:rPr>
        <w:t>Carry(t)     = Raw_Carry(t) - Adj(t)</w:t>
      </w:r>
    </w:p>
    <w:p>
      <w:pPr>
        <w:spacing w:before="120" w:after="20"/>
      </w:pPr>
      <w:r>
        <w:rPr>
          <w:rFonts w:ascii="Calibri" w:hAnsi="Calibri"/>
          <w:b/>
          <w:i/>
          <w:color w:val="444444"/>
          <w:sz w:val="22"/>
        </w:rPr>
        <w:t>Commodities — 1Y curve spread (Eq. 25) [USE THIS FOR METALS]</w:t>
      </w:r>
    </w:p>
    <w:p>
      <w:pPr>
        <w:spacing w:before="60" w:after="60"/>
        <w:ind w:left="850"/>
      </w:pPr>
      <w:r>
        <w:rPr>
          <w:rFonts w:ascii="Courier New" w:hAnsi="Courier New"/>
          <w:color w:val="1A1A6C"/>
          <w:sz w:val="20"/>
        </w:rPr>
        <w:t>Carry(t) = [Fut(t, 3M+12M) - Fut(t, 3M)] / Fut(t, 3M+12M)</w:t>
      </w:r>
    </w:p>
    <w:p>
      <w:pPr>
        <w:spacing w:after="80"/>
        <w:ind w:left="567"/>
      </w:pPr>
      <w:r>
        <w:rPr>
          <w:rFonts w:ascii="Calibri" w:hAnsi="Calibri"/>
          <w:b w:val="0"/>
          <w:i w:val="0"/>
          <w:color w:val="1E1E1E"/>
          <w:sz w:val="22"/>
        </w:rPr>
        <w:t>Using the 1-year spread (front contract vs. contract expiring 12 months later) removes seasonal effects that repeat annually. Positive = backwardation = LONG signal.</w:t>
      </w:r>
    </w:p>
    <w:p>
      <w:pPr>
        <w:spacing w:before="120" w:after="20"/>
      </w:pPr>
      <w:r>
        <w:rPr>
          <w:rFonts w:ascii="Calibri" w:hAnsi="Calibri"/>
          <w:b/>
          <w:i/>
          <w:color w:val="444444"/>
          <w:sz w:val="22"/>
        </w:rPr>
        <w:t>Simple cash-3M proxy (when full curve unavailable)</w:t>
      </w:r>
    </w:p>
    <w:p>
      <w:pPr>
        <w:spacing w:before="60" w:after="60"/>
        <w:ind w:left="850"/>
      </w:pPr>
      <w:r>
        <w:rPr>
          <w:rFonts w:ascii="Courier New" w:hAnsi="Courier New"/>
          <w:color w:val="1A1A6C"/>
          <w:sz w:val="20"/>
        </w:rPr>
        <w:t>Carry(t) = 4 x (Cash(t) / 3M(t) - 1)</w:t>
      </w:r>
    </w:p>
    <w:p>
      <w:pPr>
        <w:spacing w:before="120" w:after="20"/>
      </w:pPr>
      <w:r>
        <w:rPr>
          <w:rFonts w:ascii="Calibri" w:hAnsi="Calibri"/>
          <w:b/>
          <w:i/>
          <w:color w:val="444444"/>
          <w:sz w:val="22"/>
        </w:rPr>
        <w:t>Swap Rates — carry + roll-down (Eqs. 26-27)</w:t>
      </w:r>
    </w:p>
    <w:p>
      <w:pPr>
        <w:spacing w:before="60" w:after="60"/>
        <w:ind w:left="850"/>
      </w:pPr>
      <w:r>
        <w:rPr>
          <w:rFonts w:ascii="Courier New" w:hAnsi="Courier New"/>
          <w:color w:val="1A1A6C"/>
          <w:sz w:val="20"/>
        </w:rPr>
        <w:t>Carry(t) = [S_10Y(t) - Fixing(t)] / Duration(t)  +  [S_10Y(t) - S_7Y(t)] / 3</w:t>
      </w:r>
    </w:p>
    <w:p>
      <w:pPr>
        <w:spacing w:before="60" w:after="60"/>
        <w:ind w:left="850"/>
      </w:pPr>
      <w:r>
        <w:rPr>
          <w:rFonts w:ascii="Courier New" w:hAnsi="Courier New"/>
          <w:color w:val="1A1A6C"/>
          <w:sz w:val="20"/>
        </w:rPr>
        <w:t>Duration(t) = [1 - (1 + S_10Y(t))^(-10)] / S_10Y(t)</w:t>
      </w:r>
    </w:p>
    <w:p>
      <w:pPr>
        <w:spacing w:before="200" w:after="40"/>
      </w:pPr>
      <w:r>
        <w:rPr>
          <w:rFonts w:ascii="Calibri" w:hAnsi="Calibri"/>
          <w:b/>
          <w:i w:val="0"/>
          <w:color w:val="444444"/>
          <w:sz w:val="24"/>
        </w:rPr>
        <w:t>5.2  Momentum Signal: CTA EWMA Crossover (Eqs. 28-33)</w:t>
      </w:r>
    </w:p>
    <w:p>
      <w:pPr>
        <w:spacing w:after="80"/>
      </w:pPr>
      <w:r>
        <w:rPr>
          <w:rFonts w:ascii="Calibri" w:hAnsi="Calibri"/>
          <w:b w:val="0"/>
          <w:i w:val="0"/>
          <w:color w:val="1E1E1E"/>
          <w:sz w:val="22"/>
        </w:rPr>
        <w:t>Three timescale pairs — NOT look-back days; these are EWMA speed parameters:</w:t>
      </w:r>
    </w:p>
    <w:p>
      <w:pPr>
        <w:spacing w:before="60" w:after="60"/>
        <w:ind w:left="850"/>
      </w:pPr>
      <w:r>
        <w:rPr>
          <w:rFonts w:ascii="Courier New" w:hAnsi="Courier New"/>
          <w:color w:val="1A1A6C"/>
          <w:sz w:val="20"/>
        </w:rPr>
        <w:t>Short EWMAs: S_k = (8, 16, 32)    Long EWMAs: L_k = (24, 48, 96)</w:t>
      </w:r>
    </w:p>
    <w:p>
      <w:pPr>
        <w:spacing w:after="80"/>
      </w:pPr>
      <w:r>
        <w:rPr>
          <w:rFonts w:ascii="Calibri" w:hAnsi="Calibri"/>
          <w:b w:val="0"/>
          <w:i w:val="0"/>
          <w:color w:val="1E1E1E"/>
          <w:sz w:val="22"/>
        </w:rPr>
        <w:t>Each number n maps to a decay factor lambda = (n-1)/n and half-life (Eq. 28):</w:t>
      </w:r>
    </w:p>
    <w:p>
      <w:pPr>
        <w:spacing w:before="60" w:after="60"/>
        <w:ind w:left="850"/>
      </w:pPr>
      <w:r>
        <w:rPr>
          <w:rFonts w:ascii="Courier New" w:hAnsi="Courier New"/>
          <w:color w:val="1A1A6C"/>
          <w:sz w:val="20"/>
        </w:rPr>
        <w:t>HL = log(0.5) / log(lambda) = log(0.5) / log(1 - 1/n)</w:t>
      </w:r>
    </w:p>
    <w:p>
      <w:pPr>
        <w:spacing w:after="80"/>
      </w:pPr>
      <w:r>
        <w:rPr>
          <w:rFonts w:ascii="Calibri" w:hAnsi="Calibri"/>
          <w:b w:val="0"/>
          <w:i w:val="0"/>
          <w:color w:val="1E1E1E"/>
          <w:sz w:val="22"/>
        </w:rPr>
        <w:t>Steps for each timescale k = 1, 2, 3:</w:t>
      </w:r>
    </w:p>
    <w:p>
      <w:pPr>
        <w:spacing w:before="60" w:after="60"/>
        <w:ind w:left="850"/>
      </w:pPr>
      <w:r>
        <w:rPr>
          <w:rFonts w:ascii="Courier New" w:hAnsi="Courier New"/>
          <w:color w:val="1A1A6C"/>
          <w:sz w:val="20"/>
        </w:rPr>
        <w:t>(a)  x_k = EWMA[Price | S_k]  -  EWMA[Price | L_k]          (Eq. 29)</w:t>
      </w:r>
    </w:p>
    <w:p>
      <w:pPr>
        <w:spacing w:before="60" w:after="60"/>
        <w:ind w:left="850"/>
      </w:pPr>
      <w:r>
        <w:rPr>
          <w:rFonts w:ascii="Courier New" w:hAnsi="Courier New"/>
          <w:color w:val="1A1A6C"/>
          <w:sz w:val="20"/>
        </w:rPr>
        <w:t>(b)  y_k = x_k / Rolling_StdDev[Price | 63 days]             (Eq. 30)</w:t>
      </w:r>
    </w:p>
    <w:p>
      <w:pPr>
        <w:spacing w:before="60" w:after="60"/>
        <w:ind w:left="850"/>
      </w:pPr>
      <w:r>
        <w:rPr>
          <w:rFonts w:ascii="Courier New" w:hAnsi="Courier New"/>
          <w:color w:val="1A1A6C"/>
          <w:sz w:val="20"/>
        </w:rPr>
        <w:t>(c)  z_k = y_k / Rolling_StdDev[y_k | 252 days]             (Eq. 31)</w:t>
      </w:r>
    </w:p>
    <w:p>
      <w:pPr>
        <w:spacing w:before="60" w:after="60"/>
        <w:ind w:left="850"/>
      </w:pPr>
      <w:r>
        <w:rPr>
          <w:rFonts w:ascii="Courier New" w:hAnsi="Courier New"/>
          <w:color w:val="1A1A6C"/>
          <w:sz w:val="20"/>
        </w:rPr>
        <w:t>(d)  u_k = z_k x exp(-z_k^2 / 4) / 0.89                     (Eq. 32)</w:t>
      </w:r>
    </w:p>
    <w:p>
      <w:pPr>
        <w:spacing w:after="80"/>
        <w:ind w:left="567"/>
      </w:pPr>
      <w:r>
        <w:rPr>
          <w:rFonts w:ascii="Calibri" w:hAnsi="Calibri"/>
          <w:b w:val="0"/>
          <w:i w:val="0"/>
          <w:color w:val="1E1E1E"/>
          <w:sz w:val="22"/>
        </w:rPr>
        <w:t>Step (d) is the non-linear response function. It peaks at |z| = sqrt(2) = 1.41 and then declines — very extreme signals are reduced, not chased. The denominator 0.89 normalises the output standard deviation to approximately 1.</w:t>
      </w:r>
    </w:p>
    <w:p>
      <w:pPr>
        <w:spacing w:before="60" w:after="60"/>
        <w:ind w:left="850"/>
      </w:pPr>
      <w:r>
        <w:rPr>
          <w:rFonts w:ascii="Courier New" w:hAnsi="Courier New"/>
          <w:color w:val="1A1A6C"/>
          <w:sz w:val="20"/>
        </w:rPr>
        <w:t>(e)  S_CTA = (u_1 + u_2 + u_3) / 3                          (Eq. 33)</w:t>
      </w:r>
    </w:p>
    <w:p>
      <w:pPr>
        <w:spacing w:before="200" w:after="40"/>
      </w:pPr>
      <w:r>
        <w:rPr>
          <w:rFonts w:ascii="Calibri" w:hAnsi="Calibri"/>
          <w:b/>
          <w:i w:val="0"/>
          <w:color w:val="444444"/>
          <w:sz w:val="24"/>
        </w:rPr>
        <w:t>5.3  Value Signals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2C2C2C"/>
          </w:tcPr>
          <w:p>
            <w:r>
              <w:rPr>
                <w:b/>
                <w:color w:val="FFFFFF"/>
                <w:sz w:val="19"/>
              </w:rPr>
              <w:t>Asset Class</w:t>
            </w:r>
          </w:p>
        </w:tc>
        <w:tc>
          <w:tcPr>
            <w:tcW w:type="dxa" w:w="5102"/>
            <w:shd w:val="clear" w:color="auto" w:fill="2C2C2C"/>
          </w:tcPr>
          <w:p>
            <w:r>
              <w:rPr>
                <w:b/>
                <w:color w:val="FFFFFF"/>
                <w:sz w:val="19"/>
              </w:rPr>
              <w:t>Signal Formula</w:t>
            </w:r>
          </w:p>
        </w:tc>
        <w:tc>
          <w:tcPr>
            <w:tcW w:type="dxa" w:w="2835"/>
            <w:shd w:val="clear" w:color="auto" w:fill="2C2C2C"/>
          </w:tcPr>
          <w:p>
            <w:r>
              <w:rPr>
                <w:b/>
                <w:color w:val="FFFFFF"/>
                <w:sz w:val="19"/>
              </w:rPr>
              <w:t>Direction</w:t>
            </w:r>
          </w:p>
        </w:tc>
      </w:tr>
      <w:tr>
        <w:tc>
          <w:tcPr>
            <w:tcW w:type="dxa" w:w="1984"/>
            <w:shd w:val="clear" w:color="auto" w:fill="F5F0EB"/>
          </w:tcPr>
          <w:p>
            <w:r>
              <w:rPr>
                <w:sz w:val="19"/>
              </w:rPr>
              <w:t>FX</w:t>
            </w:r>
          </w:p>
        </w:tc>
        <w:tc>
          <w:tcPr>
            <w:tcW w:type="dxa" w:w="5102"/>
            <w:shd w:val="clear" w:color="auto" w:fill="F5F0EB"/>
          </w:tcPr>
          <w:p>
            <w:r>
              <w:rPr>
                <w:sz w:val="19"/>
              </w:rPr>
              <w:t>PPP deviation: log(Real_Spot) - mean(log(Real_Spot))</w:t>
            </w:r>
          </w:p>
        </w:tc>
        <w:tc>
          <w:tcPr>
            <w:tcW w:type="dxa" w:w="2835"/>
            <w:shd w:val="clear" w:color="auto" w:fill="F5F0EB"/>
          </w:tcPr>
          <w:p>
            <w:r>
              <w:rPr>
                <w:sz w:val="19"/>
              </w:rPr>
              <w:t>Positive = overvalued = SHORT</w:t>
            </w:r>
          </w:p>
        </w:tc>
      </w:tr>
      <w:tr>
        <w:tc>
          <w:tcPr>
            <w:tcW w:type="dxa" w:w="1984"/>
            <w:shd w:val="clear" w:color="auto" w:fill="FAFAFA"/>
          </w:tcPr>
          <w:p>
            <w:r>
              <w:rPr>
                <w:sz w:val="19"/>
              </w:rPr>
              <w:t>Equity</w:t>
            </w:r>
          </w:p>
        </w:tc>
        <w:tc>
          <w:tcPr>
            <w:tcW w:type="dxa" w:w="5102"/>
            <w:shd w:val="clear" w:color="auto" w:fill="FAFAFA"/>
          </w:tcPr>
          <w:p>
            <w:r>
              <w:rPr>
                <w:sz w:val="19"/>
              </w:rPr>
              <w:t>Value(t) = Dividend_Yield(t)  (Eq. 35)</w:t>
            </w:r>
          </w:p>
        </w:tc>
        <w:tc>
          <w:tcPr>
            <w:tcW w:type="dxa" w:w="2835"/>
            <w:shd w:val="clear" w:color="auto" w:fill="FAFAFA"/>
          </w:tcPr>
          <w:p>
            <w:r>
              <w:rPr>
                <w:sz w:val="19"/>
              </w:rPr>
              <w:t>High yield = cheap = LONG</w:t>
            </w:r>
          </w:p>
        </w:tc>
      </w:tr>
      <w:tr>
        <w:tc>
          <w:tcPr>
            <w:tcW w:type="dxa" w:w="1984"/>
            <w:shd w:val="clear" w:color="auto" w:fill="F5F0EB"/>
          </w:tcPr>
          <w:p>
            <w:r>
              <w:rPr>
                <w:sz w:val="19"/>
              </w:rPr>
              <w:t>Commodity</w:t>
            </w:r>
          </w:p>
        </w:tc>
        <w:tc>
          <w:tcPr>
            <w:tcW w:type="dxa" w:w="5102"/>
            <w:shd w:val="clear" w:color="auto" w:fill="F5F0EB"/>
          </w:tcPr>
          <w:p>
            <w:r>
              <w:rPr>
                <w:sz w:val="19"/>
              </w:rPr>
              <w:t>Adj_Price(t) / mean(Adj_Price),  Adj_Price = Price/CPI (Eq. 36)</w:t>
            </w:r>
          </w:p>
        </w:tc>
        <w:tc>
          <w:tcPr>
            <w:tcW w:type="dxa" w:w="2835"/>
            <w:shd w:val="clear" w:color="auto" w:fill="F5F0EB"/>
          </w:tcPr>
          <w:p>
            <w:r>
              <w:rPr>
                <w:sz w:val="19"/>
              </w:rPr>
              <w:t>Ratio &gt; 1 = expensive = SHORT</w:t>
            </w:r>
          </w:p>
        </w:tc>
      </w:tr>
      <w:tr>
        <w:tc>
          <w:tcPr>
            <w:tcW w:type="dxa" w:w="1984"/>
            <w:shd w:val="clear" w:color="auto" w:fill="FAFAFA"/>
          </w:tcPr>
          <w:p>
            <w:r>
              <w:rPr>
                <w:sz w:val="19"/>
              </w:rPr>
              <w:t>Swap Rates</w:t>
            </w:r>
          </w:p>
        </w:tc>
        <w:tc>
          <w:tcPr>
            <w:tcW w:type="dxa" w:w="5102"/>
            <w:shd w:val="clear" w:color="auto" w:fill="FAFAFA"/>
          </w:tcPr>
          <w:p>
            <w:r>
              <w:rPr>
                <w:sz w:val="19"/>
              </w:rPr>
              <w:t>Value(t) = S_10Y(t) - GDP(t)  (Eq. 37)</w:t>
            </w:r>
          </w:p>
        </w:tc>
        <w:tc>
          <w:tcPr>
            <w:tcW w:type="dxa" w:w="2835"/>
            <w:shd w:val="clear" w:color="auto" w:fill="FAFAFA"/>
          </w:tcPr>
          <w:p>
            <w:r>
              <w:rPr>
                <w:sz w:val="19"/>
              </w:rPr>
              <w:t>High spread = bonds cheap = LONG</w:t>
            </w:r>
          </w:p>
        </w:tc>
      </w:tr>
    </w:tbl>
    <w:p/>
    <w:p>
      <w:r>
        <w:br w:type="page"/>
      </w:r>
    </w:p>
    <w:p>
      <w:pPr>
        <w:spacing w:before="80" w:after="120"/>
        <w:pBdr>
          <w:bottom w:val="single" w:sz="6" w:space="1" w:color="B87333"/>
        </w:pBdr>
      </w:pPr>
      <w:r>
        <w:rPr>
          <w:rFonts w:ascii="Calibri" w:hAnsi="Calibri"/>
          <w:b/>
          <w:i w:val="0"/>
          <w:color w:val="B87333"/>
          <w:sz w:val="26"/>
        </w:rPr>
        <w:t xml:space="preserve">Page 6  |  </w:t>
      </w:r>
      <w:r>
        <w:rPr>
          <w:rFonts w:ascii="Calibri" w:hAnsi="Calibri"/>
          <w:b/>
          <w:i w:val="0"/>
          <w:color w:val="B87333"/>
          <w:sz w:val="26"/>
        </w:rPr>
        <w:t>Portfolio Construction</w:t>
      </w:r>
    </w:p>
    <w:p>
      <w:pPr>
        <w:spacing w:before="200" w:after="40"/>
      </w:pPr>
      <w:r>
        <w:rPr>
          <w:rFonts w:ascii="Calibri" w:hAnsi="Calibri"/>
          <w:b/>
          <w:i w:val="0"/>
          <w:color w:val="444444"/>
          <w:sz w:val="24"/>
        </w:rPr>
        <w:t>6.1  Cross-Sectional Portfolio</w:t>
      </w:r>
    </w:p>
    <w:p>
      <w:pPr>
        <w:pStyle w:val="ListBullet"/>
        <w:spacing w:after="40"/>
        <w:ind w:left="283"/>
      </w:pPr>
      <w:r>
        <w:rPr>
          <w:rFonts w:ascii="Calibri" w:hAnsi="Calibri"/>
          <w:b w:val="0"/>
          <w:i w:val="0"/>
          <w:color w:val="1E1E1E"/>
          <w:sz w:val="22"/>
        </w:rPr>
        <w:t>At each rebalancing date, rank all assets within an asset class by signal magnitude.</w:t>
      </w:r>
    </w:p>
    <w:p>
      <w:pPr>
        <w:pStyle w:val="ListBullet"/>
        <w:spacing w:after="40"/>
        <w:ind w:left="283"/>
      </w:pPr>
      <w:r>
        <w:rPr>
          <w:rFonts w:ascii="Calibri" w:hAnsi="Calibri"/>
          <w:b w:val="0"/>
          <w:i w:val="0"/>
          <w:color w:val="1E1E1E"/>
          <w:sz w:val="22"/>
        </w:rPr>
        <w:t>Take long positions on the 3 highest-ranked and short positions on the 3 lowest-ranked assets (6 extreme assets total).</w:t>
      </w:r>
    </w:p>
    <w:p>
      <w:pPr>
        <w:pStyle w:val="ListBullet"/>
        <w:spacing w:after="40"/>
        <w:ind w:left="283"/>
      </w:pPr>
      <w:r>
        <w:rPr>
          <w:rFonts w:ascii="Calibri" w:hAnsi="Calibri"/>
          <w:b w:val="0"/>
          <w:i w:val="0"/>
          <w:color w:val="1E1E1E"/>
          <w:sz w:val="22"/>
        </w:rPr>
        <w:t>Use equal risk weights — position size does not depend on signal magnitude, only rank.</w:t>
      </w:r>
    </w:p>
    <w:p>
      <w:pPr>
        <w:pStyle w:val="ListBullet"/>
        <w:spacing w:after="40"/>
        <w:ind w:left="283"/>
      </w:pPr>
      <w:r>
        <w:rPr>
          <w:rFonts w:ascii="Calibri" w:hAnsi="Calibri"/>
          <w:b w:val="0"/>
          <w:i w:val="0"/>
          <w:color w:val="1E1E1E"/>
          <w:sz w:val="22"/>
        </w:rPr>
        <w:t>Rebalance daily for most strategies.</w:t>
      </w:r>
    </w:p>
    <w:p>
      <w:pPr>
        <w:pStyle w:val="ListBullet"/>
        <w:spacing w:after="40"/>
        <w:ind w:left="283"/>
      </w:pPr>
      <w:r>
        <w:rPr>
          <w:rFonts w:ascii="Calibri" w:hAnsi="Calibri"/>
          <w:b w:val="0"/>
          <w:i w:val="0"/>
          <w:color w:val="1E1E1E"/>
          <w:sz w:val="22"/>
        </w:rPr>
        <w:t>Exception — FX carry and FX value: trade 1/252 of the portfolio each day so that each cohort of positions is held for approximately one year, giving value time to work.</w:t>
      </w:r>
    </w:p>
    <w:p>
      <w:pPr>
        <w:pStyle w:val="ListBullet"/>
        <w:spacing w:after="40"/>
        <w:ind w:left="283"/>
      </w:pPr>
      <w:r>
        <w:rPr>
          <w:rFonts w:ascii="Calibri" w:hAnsi="Calibri"/>
          <w:b w:val="0"/>
          <w:i w:val="0"/>
          <w:color w:val="1E1E1E"/>
          <w:sz w:val="22"/>
        </w:rPr>
        <w:t>Scale the entire portfolio to 15% annualised volatility using ex-ante vol estimates.</w:t>
      </w:r>
    </w:p>
    <w:p>
      <w:pPr>
        <w:spacing w:before="200" w:after="40"/>
      </w:pPr>
      <w:r>
        <w:rPr>
          <w:rFonts w:ascii="Calibri" w:hAnsi="Calibri"/>
          <w:b/>
          <w:i w:val="0"/>
          <w:color w:val="444444"/>
          <w:sz w:val="24"/>
        </w:rPr>
        <w:t>6.2  Time-Series Portfolio</w:t>
      </w:r>
    </w:p>
    <w:p>
      <w:pPr>
        <w:pStyle w:val="ListBullet"/>
        <w:spacing w:after="40"/>
        <w:ind w:left="283"/>
      </w:pPr>
      <w:r>
        <w:rPr>
          <w:rFonts w:ascii="Calibri" w:hAnsi="Calibri"/>
          <w:b w:val="0"/>
          <w:i w:val="0"/>
          <w:color w:val="1E1E1E"/>
          <w:sz w:val="22"/>
        </w:rPr>
        <w:t>Within each asset class, take positions of size 1/N in all N assets simultaneously.</w:t>
      </w:r>
    </w:p>
    <w:p>
      <w:pPr>
        <w:pStyle w:val="ListBullet"/>
        <w:spacing w:after="40"/>
        <w:ind w:left="283"/>
      </w:pPr>
      <w:r>
        <w:rPr>
          <w:rFonts w:ascii="Calibri" w:hAnsi="Calibri"/>
          <w:b w:val="0"/>
          <w:i w:val="0"/>
          <w:color w:val="1E1E1E"/>
          <w:sz w:val="22"/>
        </w:rPr>
        <w:t>Sign of position = sign of the signal (long if positive, short if negative).</w:t>
      </w:r>
    </w:p>
    <w:p>
      <w:pPr>
        <w:pStyle w:val="ListBullet"/>
        <w:spacing w:after="40"/>
        <w:ind w:left="283"/>
      </w:pPr>
      <w:r>
        <w:rPr>
          <w:rFonts w:ascii="Calibri" w:hAnsi="Calibri"/>
          <w:b w:val="0"/>
          <w:i w:val="0"/>
          <w:color w:val="1E1E1E"/>
          <w:sz w:val="22"/>
        </w:rPr>
        <w:t>All other construction details identical to cross-sectional.</w:t>
      </w:r>
    </w:p>
    <w:p>
      <w:pPr>
        <w:pStyle w:val="ListBullet"/>
        <w:spacing w:after="40"/>
        <w:ind w:left="283"/>
      </w:pPr>
      <w:r>
        <w:rPr>
          <w:rFonts w:ascii="Calibri" w:hAnsi="Calibri"/>
          <w:b w:val="0"/>
          <w:i w:val="0"/>
          <w:color w:val="1E1E1E"/>
          <w:sz w:val="22"/>
        </w:rPr>
        <w:t>Key difference: no ranking; you are potentially long or short every asset at once.</w:t>
      </w:r>
    </w:p>
    <w:p>
      <w:pPr>
        <w:spacing w:before="200" w:after="40"/>
      </w:pPr>
      <w:r>
        <w:rPr>
          <w:rFonts w:ascii="Calibri" w:hAnsi="Calibri"/>
          <w:b/>
          <w:i w:val="0"/>
          <w:color w:val="444444"/>
          <w:sz w:val="24"/>
        </w:rPr>
        <w:t>6.3  Signal Combination and Aggregation</w:t>
      </w:r>
    </w:p>
    <w:p>
      <w:pPr>
        <w:spacing w:after="80"/>
      </w:pPr>
      <w:r>
        <w:rPr>
          <w:rFonts w:ascii="Calibri" w:hAnsi="Calibri"/>
          <w:b w:val="0"/>
          <w:i w:val="0"/>
          <w:color w:val="1E1E1E"/>
          <w:sz w:val="22"/>
        </w:rPr>
        <w:t>Run carry, momentum, and value separately. Combine two or three styles by computing ex-ante volatility of each and scaling to 15% before summing. When aggregating across asset classes, use equal weights (most return volatility comes from asset class, not style).</w:t>
      </w:r>
    </w:p>
    <w:p>
      <w:pPr>
        <w:spacing w:after="60"/>
        <w:ind w:left="567"/>
      </w:pPr>
      <w:r>
        <w:rPr>
          <w:i/>
          <w:color w:val="664422"/>
          <w:sz w:val="20"/>
        </w:rPr>
        <w:t>▶  Best practice: combine V + C + M. Pairwise correlations are approximately -9%, -9%, +15%, giving strong diversification benefits.</w:t>
      </w:r>
    </w:p>
    <w:p>
      <w:pPr>
        <w:spacing w:after="60"/>
        <w:ind w:left="567"/>
      </w:pPr>
      <w:r>
        <w:rPr>
          <w:i/>
          <w:color w:val="664422"/>
          <w:sz w:val="20"/>
        </w:rPr>
        <w:t>▶  The combined time-series portfolio's 3Y rolling Sharpe ratio never went negative over 25 years (1990-2015).</w:t>
      </w:r>
    </w:p>
    <w:p>
      <w:pPr>
        <w:spacing w:before="200" w:after="40"/>
      </w:pPr>
      <w:r>
        <w:rPr>
          <w:rFonts w:ascii="Calibri" w:hAnsi="Calibri"/>
          <w:b/>
          <w:i w:val="0"/>
          <w:color w:val="444444"/>
          <w:sz w:val="24"/>
        </w:rPr>
        <w:t>6.4  Sizing to 15% Volatility — Practical Steps</w:t>
      </w:r>
    </w:p>
    <w:p>
      <w:pPr>
        <w:pStyle w:val="ListBullet"/>
        <w:spacing w:after="40"/>
        <w:ind w:left="283"/>
      </w:pPr>
      <w:r>
        <w:rPr>
          <w:rFonts w:ascii="Calibri" w:hAnsi="Calibri"/>
          <w:b w:val="0"/>
          <w:i w:val="0"/>
          <w:color w:val="1E1E1E"/>
          <w:sz w:val="22"/>
        </w:rPr>
        <w:t>Compute 21-day realised volatility for each metal (in return space).</w:t>
      </w:r>
    </w:p>
    <w:p>
      <w:pPr>
        <w:pStyle w:val="ListBullet"/>
        <w:spacing w:after="40"/>
        <w:ind w:left="283"/>
      </w:pPr>
      <w:r>
        <w:rPr>
          <w:rFonts w:ascii="Calibri" w:hAnsi="Calibri"/>
          <w:b w:val="0"/>
          <w:i w:val="0"/>
          <w:color w:val="1E1E1E"/>
          <w:sz w:val="22"/>
        </w:rPr>
        <w:t>For signal s_i in metal i with vol sigma_i, position size = s_i x (0.15 / sigma_i) x notional.</w:t>
      </w:r>
    </w:p>
    <w:p>
      <w:pPr>
        <w:pStyle w:val="ListBullet"/>
        <w:spacing w:after="40"/>
        <w:ind w:left="283"/>
      </w:pPr>
      <w:r>
        <w:rPr>
          <w:rFonts w:ascii="Calibri" w:hAnsi="Calibri"/>
          <w:b w:val="0"/>
          <w:i w:val="0"/>
          <w:color w:val="1E1E1E"/>
          <w:sz w:val="22"/>
        </w:rPr>
        <w:t>For cross-sectional: normalise so that the long-short book's combined vol = 15% target.</w:t>
      </w:r>
    </w:p>
    <w:p>
      <w:pPr>
        <w:pStyle w:val="ListBullet"/>
        <w:spacing w:after="40"/>
        <w:ind w:left="283"/>
      </w:pPr>
      <w:r>
        <w:rPr>
          <w:rFonts w:ascii="Calibri" w:hAnsi="Calibri"/>
          <w:b w:val="0"/>
          <w:i w:val="0"/>
          <w:color w:val="1E1E1E"/>
          <w:sz w:val="22"/>
        </w:rPr>
        <w:t>Rebalance vol estimates at least monthly; more frequently during high-vol regimes.</w:t>
      </w:r>
    </w:p>
    <w:p>
      <w:r>
        <w:br w:type="page"/>
      </w:r>
    </w:p>
    <w:p>
      <w:pPr>
        <w:spacing w:before="80" w:after="120"/>
        <w:pBdr>
          <w:bottom w:val="single" w:sz="6" w:space="1" w:color="B87333"/>
        </w:pBdr>
      </w:pPr>
      <w:r>
        <w:rPr>
          <w:rFonts w:ascii="Calibri" w:hAnsi="Calibri"/>
          <w:b/>
          <w:i w:val="0"/>
          <w:color w:val="B87333"/>
          <w:sz w:val="26"/>
        </w:rPr>
        <w:t xml:space="preserve">Page 7  |  </w:t>
      </w:r>
      <w:r>
        <w:rPr>
          <w:rFonts w:ascii="Calibri" w:hAnsi="Calibri"/>
          <w:b/>
          <w:i w:val="0"/>
          <w:color w:val="B87333"/>
          <w:sz w:val="26"/>
        </w:rPr>
        <w:t>Empirical Results: Cross-Sectional Portfolio</w:t>
      </w:r>
    </w:p>
    <w:p>
      <w:pPr>
        <w:spacing w:before="200" w:after="40"/>
      </w:pPr>
      <w:r>
        <w:rPr>
          <w:rFonts w:ascii="Calibri" w:hAnsi="Calibri"/>
          <w:b/>
          <w:i w:val="0"/>
          <w:color w:val="444444"/>
          <w:sz w:val="24"/>
        </w:rPr>
        <w:t>7.1  Sharpe Ratios by Style and Asset Class (Table 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2C2C2C"/>
          </w:tcPr>
          <w:p>
            <w:r>
              <w:rPr>
                <w:b/>
                <w:color w:val="FFFFFF"/>
                <w:sz w:val="19"/>
              </w:rPr>
              <w:t>Asset Class</w:t>
            </w:r>
          </w:p>
        </w:tc>
        <w:tc>
          <w:tcPr>
            <w:tcW w:type="dxa" w:w="1701"/>
            <w:shd w:val="clear" w:color="auto" w:fill="2C2C2C"/>
          </w:tcPr>
          <w:p>
            <w:r>
              <w:rPr>
                <w:b/>
                <w:color w:val="FFFFFF"/>
                <w:sz w:val="19"/>
              </w:rPr>
              <w:t>Value</w:t>
            </w:r>
          </w:p>
        </w:tc>
        <w:tc>
          <w:tcPr>
            <w:tcW w:type="dxa" w:w="1701"/>
            <w:shd w:val="clear" w:color="auto" w:fill="2C2C2C"/>
          </w:tcPr>
          <w:p>
            <w:r>
              <w:rPr>
                <w:b/>
                <w:color w:val="FFFFFF"/>
                <w:sz w:val="19"/>
              </w:rPr>
              <w:t>Carry</w:t>
            </w:r>
          </w:p>
        </w:tc>
        <w:tc>
          <w:tcPr>
            <w:tcW w:type="dxa" w:w="1984"/>
            <w:shd w:val="clear" w:color="auto" w:fill="2C2C2C"/>
          </w:tcPr>
          <w:p>
            <w:r>
              <w:rPr>
                <w:b/>
                <w:color w:val="FFFFFF"/>
                <w:sz w:val="19"/>
              </w:rPr>
              <w:t>Momentum</w:t>
            </w:r>
          </w:p>
        </w:tc>
        <w:tc>
          <w:tcPr>
            <w:tcW w:type="dxa" w:w="1984"/>
            <w:shd w:val="clear" w:color="auto" w:fill="2C2C2C"/>
          </w:tcPr>
          <w:p>
            <w:r>
              <w:rPr>
                <w:b/>
                <w:color w:val="FFFFFF"/>
                <w:sz w:val="19"/>
              </w:rPr>
              <w:t>Average</w:t>
            </w:r>
          </w:p>
        </w:tc>
      </w:tr>
      <w:tr>
        <w:tc>
          <w:tcPr>
            <w:tcW w:type="dxa" w:w="2268"/>
            <w:shd w:val="clear" w:color="auto" w:fill="F5F0EB"/>
          </w:tcPr>
          <w:p>
            <w:r>
              <w:rPr>
                <w:sz w:val="19"/>
              </w:rPr>
              <w:t>FX</w:t>
            </w:r>
          </w:p>
        </w:tc>
        <w:tc>
          <w:tcPr>
            <w:tcW w:type="dxa" w:w="1701"/>
            <w:shd w:val="clear" w:color="auto" w:fill="F5F0EB"/>
          </w:tcPr>
          <w:p>
            <w:r>
              <w:rPr>
                <w:sz w:val="19"/>
              </w:rPr>
              <w:t>0.42</w:t>
            </w:r>
          </w:p>
        </w:tc>
        <w:tc>
          <w:tcPr>
            <w:tcW w:type="dxa" w:w="1701"/>
            <w:shd w:val="clear" w:color="auto" w:fill="F5F0EB"/>
          </w:tcPr>
          <w:p>
            <w:r>
              <w:rPr>
                <w:sz w:val="19"/>
              </w:rPr>
              <w:t>0.67</w:t>
            </w:r>
          </w:p>
        </w:tc>
        <w:tc>
          <w:tcPr>
            <w:tcW w:type="dxa" w:w="1984"/>
            <w:shd w:val="clear" w:color="auto" w:fill="F5F0EB"/>
          </w:tcPr>
          <w:p>
            <w:r>
              <w:rPr>
                <w:sz w:val="19"/>
              </w:rPr>
              <w:t>0.74</w:t>
            </w:r>
          </w:p>
        </w:tc>
        <w:tc>
          <w:tcPr>
            <w:tcW w:type="dxa" w:w="1984"/>
            <w:shd w:val="clear" w:color="auto" w:fill="F5F0EB"/>
          </w:tcPr>
          <w:p>
            <w:r>
              <w:rPr>
                <w:sz w:val="19"/>
              </w:rPr>
              <w:t>0.61</w:t>
            </w:r>
          </w:p>
        </w:tc>
      </w:tr>
      <w:tr>
        <w:tc>
          <w:tcPr>
            <w:tcW w:type="dxa" w:w="2268"/>
            <w:shd w:val="clear" w:color="auto" w:fill="FAFAFA"/>
          </w:tcPr>
          <w:p>
            <w:r>
              <w:rPr>
                <w:sz w:val="19"/>
              </w:rPr>
              <w:t>Equity</w:t>
            </w:r>
          </w:p>
        </w:tc>
        <w:tc>
          <w:tcPr>
            <w:tcW w:type="dxa" w:w="1701"/>
            <w:shd w:val="clear" w:color="auto" w:fill="FAFAFA"/>
          </w:tcPr>
          <w:p>
            <w:r>
              <w:rPr>
                <w:sz w:val="19"/>
              </w:rPr>
              <w:t>0.39</w:t>
            </w:r>
          </w:p>
        </w:tc>
        <w:tc>
          <w:tcPr>
            <w:tcW w:type="dxa" w:w="1701"/>
            <w:shd w:val="clear" w:color="auto" w:fill="FAFAFA"/>
          </w:tcPr>
          <w:p>
            <w:r>
              <w:rPr>
                <w:sz w:val="19"/>
              </w:rPr>
              <w:t>0.33</w:t>
            </w:r>
          </w:p>
        </w:tc>
        <w:tc>
          <w:tcPr>
            <w:tcW w:type="dxa" w:w="1984"/>
            <w:shd w:val="clear" w:color="auto" w:fill="FAFAFA"/>
          </w:tcPr>
          <w:p>
            <w:r>
              <w:rPr>
                <w:sz w:val="19"/>
              </w:rPr>
              <w:t>0.01</w:t>
            </w:r>
          </w:p>
        </w:tc>
        <w:tc>
          <w:tcPr>
            <w:tcW w:type="dxa" w:w="1984"/>
            <w:shd w:val="clear" w:color="auto" w:fill="FAFAFA"/>
          </w:tcPr>
          <w:p>
            <w:r>
              <w:rPr>
                <w:sz w:val="19"/>
              </w:rPr>
              <w:t>0.24</w:t>
            </w:r>
          </w:p>
        </w:tc>
      </w:tr>
      <w:tr>
        <w:tc>
          <w:tcPr>
            <w:tcW w:type="dxa" w:w="2268"/>
            <w:shd w:val="clear" w:color="auto" w:fill="F5F0EB"/>
          </w:tcPr>
          <w:p>
            <w:r>
              <w:rPr>
                <w:sz w:val="19"/>
              </w:rPr>
              <w:t>Commodity</w:t>
            </w:r>
          </w:p>
        </w:tc>
        <w:tc>
          <w:tcPr>
            <w:tcW w:type="dxa" w:w="1701"/>
            <w:shd w:val="clear" w:color="auto" w:fill="F5F0EB"/>
          </w:tcPr>
          <w:p>
            <w:r>
              <w:rPr>
                <w:sz w:val="19"/>
              </w:rPr>
              <w:t>0.07</w:t>
            </w:r>
          </w:p>
        </w:tc>
        <w:tc>
          <w:tcPr>
            <w:tcW w:type="dxa" w:w="1701"/>
            <w:shd w:val="clear" w:color="auto" w:fill="F5F0EB"/>
          </w:tcPr>
          <w:p>
            <w:r>
              <w:rPr>
                <w:sz w:val="19"/>
              </w:rPr>
              <w:t>0.77</w:t>
            </w:r>
          </w:p>
        </w:tc>
        <w:tc>
          <w:tcPr>
            <w:tcW w:type="dxa" w:w="1984"/>
            <w:shd w:val="clear" w:color="auto" w:fill="F5F0EB"/>
          </w:tcPr>
          <w:p>
            <w:r>
              <w:rPr>
                <w:sz w:val="19"/>
              </w:rPr>
              <w:t>0.45</w:t>
            </w:r>
          </w:p>
        </w:tc>
        <w:tc>
          <w:tcPr>
            <w:tcW w:type="dxa" w:w="1984"/>
            <w:shd w:val="clear" w:color="auto" w:fill="F5F0EB"/>
          </w:tcPr>
          <w:p>
            <w:r>
              <w:rPr>
                <w:sz w:val="19"/>
              </w:rPr>
              <w:t>0.43</w:t>
            </w:r>
          </w:p>
        </w:tc>
      </w:tr>
      <w:tr>
        <w:tc>
          <w:tcPr>
            <w:tcW w:type="dxa" w:w="2268"/>
            <w:shd w:val="clear" w:color="auto" w:fill="FAFAFA"/>
          </w:tcPr>
          <w:p>
            <w:r>
              <w:rPr>
                <w:sz w:val="19"/>
              </w:rPr>
              <w:t>Interest Rate</w:t>
            </w:r>
          </w:p>
        </w:tc>
        <w:tc>
          <w:tcPr>
            <w:tcW w:type="dxa" w:w="1701"/>
            <w:shd w:val="clear" w:color="auto" w:fill="FAFAFA"/>
          </w:tcPr>
          <w:p>
            <w:r>
              <w:rPr>
                <w:sz w:val="19"/>
              </w:rPr>
              <w:t>0.56</w:t>
            </w:r>
          </w:p>
        </w:tc>
        <w:tc>
          <w:tcPr>
            <w:tcW w:type="dxa" w:w="1701"/>
            <w:shd w:val="clear" w:color="auto" w:fill="FAFAFA"/>
          </w:tcPr>
          <w:p>
            <w:r>
              <w:rPr>
                <w:sz w:val="19"/>
              </w:rPr>
              <w:t>0.76</w:t>
            </w:r>
          </w:p>
        </w:tc>
        <w:tc>
          <w:tcPr>
            <w:tcW w:type="dxa" w:w="1984"/>
            <w:shd w:val="clear" w:color="auto" w:fill="FAFAFA"/>
          </w:tcPr>
          <w:p>
            <w:r>
              <w:rPr>
                <w:sz w:val="19"/>
              </w:rPr>
              <w:t>-0.31</w:t>
            </w:r>
          </w:p>
        </w:tc>
        <w:tc>
          <w:tcPr>
            <w:tcW w:type="dxa" w:w="1984"/>
            <w:shd w:val="clear" w:color="auto" w:fill="FAFAFA"/>
          </w:tcPr>
          <w:p>
            <w:r>
              <w:rPr>
                <w:sz w:val="19"/>
              </w:rPr>
              <w:t>0.34</w:t>
            </w:r>
          </w:p>
        </w:tc>
      </w:tr>
      <w:tr>
        <w:tc>
          <w:tcPr>
            <w:tcW w:type="dxa" w:w="2268"/>
            <w:shd w:val="clear" w:color="auto" w:fill="F5F0EB"/>
          </w:tcPr>
          <w:p>
            <w:r>
              <w:rPr>
                <w:sz w:val="19"/>
              </w:rPr>
              <w:t>All Asset</w:t>
            </w:r>
          </w:p>
        </w:tc>
        <w:tc>
          <w:tcPr>
            <w:tcW w:type="dxa" w:w="1701"/>
            <w:shd w:val="clear" w:color="auto" w:fill="F5F0EB"/>
          </w:tcPr>
          <w:p>
            <w:r>
              <w:rPr>
                <w:sz w:val="19"/>
              </w:rPr>
              <w:t>0.75</w:t>
            </w:r>
          </w:p>
        </w:tc>
        <w:tc>
          <w:tcPr>
            <w:tcW w:type="dxa" w:w="1701"/>
            <w:shd w:val="clear" w:color="auto" w:fill="F5F0EB"/>
          </w:tcPr>
          <w:p>
            <w:r>
              <w:rPr>
                <w:sz w:val="19"/>
              </w:rPr>
              <w:t>1.27</w:t>
            </w:r>
          </w:p>
        </w:tc>
        <w:tc>
          <w:tcPr>
            <w:tcW w:type="dxa" w:w="1984"/>
            <w:shd w:val="clear" w:color="auto" w:fill="F5F0EB"/>
          </w:tcPr>
          <w:p>
            <w:r>
              <w:rPr>
                <w:sz w:val="19"/>
              </w:rPr>
              <w:t>0.42</w:t>
            </w:r>
          </w:p>
        </w:tc>
        <w:tc>
          <w:tcPr>
            <w:tcW w:type="dxa" w:w="1984"/>
            <w:shd w:val="clear" w:color="auto" w:fill="F5F0EB"/>
          </w:tcPr>
          <w:p>
            <w:r>
              <w:rPr>
                <w:sz w:val="19"/>
              </w:rPr>
              <w:t>—</w:t>
            </w:r>
          </w:p>
        </w:tc>
      </w:tr>
    </w:tbl>
    <w:p/>
    <w:p>
      <w:pPr>
        <w:spacing w:after="80"/>
      </w:pPr>
      <w:r>
        <w:rPr>
          <w:rFonts w:ascii="Calibri" w:hAnsi="Calibri"/>
          <w:b w:val="0"/>
          <w:i w:val="0"/>
          <w:color w:val="1E1E1E"/>
          <w:sz w:val="22"/>
        </w:rPr>
        <w:t>Carry is the strongest standalone cross-sectional strategy (all-asset Sharpe 1.27). Momentum fails badly in equities and rates cross-sectionally. Value is consistent but weak in commodities (0.07).</w:t>
      </w:r>
    </w:p>
    <w:p>
      <w:pPr>
        <w:spacing w:before="200" w:after="40"/>
      </w:pPr>
      <w:r>
        <w:rPr>
          <w:rFonts w:ascii="Calibri" w:hAnsi="Calibri"/>
          <w:b/>
          <w:i w:val="0"/>
          <w:color w:val="444444"/>
          <w:sz w:val="24"/>
        </w:rPr>
        <w:t>7.2  Combined Signals (Table 4)</w:t>
      </w:r>
    </w:p>
    <w:tbl>
      <w:tblPr>
        <w:tblStyle w:val="TableGrid"/>
        <w:tblW w:type="auto" w:w="0"/>
        <w:tblLook w:firstColumn="1" w:firstRow="1" w:lastColumn="0" w:lastRow="0" w:noHBand="0" w:noVBand="1" w:val="04A0"/>
      </w:tblPr>
      <w:tblGrid>
        <w:gridCol w:w="4703"/>
        <w:gridCol w:w="4703"/>
      </w:tblGrid>
      <w:tr>
        <w:tc>
          <w:tcPr>
            <w:tcW w:type="dxa" w:w="4535"/>
            <w:shd w:val="clear" w:color="auto" w:fill="2C2C2C"/>
          </w:tcPr>
          <w:p>
            <w:r>
              <w:rPr>
                <w:b/>
                <w:color w:val="FFFFFF"/>
                <w:sz w:val="19"/>
              </w:rPr>
              <w:t>Combination</w:t>
            </w:r>
          </w:p>
        </w:tc>
        <w:tc>
          <w:tcPr>
            <w:tcW w:type="dxa" w:w="2835"/>
            <w:shd w:val="clear" w:color="auto" w:fill="2C2C2C"/>
          </w:tcPr>
          <w:p>
            <w:r>
              <w:rPr>
                <w:b/>
                <w:color w:val="FFFFFF"/>
                <w:sz w:val="19"/>
              </w:rPr>
              <w:t>All-Asset Sharpe</w:t>
            </w:r>
          </w:p>
        </w:tc>
      </w:tr>
      <w:tr>
        <w:tc>
          <w:tcPr>
            <w:tcW w:type="dxa" w:w="4535"/>
            <w:shd w:val="clear" w:color="auto" w:fill="F5F0EB"/>
          </w:tcPr>
          <w:p>
            <w:r>
              <w:rPr>
                <w:sz w:val="19"/>
              </w:rPr>
              <w:t>Value + Carry</w:t>
            </w:r>
          </w:p>
        </w:tc>
        <w:tc>
          <w:tcPr>
            <w:tcW w:type="dxa" w:w="2835"/>
            <w:shd w:val="clear" w:color="auto" w:fill="F5F0EB"/>
          </w:tcPr>
          <w:p>
            <w:r>
              <w:rPr>
                <w:sz w:val="19"/>
              </w:rPr>
              <w:t>1.49</w:t>
            </w:r>
          </w:p>
        </w:tc>
      </w:tr>
      <w:tr>
        <w:tc>
          <w:tcPr>
            <w:tcW w:type="dxa" w:w="4535"/>
            <w:shd w:val="clear" w:color="auto" w:fill="FAFAFA"/>
          </w:tcPr>
          <w:p>
            <w:r>
              <w:rPr>
                <w:sz w:val="19"/>
              </w:rPr>
              <w:t>Value + Momentum</w:t>
            </w:r>
          </w:p>
        </w:tc>
        <w:tc>
          <w:tcPr>
            <w:tcW w:type="dxa" w:w="2835"/>
            <w:shd w:val="clear" w:color="auto" w:fill="FAFAFA"/>
          </w:tcPr>
          <w:p>
            <w:r>
              <w:rPr>
                <w:sz w:val="19"/>
              </w:rPr>
              <w:t>0.86</w:t>
            </w:r>
          </w:p>
        </w:tc>
      </w:tr>
      <w:tr>
        <w:tc>
          <w:tcPr>
            <w:tcW w:type="dxa" w:w="4535"/>
            <w:shd w:val="clear" w:color="auto" w:fill="F5F0EB"/>
          </w:tcPr>
          <w:p>
            <w:r>
              <w:rPr>
                <w:sz w:val="19"/>
              </w:rPr>
              <w:t>Carry + Momentum</w:t>
            </w:r>
          </w:p>
        </w:tc>
        <w:tc>
          <w:tcPr>
            <w:tcW w:type="dxa" w:w="2835"/>
            <w:shd w:val="clear" w:color="auto" w:fill="F5F0EB"/>
          </w:tcPr>
          <w:p>
            <w:r>
              <w:rPr>
                <w:sz w:val="19"/>
              </w:rPr>
              <w:t>1.08</w:t>
            </w:r>
          </w:p>
        </w:tc>
      </w:tr>
      <w:tr>
        <w:tc>
          <w:tcPr>
            <w:tcW w:type="dxa" w:w="4535"/>
            <w:shd w:val="clear" w:color="auto" w:fill="FAFAFA"/>
          </w:tcPr>
          <w:p>
            <w:r>
              <w:rPr>
                <w:sz w:val="19"/>
              </w:rPr>
              <w:t>Value + Carry + Momentum</w:t>
            </w:r>
          </w:p>
        </w:tc>
        <w:tc>
          <w:tcPr>
            <w:tcW w:type="dxa" w:w="2835"/>
            <w:shd w:val="clear" w:color="auto" w:fill="FAFAFA"/>
          </w:tcPr>
          <w:p>
            <w:r>
              <w:rPr>
                <w:sz w:val="19"/>
              </w:rPr>
              <w:t>1.40</w:t>
            </w:r>
          </w:p>
        </w:tc>
      </w:tr>
    </w:tbl>
    <w:p/>
    <w:p>
      <w:pPr>
        <w:spacing w:after="60"/>
        <w:ind w:left="567"/>
      </w:pPr>
      <w:r>
        <w:rPr>
          <w:i/>
          <w:color w:val="664422"/>
          <w:sz w:val="20"/>
        </w:rPr>
        <w:t>▶  The V+C+M combined portfolio never lost money on a 3Y rolling basis. 3Y rolling Sharpe ranged 0 to 2.30.</w:t>
      </w:r>
    </w:p>
    <w:p>
      <w:pPr>
        <w:spacing w:before="200" w:after="40"/>
      </w:pPr>
      <w:r>
        <w:rPr>
          <w:rFonts w:ascii="Calibri" w:hAnsi="Calibri"/>
          <w:b/>
          <w:i w:val="0"/>
          <w:color w:val="444444"/>
          <w:sz w:val="24"/>
        </w:rPr>
        <w:t>7.3  Return Characteristics</w:t>
      </w:r>
    </w:p>
    <w:tbl>
      <w:tblPr>
        <w:tblStyle w:val="TableGrid"/>
        <w:tblW w:type="auto" w:w="0"/>
        <w:tblLook w:firstColumn="1" w:firstRow="1" w:lastColumn="0" w:lastRow="0" w:noHBand="0" w:noVBand="1" w:val="04A0"/>
      </w:tblPr>
      <w:tblGrid>
        <w:gridCol w:w="2351"/>
        <w:gridCol w:w="2351"/>
        <w:gridCol w:w="2351"/>
        <w:gridCol w:w="2351"/>
      </w:tblGrid>
      <w:tr>
        <w:tc>
          <w:tcPr>
            <w:tcW w:type="dxa" w:w="3969"/>
            <w:shd w:val="clear" w:color="auto" w:fill="2C2C2C"/>
          </w:tcPr>
          <w:p>
            <w:r>
              <w:rPr>
                <w:b/>
                <w:color w:val="FFFFFF"/>
                <w:sz w:val="19"/>
              </w:rPr>
              <w:t>Metric</w:t>
            </w:r>
          </w:p>
        </w:tc>
        <w:tc>
          <w:tcPr>
            <w:tcW w:type="dxa" w:w="1984"/>
            <w:shd w:val="clear" w:color="auto" w:fill="2C2C2C"/>
          </w:tcPr>
          <w:p>
            <w:r>
              <w:rPr>
                <w:b/>
                <w:color w:val="FFFFFF"/>
                <w:sz w:val="19"/>
              </w:rPr>
              <w:t>Value</w:t>
            </w:r>
          </w:p>
        </w:tc>
        <w:tc>
          <w:tcPr>
            <w:tcW w:type="dxa" w:w="1984"/>
            <w:shd w:val="clear" w:color="auto" w:fill="2C2C2C"/>
          </w:tcPr>
          <w:p>
            <w:r>
              <w:rPr>
                <w:b/>
                <w:color w:val="FFFFFF"/>
                <w:sz w:val="19"/>
              </w:rPr>
              <w:t>Carry</w:t>
            </w:r>
          </w:p>
        </w:tc>
        <w:tc>
          <w:tcPr>
            <w:tcW w:type="dxa" w:w="1984"/>
            <w:shd w:val="clear" w:color="auto" w:fill="2C2C2C"/>
          </w:tcPr>
          <w:p>
            <w:r>
              <w:rPr>
                <w:b/>
                <w:color w:val="FFFFFF"/>
                <w:sz w:val="19"/>
              </w:rPr>
              <w:t>Momentum</w:t>
            </w:r>
          </w:p>
        </w:tc>
      </w:tr>
      <w:tr>
        <w:tc>
          <w:tcPr>
            <w:tcW w:type="dxa" w:w="3969"/>
            <w:shd w:val="clear" w:color="auto" w:fill="F5F0EB"/>
          </w:tcPr>
          <w:p>
            <w:r>
              <w:rPr>
                <w:sz w:val="19"/>
              </w:rPr>
              <w:t>Monthly return skew (all-asset CS)</w:t>
            </w:r>
          </w:p>
        </w:tc>
        <w:tc>
          <w:tcPr>
            <w:tcW w:type="dxa" w:w="1984"/>
            <w:shd w:val="clear" w:color="auto" w:fill="F5F0EB"/>
          </w:tcPr>
          <w:p>
            <w:r>
              <w:rPr>
                <w:sz w:val="19"/>
              </w:rPr>
              <w:t>+0.09</w:t>
            </w:r>
          </w:p>
        </w:tc>
        <w:tc>
          <w:tcPr>
            <w:tcW w:type="dxa" w:w="1984"/>
            <w:shd w:val="clear" w:color="auto" w:fill="F5F0EB"/>
          </w:tcPr>
          <w:p>
            <w:r>
              <w:rPr>
                <w:sz w:val="19"/>
              </w:rPr>
              <w:t>-0.39</w:t>
            </w:r>
          </w:p>
        </w:tc>
        <w:tc>
          <w:tcPr>
            <w:tcW w:type="dxa" w:w="1984"/>
            <w:shd w:val="clear" w:color="auto" w:fill="F5F0EB"/>
          </w:tcPr>
          <w:p>
            <w:r>
              <w:rPr>
                <w:sz w:val="19"/>
              </w:rPr>
              <w:t>+0.10</w:t>
            </w:r>
          </w:p>
        </w:tc>
      </w:tr>
      <w:tr>
        <w:tc>
          <w:tcPr>
            <w:tcW w:type="dxa" w:w="3969"/>
            <w:shd w:val="clear" w:color="auto" w:fill="FAFAFA"/>
          </w:tcPr>
          <w:p>
            <w:r>
              <w:rPr>
                <w:sz w:val="19"/>
              </w:rPr>
              <w:t>Max drawdown / volatility</w:t>
            </w:r>
          </w:p>
        </w:tc>
        <w:tc>
          <w:tcPr>
            <w:tcW w:type="dxa" w:w="1984"/>
            <w:shd w:val="clear" w:color="auto" w:fill="FAFAFA"/>
          </w:tcPr>
          <w:p>
            <w:r>
              <w:rPr>
                <w:sz w:val="19"/>
              </w:rPr>
              <w:t>-1.8x</w:t>
            </w:r>
          </w:p>
        </w:tc>
        <w:tc>
          <w:tcPr>
            <w:tcW w:type="dxa" w:w="1984"/>
            <w:shd w:val="clear" w:color="auto" w:fill="FAFAFA"/>
          </w:tcPr>
          <w:p>
            <w:r>
              <w:rPr>
                <w:sz w:val="19"/>
              </w:rPr>
              <w:t>-3.1x</w:t>
            </w:r>
          </w:p>
        </w:tc>
        <w:tc>
          <w:tcPr>
            <w:tcW w:type="dxa" w:w="1984"/>
            <w:shd w:val="clear" w:color="auto" w:fill="FAFAFA"/>
          </w:tcPr>
          <w:p>
            <w:r>
              <w:rPr>
                <w:sz w:val="19"/>
              </w:rPr>
              <w:t>-2.6x</w:t>
            </w:r>
          </w:p>
        </w:tc>
      </w:tr>
      <w:tr>
        <w:tc>
          <w:tcPr>
            <w:tcW w:type="dxa" w:w="3969"/>
            <w:shd w:val="clear" w:color="auto" w:fill="F5F0EB"/>
          </w:tcPr>
          <w:p>
            <w:r>
              <w:rPr>
                <w:sz w:val="19"/>
              </w:rPr>
              <w:t>Average market beta</w:t>
            </w:r>
          </w:p>
        </w:tc>
        <w:tc>
          <w:tcPr>
            <w:tcW w:type="dxa" w:w="1984"/>
            <w:shd w:val="clear" w:color="auto" w:fill="F5F0EB"/>
          </w:tcPr>
          <w:p>
            <w:r>
              <w:rPr>
                <w:sz w:val="19"/>
              </w:rPr>
              <w:t>-4%</w:t>
            </w:r>
          </w:p>
        </w:tc>
        <w:tc>
          <w:tcPr>
            <w:tcW w:type="dxa" w:w="1984"/>
            <w:shd w:val="clear" w:color="auto" w:fill="F5F0EB"/>
          </w:tcPr>
          <w:p>
            <w:r>
              <w:rPr>
                <w:sz w:val="19"/>
              </w:rPr>
              <w:t>+2%</w:t>
            </w:r>
          </w:p>
        </w:tc>
        <w:tc>
          <w:tcPr>
            <w:tcW w:type="dxa" w:w="1984"/>
            <w:shd w:val="clear" w:color="auto" w:fill="F5F0EB"/>
          </w:tcPr>
          <w:p>
            <w:r>
              <w:rPr>
                <w:sz w:val="19"/>
              </w:rPr>
              <w:t>-4%</w:t>
            </w:r>
          </w:p>
        </w:tc>
      </w:tr>
    </w:tbl>
    <w:p/>
    <w:p>
      <w:pPr>
        <w:spacing w:after="80"/>
      </w:pPr>
      <w:r>
        <w:rPr>
          <w:rFonts w:ascii="Calibri" w:hAnsi="Calibri"/>
          <w:b w:val="0"/>
          <w:i w:val="0"/>
          <w:color w:val="1E1E1E"/>
          <w:sz w:val="22"/>
        </w:rPr>
        <w:t>Carry has NEGATIVE skew — it is prone to occasional large losses (crash risk). Value and momentum have positive skew. All three strategies are near market-neutral.</w:t>
      </w:r>
    </w:p>
    <w:p>
      <w:pPr>
        <w:spacing w:before="200" w:after="40"/>
      </w:pPr>
      <w:r>
        <w:rPr>
          <w:rFonts w:ascii="Calibri" w:hAnsi="Calibri"/>
          <w:b/>
          <w:i w:val="0"/>
          <w:color w:val="444444"/>
          <w:sz w:val="24"/>
        </w:rPr>
        <w:t>7.4  Inter-Strategy Correlations (Table 2)</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2C2C2C"/>
          </w:tcPr>
          <w:p>
            <w:r>
              <w:rPr>
                <w:b/>
                <w:color w:val="FFFFFF"/>
                <w:sz w:val="19"/>
              </w:rPr>
              <w:t>Pair</w:t>
            </w:r>
          </w:p>
        </w:tc>
        <w:tc>
          <w:tcPr>
            <w:tcW w:type="dxa" w:w="3118"/>
            <w:shd w:val="clear" w:color="auto" w:fill="2C2C2C"/>
          </w:tcPr>
          <w:p>
            <w:r>
              <w:rPr>
                <w:b/>
                <w:color w:val="FFFFFF"/>
                <w:sz w:val="19"/>
              </w:rPr>
              <w:t>Overall Correlation</w:t>
            </w:r>
          </w:p>
        </w:tc>
        <w:tc>
          <w:tcPr>
            <w:tcW w:type="dxa" w:w="3685"/>
            <w:shd w:val="clear" w:color="auto" w:fill="2C2C2C"/>
          </w:tcPr>
          <w:p>
            <w:r>
              <w:rPr>
                <w:b/>
                <w:color w:val="FFFFFF"/>
                <w:sz w:val="19"/>
              </w:rPr>
              <w:t>Commodity Sub-Correlation</w:t>
            </w:r>
          </w:p>
        </w:tc>
      </w:tr>
      <w:tr>
        <w:tc>
          <w:tcPr>
            <w:tcW w:type="dxa" w:w="2835"/>
            <w:shd w:val="clear" w:color="auto" w:fill="F5F0EB"/>
          </w:tcPr>
          <w:p>
            <w:r>
              <w:rPr>
                <w:sz w:val="19"/>
              </w:rPr>
              <w:t>Value - Carry</w:t>
            </w:r>
          </w:p>
        </w:tc>
        <w:tc>
          <w:tcPr>
            <w:tcW w:type="dxa" w:w="3118"/>
            <w:shd w:val="clear" w:color="auto" w:fill="F5F0EB"/>
          </w:tcPr>
          <w:p>
            <w:r>
              <w:rPr>
                <w:sz w:val="19"/>
              </w:rPr>
              <w:t>-9.0%</w:t>
            </w:r>
          </w:p>
        </w:tc>
        <w:tc>
          <w:tcPr>
            <w:tcW w:type="dxa" w:w="3685"/>
            <w:shd w:val="clear" w:color="auto" w:fill="F5F0EB"/>
          </w:tcPr>
          <w:p>
            <w:r>
              <w:rPr>
                <w:sz w:val="19"/>
              </w:rPr>
              <w:t>-48% (!!!)</w:t>
            </w:r>
          </w:p>
        </w:tc>
      </w:tr>
      <w:tr>
        <w:tc>
          <w:tcPr>
            <w:tcW w:type="dxa" w:w="2835"/>
            <w:shd w:val="clear" w:color="auto" w:fill="FAFAFA"/>
          </w:tcPr>
          <w:p>
            <w:r>
              <w:rPr>
                <w:sz w:val="19"/>
              </w:rPr>
              <w:t>Value - Momentum</w:t>
            </w:r>
          </w:p>
        </w:tc>
        <w:tc>
          <w:tcPr>
            <w:tcW w:type="dxa" w:w="3118"/>
            <w:shd w:val="clear" w:color="auto" w:fill="FAFAFA"/>
          </w:tcPr>
          <w:p>
            <w:r>
              <w:rPr>
                <w:sz w:val="19"/>
              </w:rPr>
              <w:t>-9.2%</w:t>
            </w:r>
          </w:p>
        </w:tc>
        <w:tc>
          <w:tcPr>
            <w:tcW w:type="dxa" w:w="3685"/>
            <w:shd w:val="clear" w:color="auto" w:fill="FAFAFA"/>
          </w:tcPr>
          <w:p>
            <w:r>
              <w:rPr>
                <w:sz w:val="19"/>
              </w:rPr>
              <w:t>-32%</w:t>
            </w:r>
          </w:p>
        </w:tc>
      </w:tr>
      <w:tr>
        <w:tc>
          <w:tcPr>
            <w:tcW w:type="dxa" w:w="2835"/>
            <w:shd w:val="clear" w:color="auto" w:fill="F5F0EB"/>
          </w:tcPr>
          <w:p>
            <w:r>
              <w:rPr>
                <w:sz w:val="19"/>
              </w:rPr>
              <w:t>Carry - Momentum</w:t>
            </w:r>
          </w:p>
        </w:tc>
        <w:tc>
          <w:tcPr>
            <w:tcW w:type="dxa" w:w="3118"/>
            <w:shd w:val="clear" w:color="auto" w:fill="F5F0EB"/>
          </w:tcPr>
          <w:p>
            <w:r>
              <w:rPr>
                <w:sz w:val="19"/>
              </w:rPr>
              <w:t>+15.0%</w:t>
            </w:r>
          </w:p>
        </w:tc>
        <w:tc>
          <w:tcPr>
            <w:tcW w:type="dxa" w:w="3685"/>
            <w:shd w:val="clear" w:color="auto" w:fill="F5F0EB"/>
          </w:tcPr>
          <w:p>
            <w:r>
              <w:rPr>
                <w:sz w:val="19"/>
              </w:rPr>
              <w:t>+51%</w:t>
            </w:r>
          </w:p>
        </w:tc>
      </w:tr>
    </w:tbl>
    <w:p/>
    <w:p>
      <w:pPr>
        <w:spacing w:after="80"/>
      </w:pPr>
      <w:r>
        <w:rPr>
          <w:rFonts w:ascii="Calibri" w:hAnsi="Calibri"/>
          <w:b w:val="0"/>
          <w:i w:val="0"/>
          <w:color w:val="1E1E1E"/>
          <w:sz w:val="22"/>
        </w:rPr>
        <w:t>The very negative value-carry correlation in commodities (-48%) reflects a deep economic truth: high real prices (expensive = value says short) go hand in hand with high inventories which cause contango (low/negative carry). So value and carry are natural diversifiers in metals.</w:t>
      </w:r>
    </w:p>
    <w:p>
      <w:r>
        <w:br w:type="page"/>
      </w:r>
    </w:p>
    <w:p>
      <w:pPr>
        <w:spacing w:before="80" w:after="120"/>
        <w:pBdr>
          <w:bottom w:val="single" w:sz="6" w:space="1" w:color="B87333"/>
        </w:pBdr>
      </w:pPr>
      <w:r>
        <w:rPr>
          <w:rFonts w:ascii="Calibri" w:hAnsi="Calibri"/>
          <w:b/>
          <w:i w:val="0"/>
          <w:color w:val="B87333"/>
          <w:sz w:val="26"/>
        </w:rPr>
        <w:t xml:space="preserve">Page 8  |  </w:t>
      </w:r>
      <w:r>
        <w:rPr>
          <w:rFonts w:ascii="Calibri" w:hAnsi="Calibri"/>
          <w:b/>
          <w:i w:val="0"/>
          <w:color w:val="B87333"/>
          <w:sz w:val="26"/>
        </w:rPr>
        <w:t>Empirical Results: Time-Series vs. Cross-Section</w:t>
      </w:r>
    </w:p>
    <w:p>
      <w:pPr>
        <w:spacing w:before="200" w:after="40"/>
      </w:pPr>
      <w:r>
        <w:rPr>
          <w:rFonts w:ascii="Calibri" w:hAnsi="Calibri"/>
          <w:b/>
          <w:i w:val="0"/>
          <w:color w:val="444444"/>
          <w:sz w:val="24"/>
        </w:rPr>
        <w:t>8.1  Time-Series Sharpe Ratios (Table 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2C2C2C"/>
          </w:tcPr>
          <w:p>
            <w:r>
              <w:rPr>
                <w:b/>
                <w:color w:val="FFFFFF"/>
                <w:sz w:val="19"/>
              </w:rPr>
              <w:t>Asset Class</w:t>
            </w:r>
          </w:p>
        </w:tc>
        <w:tc>
          <w:tcPr>
            <w:tcW w:type="dxa" w:w="1701"/>
            <w:shd w:val="clear" w:color="auto" w:fill="2C2C2C"/>
          </w:tcPr>
          <w:p>
            <w:r>
              <w:rPr>
                <w:b/>
                <w:color w:val="FFFFFF"/>
                <w:sz w:val="19"/>
              </w:rPr>
              <w:t>Value</w:t>
            </w:r>
          </w:p>
        </w:tc>
        <w:tc>
          <w:tcPr>
            <w:tcW w:type="dxa" w:w="1701"/>
            <w:shd w:val="clear" w:color="auto" w:fill="2C2C2C"/>
          </w:tcPr>
          <w:p>
            <w:r>
              <w:rPr>
                <w:b/>
                <w:color w:val="FFFFFF"/>
                <w:sz w:val="19"/>
              </w:rPr>
              <w:t>Carry</w:t>
            </w:r>
          </w:p>
        </w:tc>
        <w:tc>
          <w:tcPr>
            <w:tcW w:type="dxa" w:w="1984"/>
            <w:shd w:val="clear" w:color="auto" w:fill="2C2C2C"/>
          </w:tcPr>
          <w:p>
            <w:r>
              <w:rPr>
                <w:b/>
                <w:color w:val="FFFFFF"/>
                <w:sz w:val="19"/>
              </w:rPr>
              <w:t>Momentum</w:t>
            </w:r>
          </w:p>
        </w:tc>
        <w:tc>
          <w:tcPr>
            <w:tcW w:type="dxa" w:w="1984"/>
            <w:shd w:val="clear" w:color="auto" w:fill="2C2C2C"/>
          </w:tcPr>
          <w:p>
            <w:r>
              <w:rPr>
                <w:b/>
                <w:color w:val="FFFFFF"/>
                <w:sz w:val="19"/>
              </w:rPr>
              <w:t>Average</w:t>
            </w:r>
          </w:p>
        </w:tc>
      </w:tr>
      <w:tr>
        <w:tc>
          <w:tcPr>
            <w:tcW w:type="dxa" w:w="2268"/>
            <w:shd w:val="clear" w:color="auto" w:fill="F5F0EB"/>
          </w:tcPr>
          <w:p>
            <w:r>
              <w:rPr>
                <w:sz w:val="19"/>
              </w:rPr>
              <w:t>FX</w:t>
            </w:r>
          </w:p>
        </w:tc>
        <w:tc>
          <w:tcPr>
            <w:tcW w:type="dxa" w:w="1701"/>
            <w:shd w:val="clear" w:color="auto" w:fill="F5F0EB"/>
          </w:tcPr>
          <w:p>
            <w:r>
              <w:rPr>
                <w:sz w:val="19"/>
              </w:rPr>
              <w:t>0.27</w:t>
            </w:r>
          </w:p>
        </w:tc>
        <w:tc>
          <w:tcPr>
            <w:tcW w:type="dxa" w:w="1701"/>
            <w:shd w:val="clear" w:color="auto" w:fill="F5F0EB"/>
          </w:tcPr>
          <w:p>
            <w:r>
              <w:rPr>
                <w:sz w:val="19"/>
              </w:rPr>
              <w:t>0.55</w:t>
            </w:r>
          </w:p>
        </w:tc>
        <w:tc>
          <w:tcPr>
            <w:tcW w:type="dxa" w:w="1984"/>
            <w:shd w:val="clear" w:color="auto" w:fill="F5F0EB"/>
          </w:tcPr>
          <w:p>
            <w:r>
              <w:rPr>
                <w:sz w:val="19"/>
              </w:rPr>
              <w:t>0.72</w:t>
            </w:r>
          </w:p>
        </w:tc>
        <w:tc>
          <w:tcPr>
            <w:tcW w:type="dxa" w:w="1984"/>
            <w:shd w:val="clear" w:color="auto" w:fill="F5F0EB"/>
          </w:tcPr>
          <w:p>
            <w:r>
              <w:rPr>
                <w:sz w:val="19"/>
              </w:rPr>
              <w:t>0.51</w:t>
            </w:r>
          </w:p>
        </w:tc>
      </w:tr>
      <w:tr>
        <w:tc>
          <w:tcPr>
            <w:tcW w:type="dxa" w:w="2268"/>
            <w:shd w:val="clear" w:color="auto" w:fill="FAFAFA"/>
          </w:tcPr>
          <w:p>
            <w:r>
              <w:rPr>
                <w:sz w:val="19"/>
              </w:rPr>
              <w:t>Equity</w:t>
            </w:r>
          </w:p>
        </w:tc>
        <w:tc>
          <w:tcPr>
            <w:tcW w:type="dxa" w:w="1701"/>
            <w:shd w:val="clear" w:color="auto" w:fill="FAFAFA"/>
          </w:tcPr>
          <w:p>
            <w:r>
              <w:rPr>
                <w:sz w:val="19"/>
              </w:rPr>
              <w:t>-0.13</w:t>
            </w:r>
          </w:p>
        </w:tc>
        <w:tc>
          <w:tcPr>
            <w:tcW w:type="dxa" w:w="1701"/>
            <w:shd w:val="clear" w:color="auto" w:fill="FAFAFA"/>
          </w:tcPr>
          <w:p>
            <w:r>
              <w:rPr>
                <w:sz w:val="19"/>
              </w:rPr>
              <w:t>0.23</w:t>
            </w:r>
          </w:p>
        </w:tc>
        <w:tc>
          <w:tcPr>
            <w:tcW w:type="dxa" w:w="1984"/>
            <w:shd w:val="clear" w:color="auto" w:fill="FAFAFA"/>
          </w:tcPr>
          <w:p>
            <w:r>
              <w:rPr>
                <w:sz w:val="19"/>
              </w:rPr>
              <w:t>0.41</w:t>
            </w:r>
          </w:p>
        </w:tc>
        <w:tc>
          <w:tcPr>
            <w:tcW w:type="dxa" w:w="1984"/>
            <w:shd w:val="clear" w:color="auto" w:fill="FAFAFA"/>
          </w:tcPr>
          <w:p>
            <w:r>
              <w:rPr>
                <w:sz w:val="19"/>
              </w:rPr>
              <w:t>0.17</w:t>
            </w:r>
          </w:p>
        </w:tc>
      </w:tr>
      <w:tr>
        <w:tc>
          <w:tcPr>
            <w:tcW w:type="dxa" w:w="2268"/>
            <w:shd w:val="clear" w:color="auto" w:fill="F5F0EB"/>
          </w:tcPr>
          <w:p>
            <w:r>
              <w:rPr>
                <w:sz w:val="19"/>
              </w:rPr>
              <w:t>Commodity</w:t>
            </w:r>
          </w:p>
        </w:tc>
        <w:tc>
          <w:tcPr>
            <w:tcW w:type="dxa" w:w="1701"/>
            <w:shd w:val="clear" w:color="auto" w:fill="F5F0EB"/>
          </w:tcPr>
          <w:p>
            <w:r>
              <w:rPr>
                <w:sz w:val="19"/>
              </w:rPr>
              <w:t>0.22</w:t>
            </w:r>
          </w:p>
        </w:tc>
        <w:tc>
          <w:tcPr>
            <w:tcW w:type="dxa" w:w="1701"/>
            <w:shd w:val="clear" w:color="auto" w:fill="F5F0EB"/>
          </w:tcPr>
          <w:p>
            <w:r>
              <w:rPr>
                <w:sz w:val="19"/>
              </w:rPr>
              <w:t>0.64</w:t>
            </w:r>
          </w:p>
        </w:tc>
        <w:tc>
          <w:tcPr>
            <w:tcW w:type="dxa" w:w="1984"/>
            <w:shd w:val="clear" w:color="auto" w:fill="F5F0EB"/>
          </w:tcPr>
          <w:p>
            <w:r>
              <w:rPr>
                <w:sz w:val="19"/>
              </w:rPr>
              <w:t>0.45</w:t>
            </w:r>
          </w:p>
        </w:tc>
        <w:tc>
          <w:tcPr>
            <w:tcW w:type="dxa" w:w="1984"/>
            <w:shd w:val="clear" w:color="auto" w:fill="F5F0EB"/>
          </w:tcPr>
          <w:p>
            <w:r>
              <w:rPr>
                <w:sz w:val="19"/>
              </w:rPr>
              <w:t>0.44</w:t>
            </w:r>
          </w:p>
        </w:tc>
      </w:tr>
      <w:tr>
        <w:tc>
          <w:tcPr>
            <w:tcW w:type="dxa" w:w="2268"/>
            <w:shd w:val="clear" w:color="auto" w:fill="FAFAFA"/>
          </w:tcPr>
          <w:p>
            <w:r>
              <w:rPr>
                <w:sz w:val="19"/>
              </w:rPr>
              <w:t>Interest Rate</w:t>
            </w:r>
          </w:p>
        </w:tc>
        <w:tc>
          <w:tcPr>
            <w:tcW w:type="dxa" w:w="1701"/>
            <w:shd w:val="clear" w:color="auto" w:fill="FAFAFA"/>
          </w:tcPr>
          <w:p>
            <w:r>
              <w:rPr>
                <w:sz w:val="19"/>
              </w:rPr>
              <w:t>0.48</w:t>
            </w:r>
          </w:p>
        </w:tc>
        <w:tc>
          <w:tcPr>
            <w:tcW w:type="dxa" w:w="1701"/>
            <w:shd w:val="clear" w:color="auto" w:fill="FAFAFA"/>
          </w:tcPr>
          <w:p>
            <w:r>
              <w:rPr>
                <w:sz w:val="19"/>
              </w:rPr>
              <w:t>0.83</w:t>
            </w:r>
          </w:p>
        </w:tc>
        <w:tc>
          <w:tcPr>
            <w:tcW w:type="dxa" w:w="1984"/>
            <w:shd w:val="clear" w:color="auto" w:fill="FAFAFA"/>
          </w:tcPr>
          <w:p>
            <w:r>
              <w:rPr>
                <w:sz w:val="19"/>
              </w:rPr>
              <w:t>0.77</w:t>
            </w:r>
          </w:p>
        </w:tc>
        <w:tc>
          <w:tcPr>
            <w:tcW w:type="dxa" w:w="1984"/>
            <w:shd w:val="clear" w:color="auto" w:fill="FAFAFA"/>
          </w:tcPr>
          <w:p>
            <w:r>
              <w:rPr>
                <w:sz w:val="19"/>
              </w:rPr>
              <w:t>0.69</w:t>
            </w:r>
          </w:p>
        </w:tc>
      </w:tr>
      <w:tr>
        <w:tc>
          <w:tcPr>
            <w:tcW w:type="dxa" w:w="2268"/>
            <w:shd w:val="clear" w:color="auto" w:fill="F5F0EB"/>
          </w:tcPr>
          <w:p>
            <w:r>
              <w:rPr>
                <w:sz w:val="19"/>
              </w:rPr>
              <w:t>All Asset</w:t>
            </w:r>
          </w:p>
        </w:tc>
        <w:tc>
          <w:tcPr>
            <w:tcW w:type="dxa" w:w="1701"/>
            <w:shd w:val="clear" w:color="auto" w:fill="F5F0EB"/>
          </w:tcPr>
          <w:p>
            <w:r>
              <w:rPr>
                <w:sz w:val="19"/>
              </w:rPr>
              <w:t>0.28</w:t>
            </w:r>
          </w:p>
        </w:tc>
        <w:tc>
          <w:tcPr>
            <w:tcW w:type="dxa" w:w="1701"/>
            <w:shd w:val="clear" w:color="auto" w:fill="F5F0EB"/>
          </w:tcPr>
          <w:p>
            <w:r>
              <w:rPr>
                <w:sz w:val="19"/>
              </w:rPr>
              <w:t>1.25</w:t>
            </w:r>
          </w:p>
        </w:tc>
        <w:tc>
          <w:tcPr>
            <w:tcW w:type="dxa" w:w="1984"/>
            <w:shd w:val="clear" w:color="auto" w:fill="F5F0EB"/>
          </w:tcPr>
          <w:p>
            <w:r>
              <w:rPr>
                <w:sz w:val="19"/>
              </w:rPr>
              <w:t>0.96</w:t>
            </w:r>
          </w:p>
        </w:tc>
        <w:tc>
          <w:tcPr>
            <w:tcW w:type="dxa" w:w="1984"/>
            <w:shd w:val="clear" w:color="auto" w:fill="F5F0EB"/>
          </w:tcPr>
          <w:p>
            <w:r>
              <w:rPr>
                <w:sz w:val="19"/>
              </w:rPr>
              <w:t>—</w:t>
            </w:r>
          </w:p>
        </w:tc>
      </w:tr>
    </w:tbl>
    <w:p/>
    <w:p>
      <w:pPr>
        <w:spacing w:before="200" w:after="40"/>
      </w:pPr>
      <w:r>
        <w:rPr>
          <w:rFonts w:ascii="Calibri" w:hAnsi="Calibri"/>
          <w:b/>
          <w:i w:val="0"/>
          <w:color w:val="444444"/>
          <w:sz w:val="24"/>
        </w:rPr>
        <w:t>8.2  Head-to-Head: CS vs. TS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2C2C2C"/>
          </w:tcPr>
          <w:p>
            <w:r>
              <w:rPr>
                <w:b/>
                <w:color w:val="FFFFFF"/>
                <w:sz w:val="19"/>
              </w:rPr>
              <w:t>Strategy</w:t>
            </w:r>
          </w:p>
        </w:tc>
        <w:tc>
          <w:tcPr>
            <w:tcW w:type="dxa" w:w="2551"/>
            <w:shd w:val="clear" w:color="auto" w:fill="2C2C2C"/>
          </w:tcPr>
          <w:p>
            <w:r>
              <w:rPr>
                <w:b/>
                <w:color w:val="FFFFFF"/>
                <w:sz w:val="19"/>
              </w:rPr>
              <w:t>Cross-Section Sharpe</w:t>
            </w:r>
          </w:p>
        </w:tc>
        <w:tc>
          <w:tcPr>
            <w:tcW w:type="dxa" w:w="2551"/>
            <w:shd w:val="clear" w:color="auto" w:fill="2C2C2C"/>
          </w:tcPr>
          <w:p>
            <w:r>
              <w:rPr>
                <w:b/>
                <w:color w:val="FFFFFF"/>
                <w:sz w:val="19"/>
              </w:rPr>
              <w:t>Time-Series Sharpe</w:t>
            </w:r>
          </w:p>
        </w:tc>
        <w:tc>
          <w:tcPr>
            <w:tcW w:type="dxa" w:w="2551"/>
            <w:shd w:val="clear" w:color="auto" w:fill="2C2C2C"/>
          </w:tcPr>
          <w:p>
            <w:r>
              <w:rPr>
                <w:b/>
                <w:color w:val="FFFFFF"/>
                <w:sz w:val="19"/>
              </w:rPr>
              <w:t>Winner</w:t>
            </w:r>
          </w:p>
        </w:tc>
      </w:tr>
      <w:tr>
        <w:tc>
          <w:tcPr>
            <w:tcW w:type="dxa" w:w="2268"/>
            <w:shd w:val="clear" w:color="auto" w:fill="F5F0EB"/>
          </w:tcPr>
          <w:p>
            <w:r>
              <w:rPr>
                <w:sz w:val="19"/>
              </w:rPr>
              <w:t>Value</w:t>
            </w:r>
          </w:p>
        </w:tc>
        <w:tc>
          <w:tcPr>
            <w:tcW w:type="dxa" w:w="2551"/>
            <w:shd w:val="clear" w:color="auto" w:fill="F5F0EB"/>
          </w:tcPr>
          <w:p>
            <w:r>
              <w:rPr>
                <w:sz w:val="19"/>
              </w:rPr>
              <w:t>0.75</w:t>
            </w:r>
          </w:p>
        </w:tc>
        <w:tc>
          <w:tcPr>
            <w:tcW w:type="dxa" w:w="2551"/>
            <w:shd w:val="clear" w:color="auto" w:fill="F5F0EB"/>
          </w:tcPr>
          <w:p>
            <w:r>
              <w:rPr>
                <w:sz w:val="19"/>
              </w:rPr>
              <w:t>0.28</w:t>
            </w:r>
          </w:p>
        </w:tc>
        <w:tc>
          <w:tcPr>
            <w:tcW w:type="dxa" w:w="2551"/>
            <w:shd w:val="clear" w:color="auto" w:fill="F5F0EB"/>
          </w:tcPr>
          <w:p>
            <w:r>
              <w:rPr>
                <w:sz w:val="19"/>
              </w:rPr>
              <w:t>CS wins by 2.7x</w:t>
            </w:r>
          </w:p>
        </w:tc>
      </w:tr>
      <w:tr>
        <w:tc>
          <w:tcPr>
            <w:tcW w:type="dxa" w:w="2268"/>
            <w:shd w:val="clear" w:color="auto" w:fill="FAFAFA"/>
          </w:tcPr>
          <w:p>
            <w:r>
              <w:rPr>
                <w:sz w:val="19"/>
              </w:rPr>
              <w:t>Carry</w:t>
            </w:r>
          </w:p>
        </w:tc>
        <w:tc>
          <w:tcPr>
            <w:tcW w:type="dxa" w:w="2551"/>
            <w:shd w:val="clear" w:color="auto" w:fill="FAFAFA"/>
          </w:tcPr>
          <w:p>
            <w:r>
              <w:rPr>
                <w:sz w:val="19"/>
              </w:rPr>
              <w:t>1.27</w:t>
            </w:r>
          </w:p>
        </w:tc>
        <w:tc>
          <w:tcPr>
            <w:tcW w:type="dxa" w:w="2551"/>
            <w:shd w:val="clear" w:color="auto" w:fill="FAFAFA"/>
          </w:tcPr>
          <w:p>
            <w:r>
              <w:rPr>
                <w:sz w:val="19"/>
              </w:rPr>
              <w:t>1.25</w:t>
            </w:r>
          </w:p>
        </w:tc>
        <w:tc>
          <w:tcPr>
            <w:tcW w:type="dxa" w:w="2551"/>
            <w:shd w:val="clear" w:color="auto" w:fill="FAFAFA"/>
          </w:tcPr>
          <w:p>
            <w:r>
              <w:rPr>
                <w:sz w:val="19"/>
              </w:rPr>
              <w:t>Tie</w:t>
            </w:r>
          </w:p>
        </w:tc>
      </w:tr>
      <w:tr>
        <w:tc>
          <w:tcPr>
            <w:tcW w:type="dxa" w:w="2268"/>
            <w:shd w:val="clear" w:color="auto" w:fill="F5F0EB"/>
          </w:tcPr>
          <w:p>
            <w:r>
              <w:rPr>
                <w:sz w:val="19"/>
              </w:rPr>
              <w:t>Momentum</w:t>
            </w:r>
          </w:p>
        </w:tc>
        <w:tc>
          <w:tcPr>
            <w:tcW w:type="dxa" w:w="2551"/>
            <w:shd w:val="clear" w:color="auto" w:fill="F5F0EB"/>
          </w:tcPr>
          <w:p>
            <w:r>
              <w:rPr>
                <w:sz w:val="19"/>
              </w:rPr>
              <w:t>0.42</w:t>
            </w:r>
          </w:p>
        </w:tc>
        <w:tc>
          <w:tcPr>
            <w:tcW w:type="dxa" w:w="2551"/>
            <w:shd w:val="clear" w:color="auto" w:fill="F5F0EB"/>
          </w:tcPr>
          <w:p>
            <w:r>
              <w:rPr>
                <w:sz w:val="19"/>
              </w:rPr>
              <w:t>0.96</w:t>
            </w:r>
          </w:p>
        </w:tc>
        <w:tc>
          <w:tcPr>
            <w:tcW w:type="dxa" w:w="2551"/>
            <w:shd w:val="clear" w:color="auto" w:fill="F5F0EB"/>
          </w:tcPr>
          <w:p>
            <w:r>
              <w:rPr>
                <w:sz w:val="19"/>
              </w:rPr>
              <w:t>TS wins by 2.3x</w:t>
            </w:r>
          </w:p>
        </w:tc>
      </w:tr>
    </w:tbl>
    <w:p/>
    <w:p>
      <w:pPr>
        <w:spacing w:before="200" w:after="40"/>
      </w:pPr>
      <w:r>
        <w:rPr>
          <w:rFonts w:ascii="Calibri" w:hAnsi="Calibri"/>
          <w:b/>
          <w:i w:val="0"/>
          <w:color w:val="444444"/>
          <w:sz w:val="24"/>
        </w:rPr>
        <w:t>8.3  Why These Differences Arise</w:t>
      </w:r>
    </w:p>
    <w:p>
      <w:pPr>
        <w:spacing w:before="120" w:after="20"/>
      </w:pPr>
      <w:r>
        <w:rPr>
          <w:rFonts w:ascii="Calibri" w:hAnsi="Calibri"/>
          <w:b/>
          <w:i/>
          <w:color w:val="444444"/>
          <w:sz w:val="22"/>
        </w:rPr>
        <w:t>Momentum doubles in TS</w:t>
      </w:r>
    </w:p>
    <w:p>
      <w:pPr>
        <w:spacing w:after="80"/>
      </w:pPr>
      <w:r>
        <w:rPr>
          <w:rFonts w:ascii="Calibri" w:hAnsi="Calibri"/>
          <w:b w:val="0"/>
          <w:i w:val="0"/>
          <w:color w:val="1E1E1E"/>
          <w:sz w:val="22"/>
        </w:rPr>
        <w:t>When a global commodity bull market drives all metals up, time-series momentum goes long everything and rides the trend. Cross-sectional momentum, by construction hedging out the global factor, misses this move entirely — it only captures which metal outperforms which other metal.</w:t>
      </w:r>
    </w:p>
    <w:p>
      <w:pPr>
        <w:spacing w:before="120" w:after="20"/>
      </w:pPr>
      <w:r>
        <w:rPr>
          <w:rFonts w:ascii="Calibri" w:hAnsi="Calibri"/>
          <w:b/>
          <w:i/>
          <w:color w:val="444444"/>
          <w:sz w:val="22"/>
        </w:rPr>
        <w:t>Value deteriorates in TS</w:t>
      </w:r>
    </w:p>
    <w:p>
      <w:pPr>
        <w:spacing w:after="80"/>
      </w:pPr>
      <w:r>
        <w:rPr>
          <w:rFonts w:ascii="Calibri" w:hAnsi="Calibri"/>
          <w:b w:val="0"/>
          <w:i w:val="0"/>
          <w:color w:val="1E1E1E"/>
          <w:sz w:val="22"/>
        </w:rPr>
        <w:t>Value relies on mean reversion to a level. If all asset prices trend together for years (equity bull run 1990-2015, bond bull run), a time-series value signal loses money waiting for the global factor to revert. In CS, value correctly identifies the cheapest within the group; the long-short immunises against global drift.</w:t>
      </w:r>
    </w:p>
    <w:p>
      <w:pPr>
        <w:spacing w:before="120" w:after="20"/>
      </w:pPr>
      <w:r>
        <w:rPr>
          <w:rFonts w:ascii="Calibri" w:hAnsi="Calibri"/>
          <w:b/>
          <w:i/>
          <w:color w:val="444444"/>
          <w:sz w:val="22"/>
        </w:rPr>
        <w:t>Signal and Asset Correlation (Table 9)</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2C2C2C"/>
          </w:tcPr>
          <w:p>
            <w:r>
              <w:rPr>
                <w:b/>
                <w:color w:val="FFFFFF"/>
                <w:sz w:val="19"/>
              </w:rPr>
              <w:t>Asset Class</w:t>
            </w:r>
          </w:p>
        </w:tc>
        <w:tc>
          <w:tcPr>
            <w:tcW w:type="dxa" w:w="2268"/>
            <w:shd w:val="clear" w:color="auto" w:fill="2C2C2C"/>
          </w:tcPr>
          <w:p>
            <w:r>
              <w:rPr>
                <w:b/>
                <w:color w:val="FFFFFF"/>
                <w:sz w:val="19"/>
              </w:rPr>
              <w:t>Value Signal Corr</w:t>
            </w:r>
          </w:p>
        </w:tc>
        <w:tc>
          <w:tcPr>
            <w:tcW w:type="dxa" w:w="2268"/>
            <w:shd w:val="clear" w:color="auto" w:fill="2C2C2C"/>
          </w:tcPr>
          <w:p>
            <w:r>
              <w:rPr>
                <w:b/>
                <w:color w:val="FFFFFF"/>
                <w:sz w:val="19"/>
              </w:rPr>
              <w:t>Carry Signal Corr</w:t>
            </w:r>
          </w:p>
        </w:tc>
        <w:tc>
          <w:tcPr>
            <w:tcW w:type="dxa" w:w="2551"/>
            <w:shd w:val="clear" w:color="auto" w:fill="2C2C2C"/>
          </w:tcPr>
          <w:p>
            <w:r>
              <w:rPr>
                <w:b/>
                <w:color w:val="FFFFFF"/>
                <w:sz w:val="19"/>
              </w:rPr>
              <w:t>Momentum Signal Corr</w:t>
            </w:r>
          </w:p>
        </w:tc>
        <w:tc>
          <w:tcPr>
            <w:tcW w:type="dxa" w:w="2551"/>
            <w:shd w:val="clear" w:color="auto" w:fill="2C2C2C"/>
          </w:tcPr>
          <w:p>
            <w:r>
              <w:rPr>
                <w:b/>
                <w:color w:val="FFFFFF"/>
                <w:sz w:val="19"/>
              </w:rPr>
              <w:t>Asset Return Corr</w:t>
            </w:r>
          </w:p>
        </w:tc>
      </w:tr>
      <w:tr>
        <w:tc>
          <w:tcPr>
            <w:tcW w:type="dxa" w:w="1984"/>
            <w:shd w:val="clear" w:color="auto" w:fill="F5F0EB"/>
          </w:tcPr>
          <w:p>
            <w:r>
              <w:rPr>
                <w:sz w:val="19"/>
              </w:rPr>
              <w:t>FX</w:t>
            </w:r>
          </w:p>
        </w:tc>
        <w:tc>
          <w:tcPr>
            <w:tcW w:type="dxa" w:w="2268"/>
            <w:shd w:val="clear" w:color="auto" w:fill="F5F0EB"/>
          </w:tcPr>
          <w:p>
            <w:r>
              <w:rPr>
                <w:sz w:val="19"/>
              </w:rPr>
              <w:t>48%</w:t>
            </w:r>
          </w:p>
        </w:tc>
        <w:tc>
          <w:tcPr>
            <w:tcW w:type="dxa" w:w="2268"/>
            <w:shd w:val="clear" w:color="auto" w:fill="F5F0EB"/>
          </w:tcPr>
          <w:p>
            <w:r>
              <w:rPr>
                <w:sz w:val="19"/>
              </w:rPr>
              <w:t>23%</w:t>
            </w:r>
          </w:p>
        </w:tc>
        <w:tc>
          <w:tcPr>
            <w:tcW w:type="dxa" w:w="2551"/>
            <w:shd w:val="clear" w:color="auto" w:fill="F5F0EB"/>
          </w:tcPr>
          <w:p>
            <w:r>
              <w:rPr>
                <w:sz w:val="19"/>
              </w:rPr>
              <w:t>40%</w:t>
            </w:r>
          </w:p>
        </w:tc>
        <w:tc>
          <w:tcPr>
            <w:tcW w:type="dxa" w:w="2551"/>
            <w:shd w:val="clear" w:color="auto" w:fill="F5F0EB"/>
          </w:tcPr>
          <w:p>
            <w:r>
              <w:rPr>
                <w:sz w:val="19"/>
              </w:rPr>
              <w:t>24%</w:t>
            </w:r>
          </w:p>
        </w:tc>
      </w:tr>
      <w:tr>
        <w:tc>
          <w:tcPr>
            <w:tcW w:type="dxa" w:w="1984"/>
            <w:shd w:val="clear" w:color="auto" w:fill="FAFAFA"/>
          </w:tcPr>
          <w:p>
            <w:r>
              <w:rPr>
                <w:sz w:val="19"/>
              </w:rPr>
              <w:t>Equity</w:t>
            </w:r>
          </w:p>
        </w:tc>
        <w:tc>
          <w:tcPr>
            <w:tcW w:type="dxa" w:w="2268"/>
            <w:shd w:val="clear" w:color="auto" w:fill="FAFAFA"/>
          </w:tcPr>
          <w:p>
            <w:r>
              <w:rPr>
                <w:sz w:val="19"/>
              </w:rPr>
              <w:t>44%</w:t>
            </w:r>
          </w:p>
        </w:tc>
        <w:tc>
          <w:tcPr>
            <w:tcW w:type="dxa" w:w="2268"/>
            <w:shd w:val="clear" w:color="auto" w:fill="FAFAFA"/>
          </w:tcPr>
          <w:p>
            <w:r>
              <w:rPr>
                <w:sz w:val="19"/>
              </w:rPr>
              <w:t>23%</w:t>
            </w:r>
          </w:p>
        </w:tc>
        <w:tc>
          <w:tcPr>
            <w:tcW w:type="dxa" w:w="2551"/>
            <w:shd w:val="clear" w:color="auto" w:fill="FAFAFA"/>
          </w:tcPr>
          <w:p>
            <w:r>
              <w:rPr>
                <w:sz w:val="19"/>
              </w:rPr>
              <w:t>66%</w:t>
            </w:r>
          </w:p>
        </w:tc>
        <w:tc>
          <w:tcPr>
            <w:tcW w:type="dxa" w:w="2551"/>
            <w:shd w:val="clear" w:color="auto" w:fill="FAFAFA"/>
          </w:tcPr>
          <w:p>
            <w:r>
              <w:rPr>
                <w:sz w:val="19"/>
              </w:rPr>
              <w:t>51%</w:t>
            </w:r>
          </w:p>
        </w:tc>
      </w:tr>
      <w:tr>
        <w:tc>
          <w:tcPr>
            <w:tcW w:type="dxa" w:w="1984"/>
            <w:shd w:val="clear" w:color="auto" w:fill="F5F0EB"/>
          </w:tcPr>
          <w:p>
            <w:r>
              <w:rPr>
                <w:sz w:val="19"/>
              </w:rPr>
              <w:t>Commodity</w:t>
            </w:r>
          </w:p>
        </w:tc>
        <w:tc>
          <w:tcPr>
            <w:tcW w:type="dxa" w:w="2268"/>
            <w:shd w:val="clear" w:color="auto" w:fill="F5F0EB"/>
          </w:tcPr>
          <w:p>
            <w:r>
              <w:rPr>
                <w:sz w:val="19"/>
              </w:rPr>
              <w:t>30%</w:t>
            </w:r>
          </w:p>
        </w:tc>
        <w:tc>
          <w:tcPr>
            <w:tcW w:type="dxa" w:w="2268"/>
            <w:shd w:val="clear" w:color="auto" w:fill="F5F0EB"/>
          </w:tcPr>
          <w:p>
            <w:r>
              <w:rPr>
                <w:sz w:val="19"/>
              </w:rPr>
              <w:t>3%</w:t>
            </w:r>
          </w:p>
        </w:tc>
        <w:tc>
          <w:tcPr>
            <w:tcW w:type="dxa" w:w="2551"/>
            <w:shd w:val="clear" w:color="auto" w:fill="F5F0EB"/>
          </w:tcPr>
          <w:p>
            <w:r>
              <w:rPr>
                <w:sz w:val="19"/>
              </w:rPr>
              <w:t>19%</w:t>
            </w:r>
          </w:p>
        </w:tc>
        <w:tc>
          <w:tcPr>
            <w:tcW w:type="dxa" w:w="2551"/>
            <w:shd w:val="clear" w:color="auto" w:fill="F5F0EB"/>
          </w:tcPr>
          <w:p>
            <w:r>
              <w:rPr>
                <w:sz w:val="19"/>
              </w:rPr>
              <w:t>7%</w:t>
            </w:r>
          </w:p>
        </w:tc>
      </w:tr>
      <w:tr>
        <w:tc>
          <w:tcPr>
            <w:tcW w:type="dxa" w:w="1984"/>
            <w:shd w:val="clear" w:color="auto" w:fill="FAFAFA"/>
          </w:tcPr>
          <w:p>
            <w:r>
              <w:rPr>
                <w:sz w:val="19"/>
              </w:rPr>
              <w:t>IR Swap</w:t>
            </w:r>
          </w:p>
        </w:tc>
        <w:tc>
          <w:tcPr>
            <w:tcW w:type="dxa" w:w="2268"/>
            <w:shd w:val="clear" w:color="auto" w:fill="FAFAFA"/>
          </w:tcPr>
          <w:p>
            <w:r>
              <w:rPr>
                <w:sz w:val="19"/>
              </w:rPr>
              <w:t>36%</w:t>
            </w:r>
          </w:p>
        </w:tc>
        <w:tc>
          <w:tcPr>
            <w:tcW w:type="dxa" w:w="2268"/>
            <w:shd w:val="clear" w:color="auto" w:fill="FAFAFA"/>
          </w:tcPr>
          <w:p>
            <w:r>
              <w:rPr>
                <w:sz w:val="19"/>
              </w:rPr>
              <w:t>30%</w:t>
            </w:r>
          </w:p>
        </w:tc>
        <w:tc>
          <w:tcPr>
            <w:tcW w:type="dxa" w:w="2551"/>
            <w:shd w:val="clear" w:color="auto" w:fill="FAFAFA"/>
          </w:tcPr>
          <w:p>
            <w:r>
              <w:rPr>
                <w:sz w:val="19"/>
              </w:rPr>
              <w:t>51%</w:t>
            </w:r>
          </w:p>
        </w:tc>
        <w:tc>
          <w:tcPr>
            <w:tcW w:type="dxa" w:w="2551"/>
            <w:shd w:val="clear" w:color="auto" w:fill="FAFAFA"/>
          </w:tcPr>
          <w:p>
            <w:r>
              <w:rPr>
                <w:sz w:val="19"/>
              </w:rPr>
              <w:t>19%</w:t>
            </w:r>
          </w:p>
        </w:tc>
      </w:tr>
    </w:tbl>
    <w:p/>
    <w:p>
      <w:pPr>
        <w:spacing w:after="80"/>
      </w:pPr>
      <w:r>
        <w:rPr>
          <w:rFonts w:ascii="Calibri" w:hAnsi="Calibri"/>
          <w:b w:val="0"/>
          <w:i w:val="0"/>
          <w:color w:val="1E1E1E"/>
          <w:sz w:val="22"/>
        </w:rPr>
        <w:t>Commodity asset correlations are only 7% on average — the lowest of any asset class. This means the CS portfolio hedges little genuine risk (no strong global factor to hedge), explaining why CS and TS commodity Sharpes are similar. The same logic works in reverse for equities (51% asset correlation): CS momentum hedges out a lot of genuine trend alpha.</w:t>
      </w:r>
    </w:p>
    <w:p>
      <w:pPr>
        <w:spacing w:before="200" w:after="40"/>
      </w:pPr>
      <w:r>
        <w:rPr>
          <w:rFonts w:ascii="Calibri" w:hAnsi="Calibri"/>
          <w:b/>
          <w:i w:val="0"/>
          <w:color w:val="444444"/>
          <w:sz w:val="24"/>
        </w:rPr>
        <w:t>8.4  Combined CS + TS (Table 10)</w:t>
      </w:r>
    </w:p>
    <w:tbl>
      <w:tblPr>
        <w:tblStyle w:val="TableGrid"/>
        <w:tblW w:type="auto" w:w="0"/>
        <w:tblLook w:firstColumn="1" w:firstRow="1" w:lastColumn="0" w:lastRow="0" w:noHBand="0" w:noVBand="1" w:val="04A0"/>
      </w:tblPr>
      <w:tblGrid>
        <w:gridCol w:w="4703"/>
        <w:gridCol w:w="4703"/>
      </w:tblGrid>
      <w:tr>
        <w:tc>
          <w:tcPr>
            <w:tcW w:type="dxa" w:w="4535"/>
            <w:shd w:val="clear" w:color="auto" w:fill="2C2C2C"/>
          </w:tcPr>
          <w:p>
            <w:r>
              <w:rPr>
                <w:b/>
                <w:color w:val="FFFFFF"/>
                <w:sz w:val="19"/>
              </w:rPr>
              <w:t>Portfolio</w:t>
            </w:r>
          </w:p>
        </w:tc>
        <w:tc>
          <w:tcPr>
            <w:tcW w:type="dxa" w:w="2835"/>
            <w:shd w:val="clear" w:color="auto" w:fill="2C2C2C"/>
          </w:tcPr>
          <w:p>
            <w:r>
              <w:rPr>
                <w:b/>
                <w:color w:val="FFFFFF"/>
                <w:sz w:val="19"/>
              </w:rPr>
              <w:t>All-Asset Sharpe</w:t>
            </w:r>
          </w:p>
        </w:tc>
      </w:tr>
      <w:tr>
        <w:tc>
          <w:tcPr>
            <w:tcW w:type="dxa" w:w="4535"/>
            <w:shd w:val="clear" w:color="auto" w:fill="F5F0EB"/>
          </w:tcPr>
          <w:p>
            <w:r>
              <w:rPr>
                <w:sz w:val="19"/>
              </w:rPr>
              <w:t>CS alone (V+C+M)</w:t>
            </w:r>
          </w:p>
        </w:tc>
        <w:tc>
          <w:tcPr>
            <w:tcW w:type="dxa" w:w="2835"/>
            <w:shd w:val="clear" w:color="auto" w:fill="F5F0EB"/>
          </w:tcPr>
          <w:p>
            <w:r>
              <w:rPr>
                <w:sz w:val="19"/>
              </w:rPr>
              <w:t>1.40</w:t>
            </w:r>
          </w:p>
        </w:tc>
      </w:tr>
      <w:tr>
        <w:tc>
          <w:tcPr>
            <w:tcW w:type="dxa" w:w="4535"/>
            <w:shd w:val="clear" w:color="auto" w:fill="FAFAFA"/>
          </w:tcPr>
          <w:p>
            <w:r>
              <w:rPr>
                <w:sz w:val="19"/>
              </w:rPr>
              <w:t>TS alone (V+C+M)</w:t>
            </w:r>
          </w:p>
        </w:tc>
        <w:tc>
          <w:tcPr>
            <w:tcW w:type="dxa" w:w="2835"/>
            <w:shd w:val="clear" w:color="auto" w:fill="FAFAFA"/>
          </w:tcPr>
          <w:p>
            <w:r>
              <w:rPr>
                <w:sz w:val="19"/>
              </w:rPr>
              <w:t>1.37</w:t>
            </w:r>
          </w:p>
        </w:tc>
      </w:tr>
      <w:tr>
        <w:tc>
          <w:tcPr>
            <w:tcW w:type="dxa" w:w="4535"/>
            <w:shd w:val="clear" w:color="auto" w:fill="F5F0EB"/>
          </w:tcPr>
          <w:p>
            <w:r>
              <w:rPr>
                <w:sz w:val="19"/>
              </w:rPr>
              <w:t>CS + TS combined</w:t>
            </w:r>
          </w:p>
        </w:tc>
        <w:tc>
          <w:tcPr>
            <w:tcW w:type="dxa" w:w="2835"/>
            <w:shd w:val="clear" w:color="auto" w:fill="F5F0EB"/>
          </w:tcPr>
          <w:p>
            <w:r>
              <w:rPr>
                <w:sz w:val="19"/>
              </w:rPr>
              <w:t>1.61</w:t>
            </w:r>
          </w:p>
        </w:tc>
      </w:tr>
    </w:tbl>
    <w:p/>
    <w:p>
      <w:pPr>
        <w:spacing w:after="60"/>
        <w:ind w:left="567"/>
      </w:pPr>
      <w:r>
        <w:rPr>
          <w:i/>
          <w:color w:val="664422"/>
          <w:sz w:val="20"/>
        </w:rPr>
        <w:t>▶  43% correlation between CS and TS — substantial diversification. 3Y rolling Sharpe for combined: range 0.5 to 2.7 over 1994-2015.</w:t>
      </w:r>
    </w:p>
    <w:p>
      <w:r>
        <w:br w:type="page"/>
      </w:r>
    </w:p>
    <w:p>
      <w:pPr>
        <w:spacing w:before="80" w:after="120"/>
        <w:pBdr>
          <w:bottom w:val="single" w:sz="6" w:space="1" w:color="B87333"/>
        </w:pBdr>
      </w:pPr>
      <w:r>
        <w:rPr>
          <w:rFonts w:ascii="Calibri" w:hAnsi="Calibri"/>
          <w:b/>
          <w:i w:val="0"/>
          <w:color w:val="B87333"/>
          <w:sz w:val="26"/>
        </w:rPr>
        <w:t xml:space="preserve">Page 9  |  </w:t>
      </w:r>
      <w:r>
        <w:rPr>
          <w:rFonts w:ascii="Calibri" w:hAnsi="Calibri"/>
          <w:b/>
          <w:i w:val="0"/>
          <w:color w:val="B87333"/>
          <w:sz w:val="26"/>
        </w:rPr>
        <w:t>Application Roadmap: Implementing in Metals Data</w:t>
      </w:r>
    </w:p>
    <w:p>
      <w:pPr>
        <w:spacing w:before="200" w:after="40"/>
      </w:pPr>
      <w:r>
        <w:rPr>
          <w:rFonts w:ascii="Calibri" w:hAnsi="Calibri"/>
          <w:b/>
          <w:i w:val="0"/>
          <w:color w:val="444444"/>
          <w:sz w:val="24"/>
        </w:rPr>
        <w:t>9.1  Data You Already Have</w:t>
      </w:r>
    </w:p>
    <w:p>
      <w:pPr>
        <w:pStyle w:val="ListBullet"/>
        <w:spacing w:after="40"/>
        <w:ind w:left="283"/>
      </w:pPr>
      <w:r>
        <w:rPr>
          <w:rFonts w:ascii="Calibri" w:hAnsi="Calibri"/>
          <w:b w:val="0"/>
          <w:i w:val="0"/>
          <w:color w:val="1E1E1E"/>
          <w:sz w:val="22"/>
        </w:rPr>
        <w:t>Metals Cash and 3M.xlsx — LME cash and 3-month prices for Cu, Al, Zn, Pb, Ni, Sn.</w:t>
      </w:r>
    </w:p>
    <w:p>
      <w:pPr>
        <w:pStyle w:val="ListBullet"/>
        <w:spacing w:after="40"/>
        <w:ind w:left="283"/>
      </w:pPr>
      <w:r>
        <w:rPr>
          <w:rFonts w:ascii="Calibri" w:hAnsi="Calibri"/>
          <w:b w:val="0"/>
          <w:i w:val="0"/>
          <w:color w:val="1E1E1E"/>
          <w:sz w:val="22"/>
        </w:rPr>
        <w:t>Metals Futures Curve.csv — multi-tenor futures prices.</w:t>
      </w:r>
    </w:p>
    <w:p>
      <w:pPr>
        <w:pStyle w:val="ListBullet"/>
        <w:spacing w:after="40"/>
        <w:ind w:left="283"/>
      </w:pPr>
      <w:r>
        <w:rPr>
          <w:rFonts w:ascii="Calibri" w:hAnsi="Calibri"/>
          <w:b w:val="0"/>
          <w:i w:val="0"/>
          <w:color w:val="1E1E1E"/>
          <w:sz w:val="22"/>
        </w:rPr>
        <w:t>Additional needed: US CPI monthly series for value signal deflation.</w:t>
      </w:r>
    </w:p>
    <w:p>
      <w:pPr>
        <w:spacing w:before="200" w:after="40"/>
      </w:pPr>
      <w:r>
        <w:rPr>
          <w:rFonts w:ascii="Calibri" w:hAnsi="Calibri"/>
          <w:b/>
          <w:i w:val="0"/>
          <w:color w:val="444444"/>
          <w:sz w:val="24"/>
        </w:rPr>
        <w:t>9.2  Carry Signal for Metals</w:t>
      </w:r>
    </w:p>
    <w:p>
      <w:pPr>
        <w:spacing w:after="80"/>
      </w:pPr>
      <w:r>
        <w:rPr>
          <w:rFonts w:ascii="Calibri" w:hAnsi="Calibri"/>
          <w:b w:val="0"/>
          <w:i w:val="0"/>
          <w:color w:val="1E1E1E"/>
          <w:sz w:val="22"/>
        </w:rPr>
        <w:t>Primary signal (Eq. 25 — 1Y spread, removes seasonal effects):</w:t>
      </w:r>
    </w:p>
    <w:p>
      <w:pPr>
        <w:spacing w:before="60" w:after="60"/>
        <w:ind w:left="850"/>
      </w:pPr>
      <w:r>
        <w:rPr>
          <w:rFonts w:ascii="Courier New" w:hAnsi="Courier New"/>
          <w:color w:val="1A1A6C"/>
          <w:sz w:val="20"/>
        </w:rPr>
        <w:t>Carry(t) = [Fut(t, 3M+12M) - Fut(t, 3M)] / Fut(t, 3M+12M)</w:t>
      </w:r>
    </w:p>
    <w:p>
      <w:pPr>
        <w:spacing w:after="80"/>
      </w:pPr>
      <w:r>
        <w:rPr>
          <w:rFonts w:ascii="Calibri" w:hAnsi="Calibri"/>
          <w:b w:val="0"/>
          <w:i w:val="0"/>
          <w:color w:val="1E1E1E"/>
          <w:sz w:val="22"/>
        </w:rPr>
        <w:t>Fast proxy when only cash and 3M are available:</w:t>
      </w:r>
    </w:p>
    <w:p>
      <w:pPr>
        <w:spacing w:before="60" w:after="60"/>
        <w:ind w:left="850"/>
      </w:pPr>
      <w:r>
        <w:rPr>
          <w:rFonts w:ascii="Courier New" w:hAnsi="Courier New"/>
          <w:color w:val="1A1A6C"/>
          <w:sz w:val="20"/>
        </w:rPr>
        <w:t>Carry(t) = 4 x (Cash(t) / 3M(t) - 1)</w:t>
      </w:r>
    </w:p>
    <w:p>
      <w:pPr>
        <w:spacing w:after="60"/>
        <w:ind w:left="567"/>
      </w:pPr>
      <w:r>
        <w:rPr>
          <w:i/>
          <w:color w:val="664422"/>
          <w:sz w:val="20"/>
        </w:rPr>
        <w:t>▶  Positive = backwardation = LONG signal. Negative = contango = SHORT signal.</w:t>
      </w:r>
    </w:p>
    <w:p>
      <w:pPr>
        <w:spacing w:after="60"/>
        <w:ind w:left="567"/>
      </w:pPr>
      <w:r>
        <w:rPr>
          <w:i/>
          <w:color w:val="664422"/>
          <w:sz w:val="20"/>
        </w:rPr>
        <w:t>▶  Cross-sectional carry: rank all 6 LME metals by carry, long top 2, short bottom 2.</w:t>
      </w:r>
    </w:p>
    <w:p>
      <w:pPr>
        <w:spacing w:after="60"/>
        <w:ind w:left="567"/>
      </w:pPr>
      <w:r>
        <w:rPr>
          <w:i/>
          <w:color w:val="664422"/>
          <w:sz w:val="20"/>
        </w:rPr>
        <w:t>▶  Time-series carry: for each metal independently, go long if carry &gt; 0, short if &lt; 0.</w:t>
      </w:r>
    </w:p>
    <w:p>
      <w:pPr>
        <w:spacing w:before="200" w:after="40"/>
      </w:pPr>
      <w:r>
        <w:rPr>
          <w:rFonts w:ascii="Calibri" w:hAnsi="Calibri"/>
          <w:b/>
          <w:i w:val="0"/>
          <w:color w:val="444444"/>
          <w:sz w:val="24"/>
        </w:rPr>
        <w:t>9.3  Momentum Signal for Metals</w:t>
      </w:r>
    </w:p>
    <w:p>
      <w:pPr>
        <w:spacing w:after="80"/>
      </w:pPr>
      <w:r>
        <w:rPr>
          <w:rFonts w:ascii="Calibri" w:hAnsi="Calibri"/>
          <w:b w:val="0"/>
          <w:i w:val="0"/>
          <w:color w:val="1E1E1E"/>
          <w:sz w:val="22"/>
        </w:rPr>
        <w:t>Implement the 3-timescale CTA EWMA crossover on each metal's front-future price:</w:t>
      </w:r>
    </w:p>
    <w:p>
      <w:pPr>
        <w:spacing w:before="60" w:after="60"/>
        <w:ind w:left="850"/>
      </w:pPr>
      <w:r>
        <w:rPr>
          <w:rFonts w:ascii="Courier New" w:hAnsi="Courier New"/>
          <w:color w:val="1A1A6C"/>
          <w:sz w:val="20"/>
        </w:rPr>
        <w:t>For k = 1, 2, 3 (S_k = 8,16,32 ; L_k = 24,48,96):</w:t>
      </w:r>
    </w:p>
    <w:p>
      <w:pPr>
        <w:spacing w:before="60" w:after="60"/>
        <w:ind w:left="850"/>
      </w:pPr>
      <w:r>
        <w:rPr>
          <w:rFonts w:ascii="Courier New" w:hAnsi="Courier New"/>
          <w:color w:val="1A1A6C"/>
          <w:sz w:val="20"/>
        </w:rPr>
        <w:t xml:space="preserve">  x_k = EWMA(price, S_k) - EWMA(price, L_k)</w:t>
      </w:r>
    </w:p>
    <w:p>
      <w:pPr>
        <w:spacing w:before="60" w:after="60"/>
        <w:ind w:left="850"/>
      </w:pPr>
      <w:r>
        <w:rPr>
          <w:rFonts w:ascii="Courier New" w:hAnsi="Courier New"/>
          <w:color w:val="1A1A6C"/>
          <w:sz w:val="20"/>
        </w:rPr>
        <w:t xml:space="preserve">  y_k = x_k / rolling_std(price, 63 days)</w:t>
      </w:r>
    </w:p>
    <w:p>
      <w:pPr>
        <w:spacing w:before="60" w:after="60"/>
        <w:ind w:left="850"/>
      </w:pPr>
      <w:r>
        <w:rPr>
          <w:rFonts w:ascii="Courier New" w:hAnsi="Courier New"/>
          <w:color w:val="1A1A6C"/>
          <w:sz w:val="20"/>
        </w:rPr>
        <w:t xml:space="preserve">  z_k = y_k / rolling_std(y_k, 252 days)</w:t>
      </w:r>
    </w:p>
    <w:p>
      <w:pPr>
        <w:spacing w:before="60" w:after="60"/>
        <w:ind w:left="850"/>
      </w:pPr>
      <w:r>
        <w:rPr>
          <w:rFonts w:ascii="Courier New" w:hAnsi="Courier New"/>
          <w:color w:val="1A1A6C"/>
          <w:sz w:val="20"/>
        </w:rPr>
        <w:t xml:space="preserve">  u_k = z_k * exp(-z_k^2 / 4) / 0.89      [response function]</w:t>
      </w:r>
    </w:p>
    <w:p>
      <w:pPr>
        <w:spacing w:before="60" w:after="60"/>
        <w:ind w:left="850"/>
      </w:pPr>
      <w:r>
        <w:rPr>
          <w:rFonts w:ascii="Courier New" w:hAnsi="Courier New"/>
          <w:color w:val="1A1A6C"/>
          <w:sz w:val="20"/>
        </w:rPr>
        <w:t xml:space="preserve">  S_momentum = (u_1 + u_2 + u_3) / 3</w:t>
      </w:r>
    </w:p>
    <w:p>
      <w:pPr>
        <w:spacing w:after="60"/>
        <w:ind w:left="567"/>
      </w:pPr>
      <w:r>
        <w:rPr>
          <w:i/>
          <w:color w:val="664422"/>
          <w:sz w:val="20"/>
        </w:rPr>
        <w:t>▶  TS momentum: go long metal if S_momentum &gt; 0, short if &lt; 0. CS momentum: rank all 6 metals, long top 2, short bottom 2.</w:t>
      </w:r>
    </w:p>
    <w:p>
      <w:pPr>
        <w:spacing w:after="60"/>
        <w:ind w:left="567"/>
      </w:pPr>
      <w:r>
        <w:rPr>
          <w:i/>
          <w:color w:val="664422"/>
          <w:sz w:val="20"/>
        </w:rPr>
        <w:t>▶  Given the strong China demand / dollar-cycle common factor in metals, expect TS momentum to outperform CS momentum substantially.</w:t>
      </w:r>
    </w:p>
    <w:p>
      <w:pPr>
        <w:spacing w:before="200" w:after="40"/>
      </w:pPr>
      <w:r>
        <w:rPr>
          <w:rFonts w:ascii="Calibri" w:hAnsi="Calibri"/>
          <w:b/>
          <w:i w:val="0"/>
          <w:color w:val="444444"/>
          <w:sz w:val="24"/>
        </w:rPr>
        <w:t>9.4  Value Signal for Metals</w:t>
      </w:r>
    </w:p>
    <w:p>
      <w:pPr>
        <w:spacing w:before="60" w:after="60"/>
        <w:ind w:left="850"/>
      </w:pPr>
      <w:r>
        <w:rPr>
          <w:rFonts w:ascii="Courier New" w:hAnsi="Courier New"/>
          <w:color w:val="1A1A6C"/>
          <w:sz w:val="20"/>
        </w:rPr>
        <w:t>Adj_Price(t) = Price(t) / CPI(t)         [CPI-deflated price]</w:t>
      </w:r>
    </w:p>
    <w:p>
      <w:pPr>
        <w:spacing w:before="60" w:after="60"/>
        <w:ind w:left="850"/>
      </w:pPr>
      <w:r>
        <w:rPr>
          <w:rFonts w:ascii="Courier New" w:hAnsi="Courier New"/>
          <w:color w:val="1A1A6C"/>
          <w:sz w:val="20"/>
        </w:rPr>
        <w:t>Value(t)     = Adj_Price(t) / expanding_mean(Adj_Price)   [Eq. 36]</w:t>
      </w:r>
    </w:p>
    <w:p>
      <w:pPr>
        <w:spacing w:after="60"/>
        <w:ind w:left="567"/>
      </w:pPr>
      <w:r>
        <w:rPr>
          <w:i/>
          <w:color w:val="664422"/>
          <w:sz w:val="20"/>
        </w:rPr>
        <w:t>▶  Ratio &gt; 1: expensive → SHORT. Ratio &lt; 1: cheap → LONG.</w:t>
      </w:r>
    </w:p>
    <w:p>
      <w:pPr>
        <w:spacing w:after="60"/>
        <w:ind w:left="567"/>
      </w:pPr>
      <w:r>
        <w:rPr>
          <w:i/>
          <w:color w:val="664422"/>
          <w:sz w:val="20"/>
        </w:rPr>
        <w:t>▶  Use an expanding window (not rolling) to avoid look-ahead bias. This is a slow signal — hold positions 6-12 months, trade cross-sectionally.</w:t>
      </w:r>
    </w:p>
    <w:p>
      <w:pPr>
        <w:spacing w:before="200" w:after="40"/>
      </w:pPr>
      <w:r>
        <w:rPr>
          <w:rFonts w:ascii="Calibri" w:hAnsi="Calibri"/>
          <w:b/>
          <w:i w:val="0"/>
          <w:color w:val="444444"/>
          <w:sz w:val="24"/>
        </w:rPr>
        <w:t>9.5  Expected Sharpe Ratios in Metals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C2C2C"/>
          </w:tcPr>
          <w:p>
            <w:r>
              <w:rPr>
                <w:b/>
                <w:color w:val="FFFFFF"/>
                <w:sz w:val="19"/>
              </w:rPr>
              <w:t>Strategy</w:t>
            </w:r>
          </w:p>
        </w:tc>
        <w:tc>
          <w:tcPr>
            <w:tcW w:type="dxa" w:w="2551"/>
            <w:shd w:val="clear" w:color="auto" w:fill="2C2C2C"/>
          </w:tcPr>
          <w:p>
            <w:r>
              <w:rPr>
                <w:b/>
                <w:color w:val="FFFFFF"/>
                <w:sz w:val="19"/>
              </w:rPr>
              <w:t>Implementation</w:t>
            </w:r>
          </w:p>
        </w:tc>
        <w:tc>
          <w:tcPr>
            <w:tcW w:type="dxa" w:w="4535"/>
            <w:shd w:val="clear" w:color="auto" w:fill="2C2C2C"/>
          </w:tcPr>
          <w:p>
            <w:r>
              <w:rPr>
                <w:b/>
                <w:color w:val="FFFFFF"/>
                <w:sz w:val="19"/>
              </w:rPr>
              <w:t>Expected Sharpe (Commodity)</w:t>
            </w:r>
          </w:p>
        </w:tc>
      </w:tr>
      <w:tr>
        <w:tc>
          <w:tcPr>
            <w:tcW w:type="dxa" w:w="2268"/>
            <w:shd w:val="clear" w:color="auto" w:fill="F5F0EB"/>
          </w:tcPr>
          <w:p>
            <w:r>
              <w:rPr>
                <w:sz w:val="19"/>
              </w:rPr>
              <w:t>Carry</w:t>
            </w:r>
          </w:p>
        </w:tc>
        <w:tc>
          <w:tcPr>
            <w:tcW w:type="dxa" w:w="2551"/>
            <w:shd w:val="clear" w:color="auto" w:fill="F5F0EB"/>
          </w:tcPr>
          <w:p>
            <w:r>
              <w:rPr>
                <w:sz w:val="19"/>
              </w:rPr>
              <w:t>TS or CS</w:t>
            </w:r>
          </w:p>
        </w:tc>
        <w:tc>
          <w:tcPr>
            <w:tcW w:type="dxa" w:w="4535"/>
            <w:shd w:val="clear" w:color="auto" w:fill="F5F0EB"/>
          </w:tcPr>
          <w:p>
            <w:r>
              <w:rPr>
                <w:sz w:val="19"/>
              </w:rPr>
              <w:t>~0.64 - 0.77</w:t>
            </w:r>
          </w:p>
        </w:tc>
      </w:tr>
      <w:tr>
        <w:tc>
          <w:tcPr>
            <w:tcW w:type="dxa" w:w="2268"/>
            <w:shd w:val="clear" w:color="auto" w:fill="FAFAFA"/>
          </w:tcPr>
          <w:p>
            <w:r>
              <w:rPr>
                <w:sz w:val="19"/>
              </w:rPr>
              <w:t>Momentum</w:t>
            </w:r>
          </w:p>
        </w:tc>
        <w:tc>
          <w:tcPr>
            <w:tcW w:type="dxa" w:w="2551"/>
            <w:shd w:val="clear" w:color="auto" w:fill="FAFAFA"/>
          </w:tcPr>
          <w:p>
            <w:r>
              <w:rPr>
                <w:sz w:val="19"/>
              </w:rPr>
              <w:t>TS</w:t>
            </w:r>
          </w:p>
        </w:tc>
        <w:tc>
          <w:tcPr>
            <w:tcW w:type="dxa" w:w="4535"/>
            <w:shd w:val="clear" w:color="auto" w:fill="FAFAFA"/>
          </w:tcPr>
          <w:p>
            <w:r>
              <w:rPr>
                <w:sz w:val="19"/>
              </w:rPr>
              <w:t>~0.45</w:t>
            </w:r>
          </w:p>
        </w:tc>
      </w:tr>
      <w:tr>
        <w:tc>
          <w:tcPr>
            <w:tcW w:type="dxa" w:w="2268"/>
            <w:shd w:val="clear" w:color="auto" w:fill="F5F0EB"/>
          </w:tcPr>
          <w:p>
            <w:r>
              <w:rPr>
                <w:sz w:val="19"/>
              </w:rPr>
              <w:t>Value</w:t>
            </w:r>
          </w:p>
        </w:tc>
        <w:tc>
          <w:tcPr>
            <w:tcW w:type="dxa" w:w="2551"/>
            <w:shd w:val="clear" w:color="auto" w:fill="F5F0EB"/>
          </w:tcPr>
          <w:p>
            <w:r>
              <w:rPr>
                <w:sz w:val="19"/>
              </w:rPr>
              <w:t>CS</w:t>
            </w:r>
          </w:p>
        </w:tc>
        <w:tc>
          <w:tcPr>
            <w:tcW w:type="dxa" w:w="4535"/>
            <w:shd w:val="clear" w:color="auto" w:fill="F5F0EB"/>
          </w:tcPr>
          <w:p>
            <w:r>
              <w:rPr>
                <w:sz w:val="19"/>
              </w:rPr>
              <w:t>~0.07 - 0.22</w:t>
            </w:r>
          </w:p>
        </w:tc>
      </w:tr>
      <w:tr>
        <w:tc>
          <w:tcPr>
            <w:tcW w:type="dxa" w:w="2268"/>
            <w:shd w:val="clear" w:color="auto" w:fill="FAFAFA"/>
          </w:tcPr>
          <w:p>
            <w:r>
              <w:rPr>
                <w:sz w:val="19"/>
              </w:rPr>
              <w:t>V+C+M</w:t>
            </w:r>
          </w:p>
        </w:tc>
        <w:tc>
          <w:tcPr>
            <w:tcW w:type="dxa" w:w="2551"/>
            <w:shd w:val="clear" w:color="auto" w:fill="FAFAFA"/>
          </w:tcPr>
          <w:p>
            <w:r>
              <w:rPr>
                <w:sz w:val="19"/>
              </w:rPr>
              <w:t>TS</w:t>
            </w:r>
          </w:p>
        </w:tc>
        <w:tc>
          <w:tcPr>
            <w:tcW w:type="dxa" w:w="4535"/>
            <w:shd w:val="clear" w:color="auto" w:fill="FAFAFA"/>
          </w:tcPr>
          <w:p>
            <w:r>
              <w:rPr>
                <w:sz w:val="19"/>
              </w:rPr>
              <w:t>~0.79</w:t>
            </w:r>
          </w:p>
        </w:tc>
      </w:tr>
      <w:tr>
        <w:tc>
          <w:tcPr>
            <w:tcW w:type="dxa" w:w="2268"/>
            <w:shd w:val="clear" w:color="auto" w:fill="F5F0EB"/>
          </w:tcPr>
          <w:p>
            <w:r>
              <w:rPr>
                <w:sz w:val="19"/>
              </w:rPr>
              <w:t>V+C+M</w:t>
            </w:r>
          </w:p>
        </w:tc>
        <w:tc>
          <w:tcPr>
            <w:tcW w:type="dxa" w:w="2551"/>
            <w:shd w:val="clear" w:color="auto" w:fill="F5F0EB"/>
          </w:tcPr>
          <w:p>
            <w:r>
              <w:rPr>
                <w:sz w:val="19"/>
              </w:rPr>
              <w:t>CS+TS</w:t>
            </w:r>
          </w:p>
        </w:tc>
        <w:tc>
          <w:tcPr>
            <w:tcW w:type="dxa" w:w="4535"/>
            <w:shd w:val="clear" w:color="auto" w:fill="F5F0EB"/>
          </w:tcPr>
          <w:p>
            <w:r>
              <w:rPr>
                <w:sz w:val="19"/>
              </w:rPr>
              <w:t>~0.92 (estimated)</w:t>
            </w:r>
          </w:p>
        </w:tc>
      </w:tr>
    </w:tbl>
    <w:p/>
    <w:p>
      <w:pPr>
        <w:spacing w:after="80"/>
      </w:pPr>
      <w:r>
        <w:rPr>
          <w:rFonts w:ascii="Calibri" w:hAnsi="Calibri"/>
          <w:b w:val="0"/>
          <w:i w:val="0"/>
          <w:color w:val="1E1E1E"/>
          <w:sz w:val="22"/>
        </w:rPr>
        <w:t>The low value Sharpe is expected — commodity value is the weakest standalone signal. However, it adds diversification (correlation with carry = -48% in commodities), so including it in the combined portfolio improves the Sharpe ratio and skew.</w:t>
      </w:r>
    </w:p>
    <w:p>
      <w:r>
        <w:br w:type="page"/>
      </w:r>
    </w:p>
    <w:p>
      <w:pPr>
        <w:spacing w:before="80" w:after="120"/>
        <w:pBdr>
          <w:bottom w:val="single" w:sz="6" w:space="1" w:color="B87333"/>
        </w:pBdr>
      </w:pPr>
      <w:r>
        <w:rPr>
          <w:rFonts w:ascii="Calibri" w:hAnsi="Calibri"/>
          <w:b/>
          <w:i w:val="0"/>
          <w:color w:val="B87333"/>
          <w:sz w:val="26"/>
        </w:rPr>
        <w:t xml:space="preserve">Page 10  |  </w:t>
      </w:r>
      <w:r>
        <w:rPr>
          <w:rFonts w:ascii="Calibri" w:hAnsi="Calibri"/>
          <w:b/>
          <w:i w:val="0"/>
          <w:color w:val="B87333"/>
          <w:sz w:val="26"/>
        </w:rPr>
        <w:t>Caveats, Risk Management, and Implementation Checklist</w:t>
      </w:r>
    </w:p>
    <w:p>
      <w:pPr>
        <w:spacing w:before="200" w:after="40"/>
      </w:pPr>
      <w:r>
        <w:rPr>
          <w:rFonts w:ascii="Calibri" w:hAnsi="Calibri"/>
          <w:b/>
          <w:i w:val="0"/>
          <w:color w:val="444444"/>
          <w:sz w:val="24"/>
        </w:rPr>
        <w:t>10.1  Critical Caveats</w:t>
      </w:r>
    </w:p>
    <w:p>
      <w:pPr>
        <w:spacing w:before="120" w:after="20"/>
      </w:pPr>
      <w:r>
        <w:rPr>
          <w:rFonts w:ascii="Calibri" w:hAnsi="Calibri"/>
          <w:b/>
          <w:i/>
          <w:color w:val="444444"/>
          <w:sz w:val="22"/>
        </w:rPr>
        <w:t>Selection bias</w:t>
      </w:r>
    </w:p>
    <w:p>
      <w:pPr>
        <w:spacing w:after="80"/>
      </w:pPr>
      <w:r>
        <w:rPr>
          <w:rFonts w:ascii="Calibri" w:hAnsi="Calibri"/>
          <w:b w:val="0"/>
          <w:i w:val="0"/>
          <w:color w:val="1E1E1E"/>
          <w:sz w:val="22"/>
        </w:rPr>
        <w:t>Carry, momentum, and value were chosen because they have worked historically. The strategy universe is not large, but these are ex-post validated factors. The paper acknowledges this honestly — it is not claiming to find the most profitable strategy, but to characterise when each implementation is best.</w:t>
      </w:r>
    </w:p>
    <w:p>
      <w:pPr>
        <w:spacing w:before="120" w:after="20"/>
      </w:pPr>
      <w:r>
        <w:rPr>
          <w:rFonts w:ascii="Calibri" w:hAnsi="Calibri"/>
          <w:b/>
          <w:i/>
          <w:color w:val="444444"/>
          <w:sz w:val="22"/>
        </w:rPr>
        <w:t>No over-fitting, but some experience bias</w:t>
      </w:r>
    </w:p>
    <w:p>
      <w:pPr>
        <w:spacing w:after="80"/>
      </w:pPr>
      <w:r>
        <w:rPr>
          <w:rFonts w:ascii="Calibri" w:hAnsi="Calibri"/>
          <w:b w:val="0"/>
          <w:i w:val="0"/>
          <w:color w:val="1E1E1E"/>
          <w:sz w:val="22"/>
        </w:rPr>
        <w:t>The momentum lookback (medium frequency) and value lookback (long, expanding window) were set by economic logic, not optimisation. Do not re-optimise signal parameters on the metals data — the out-of-sample degradation will be severe.</w:t>
      </w:r>
    </w:p>
    <w:p>
      <w:pPr>
        <w:spacing w:before="120" w:after="20"/>
      </w:pPr>
      <w:r>
        <w:rPr>
          <w:rFonts w:ascii="Calibri" w:hAnsi="Calibri"/>
          <w:b/>
          <w:i/>
          <w:color w:val="444444"/>
          <w:sz w:val="22"/>
        </w:rPr>
        <w:t>Survivorship bias</w:t>
      </w:r>
    </w:p>
    <w:p>
      <w:pPr>
        <w:spacing w:after="80"/>
      </w:pPr>
      <w:r>
        <w:rPr>
          <w:rFonts w:ascii="Calibri" w:hAnsi="Calibri"/>
          <w:b w:val="0"/>
          <w:i w:val="0"/>
          <w:color w:val="1E1E1E"/>
          <w:sz w:val="22"/>
        </w:rPr>
        <w:t>Failing markets were mostly excluded from the paper's study. For LME metals this is less of an issue, but liquidity crises (tin 1985, nickel 2022) create tail risks that the historical record understates.</w:t>
      </w:r>
    </w:p>
    <w:p>
      <w:pPr>
        <w:spacing w:before="120" w:after="20"/>
      </w:pPr>
      <w:r>
        <w:rPr>
          <w:rFonts w:ascii="Calibri" w:hAnsi="Calibri"/>
          <w:b/>
          <w:i/>
          <w:color w:val="444444"/>
          <w:sz w:val="22"/>
        </w:rPr>
        <w:t>Transaction costs excluded</w:t>
      </w:r>
    </w:p>
    <w:p>
      <w:pPr>
        <w:spacing w:after="80"/>
      </w:pPr>
      <w:r>
        <w:rPr>
          <w:rFonts w:ascii="Calibri" w:hAnsi="Calibri"/>
          <w:b w:val="0"/>
          <w:i w:val="0"/>
          <w:color w:val="1E1E1E"/>
          <w:sz w:val="22"/>
        </w:rPr>
        <w:t>The paper's Sharpe ratios assume no trading costs. For LME metals, bid-ask spreads and roll costs are real. Carry and value (slow signals, low turnover) are cheaper. Momentum is higher turnover — estimate net-of-cost Sharpe by subtracting ~0.1-0.2.</w:t>
      </w:r>
    </w:p>
    <w:p>
      <w:pPr>
        <w:spacing w:before="120" w:after="20"/>
      </w:pPr>
      <w:r>
        <w:rPr>
          <w:rFonts w:ascii="Calibri" w:hAnsi="Calibri"/>
          <w:b/>
          <w:i/>
          <w:color w:val="444444"/>
          <w:sz w:val="22"/>
        </w:rPr>
        <w:t>Patience required</w:t>
      </w:r>
    </w:p>
    <w:p>
      <w:pPr>
        <w:spacing w:after="80"/>
      </w:pPr>
      <w:r>
        <w:rPr>
          <w:rFonts w:ascii="Calibri" w:hAnsi="Calibri"/>
          <w:b w:val="0"/>
          <w:i w:val="0"/>
          <w:color w:val="1E1E1E"/>
          <w:sz w:val="22"/>
        </w:rPr>
        <w:t>Every strategy suffers 3+ consecutive years of negative performance. Carry was negative in the mid-1990s; momentum underperformed 2011-2013; value underperformed throughout the 2010s commodity bull run. Never abandon a strategy during its drawdown if the underlying logic is intact.</w:t>
      </w:r>
    </w:p>
    <w:p>
      <w:pPr>
        <w:spacing w:before="200" w:after="40"/>
      </w:pPr>
      <w:r>
        <w:rPr>
          <w:rFonts w:ascii="Calibri" w:hAnsi="Calibri"/>
          <w:b/>
          <w:i w:val="0"/>
          <w:color w:val="444444"/>
          <w:sz w:val="24"/>
        </w:rPr>
        <w:t>10.2  Carry Crash Risk</w:t>
      </w:r>
    </w:p>
    <w:p>
      <w:pPr>
        <w:spacing w:after="80"/>
      </w:pPr>
      <w:r>
        <w:rPr>
          <w:rFonts w:ascii="Calibri" w:hAnsi="Calibri"/>
          <w:b w:val="0"/>
          <w:i w:val="0"/>
          <w:color w:val="1E1E1E"/>
          <w:sz w:val="22"/>
        </w:rPr>
        <w:t>Carry has negative skew. For commodity carry specifically, crashes occur during broad risk-off events when all backwardated markets simultaneously flip to contango (2008 financial crisis, 2020 COVID shock). A TS carry portfolio suffers large simultaneous losses across all metals. Risk management rule: monitor cross-metal carry correlation. When it spikes above ~60%, reduce TS carry exposure or shift to CS carry implementation.</w:t>
      </w:r>
    </w:p>
    <w:p>
      <w:pPr>
        <w:spacing w:before="200" w:after="40"/>
      </w:pPr>
      <w:r>
        <w:rPr>
          <w:rFonts w:ascii="Calibri" w:hAnsi="Calibri"/>
          <w:b/>
          <w:i w:val="0"/>
          <w:color w:val="444444"/>
          <w:sz w:val="24"/>
        </w:rPr>
        <w:t>10.3  Implementation Checklist for Metals Dashboard</w:t>
      </w:r>
    </w:p>
    <w:p>
      <w:pPr>
        <w:pStyle w:val="ListBullet"/>
        <w:spacing w:after="40"/>
        <w:ind w:left="283"/>
      </w:pPr>
      <w:r>
        <w:rPr>
          <w:rFonts w:ascii="Calibri" w:hAnsi="Calibri"/>
          <w:b w:val="0"/>
          <w:i w:val="0"/>
          <w:color w:val="1E1E1E"/>
          <w:sz w:val="22"/>
        </w:rPr>
        <w:t>DATA: Load daily cash and 3M prices for Cu, Al, Zn, Pb, Ni, Sn.</w:t>
      </w:r>
    </w:p>
    <w:p>
      <w:pPr>
        <w:pStyle w:val="ListBullet"/>
        <w:spacing w:after="40"/>
        <w:ind w:left="283"/>
      </w:pPr>
      <w:r>
        <w:rPr>
          <w:rFonts w:ascii="Calibri" w:hAnsi="Calibri"/>
          <w:b w:val="0"/>
          <w:i w:val="0"/>
          <w:color w:val="1E1E1E"/>
          <w:sz w:val="22"/>
        </w:rPr>
        <w:t>DATA: Load full futures curve (minimum: 3M and 15M for Eq. 25 carry signal).</w:t>
      </w:r>
    </w:p>
    <w:p>
      <w:pPr>
        <w:pStyle w:val="ListBullet"/>
        <w:spacing w:after="40"/>
        <w:ind w:left="283"/>
      </w:pPr>
      <w:r>
        <w:rPr>
          <w:rFonts w:ascii="Calibri" w:hAnsi="Calibri"/>
          <w:b w:val="0"/>
          <w:i w:val="0"/>
          <w:color w:val="1E1E1E"/>
          <w:sz w:val="22"/>
        </w:rPr>
        <w:t>DATA: Download US CPI monthly for value signal; interpolate to daily.</w:t>
      </w:r>
    </w:p>
    <w:p>
      <w:pPr>
        <w:pStyle w:val="ListBullet"/>
        <w:spacing w:after="40"/>
        <w:ind w:left="283"/>
      </w:pPr>
      <w:r>
        <w:rPr>
          <w:rFonts w:ascii="Calibri" w:hAnsi="Calibri"/>
          <w:b w:val="0"/>
          <w:i w:val="0"/>
          <w:color w:val="1E1E1E"/>
          <w:sz w:val="22"/>
        </w:rPr>
        <w:t>CARRY: Compute curve carry = (F_15M - F_3M) / F_15M for each metal daily.</w:t>
      </w:r>
    </w:p>
    <w:p>
      <w:pPr>
        <w:pStyle w:val="ListBullet"/>
        <w:spacing w:after="40"/>
        <w:ind w:left="283"/>
      </w:pPr>
      <w:r>
        <w:rPr>
          <w:rFonts w:ascii="Calibri" w:hAnsi="Calibri"/>
          <w:b w:val="0"/>
          <w:i w:val="0"/>
          <w:color w:val="1E1E1E"/>
          <w:sz w:val="22"/>
        </w:rPr>
        <w:t>MOMENTUM: Implement 3-timescale EWMA crossover with response function.</w:t>
      </w:r>
    </w:p>
    <w:p>
      <w:pPr>
        <w:pStyle w:val="ListBullet"/>
        <w:spacing w:after="40"/>
        <w:ind w:left="283"/>
      </w:pPr>
      <w:r>
        <w:rPr>
          <w:rFonts w:ascii="Calibri" w:hAnsi="Calibri"/>
          <w:b w:val="0"/>
          <w:i w:val="0"/>
          <w:color w:val="1E1E1E"/>
          <w:sz w:val="22"/>
        </w:rPr>
        <w:t>VALUE: Compute CPI-deflated price relative to expanding-window mean.</w:t>
      </w:r>
    </w:p>
    <w:p>
      <w:pPr>
        <w:pStyle w:val="ListBullet"/>
        <w:spacing w:after="40"/>
        <w:ind w:left="283"/>
      </w:pPr>
      <w:r>
        <w:rPr>
          <w:rFonts w:ascii="Calibri" w:hAnsi="Calibri"/>
          <w:b w:val="0"/>
          <w:i w:val="0"/>
          <w:color w:val="1E1E1E"/>
          <w:sz w:val="22"/>
        </w:rPr>
        <w:t>SIZING: Compute 21-day realised vol per metal; scale positions to 15% annual vol target.</w:t>
      </w:r>
    </w:p>
    <w:p>
      <w:pPr>
        <w:pStyle w:val="ListBullet"/>
        <w:spacing w:after="40"/>
        <w:ind w:left="283"/>
      </w:pPr>
      <w:r>
        <w:rPr>
          <w:rFonts w:ascii="Calibri" w:hAnsi="Calibri"/>
          <w:b w:val="0"/>
          <w:i w:val="0"/>
          <w:color w:val="1E1E1E"/>
          <w:sz w:val="22"/>
        </w:rPr>
        <w:t>CS PORTFOLIO: Rank metals by each signal; long top 2, short bottom 2; equal risk weight.</w:t>
      </w:r>
    </w:p>
    <w:p>
      <w:pPr>
        <w:pStyle w:val="ListBullet"/>
        <w:spacing w:after="40"/>
        <w:ind w:left="283"/>
      </w:pPr>
      <w:r>
        <w:rPr>
          <w:rFonts w:ascii="Calibri" w:hAnsi="Calibri"/>
          <w:b w:val="0"/>
          <w:i w:val="0"/>
          <w:color w:val="1E1E1E"/>
          <w:sz w:val="22"/>
        </w:rPr>
        <w:t>TS PORTFOLIO: Sign(signal) x vol-scaled position per metal.</w:t>
      </w:r>
    </w:p>
    <w:p>
      <w:pPr>
        <w:pStyle w:val="ListBullet"/>
        <w:spacing w:after="40"/>
        <w:ind w:left="283"/>
      </w:pPr>
      <w:r>
        <w:rPr>
          <w:rFonts w:ascii="Calibri" w:hAnsi="Calibri"/>
          <w:b w:val="0"/>
          <w:i w:val="0"/>
          <w:color w:val="1E1E1E"/>
          <w:sz w:val="22"/>
        </w:rPr>
        <w:t>COMBINED: Average V, C, M signals (each scaled to 15%); report V+C+M portfolio.</w:t>
      </w:r>
    </w:p>
    <w:p>
      <w:pPr>
        <w:pStyle w:val="ListBullet"/>
        <w:spacing w:after="40"/>
        <w:ind w:left="283"/>
      </w:pPr>
      <w:r>
        <w:rPr>
          <w:rFonts w:ascii="Calibri" w:hAnsi="Calibri"/>
          <w:b w:val="0"/>
          <w:i w:val="0"/>
          <w:color w:val="1E1E1E"/>
          <w:sz w:val="22"/>
        </w:rPr>
        <w:t>MONITORING: 3M rolling Sharpe per strategy; cross-metal signal correlations; % metals in backwardation; value z-scores (cheapness/expensiveness vs. history).</w:t>
      </w:r>
    </w:p>
    <w:p>
      <w:pPr>
        <w:spacing w:before="200" w:after="40"/>
      </w:pPr>
      <w:r>
        <w:rPr>
          <w:rFonts w:ascii="Calibri" w:hAnsi="Calibri"/>
          <w:b/>
          <w:i w:val="0"/>
          <w:color w:val="444444"/>
          <w:sz w:val="24"/>
        </w:rPr>
        <w:t>10.4  The Single Most Important Takeaway</w:t>
      </w:r>
    </w:p>
    <w:p>
      <w:pPr>
        <w:spacing w:before="160"/>
        <w:ind w:left="567" w:right="567"/>
      </w:pPr>
      <w:r>
        <w:rPr>
          <w:b/>
          <w:color w:val="B87333"/>
          <w:sz w:val="22"/>
        </w:rPr>
        <w:t>Trade carry directionally (TS) — it works equally in both implementations and is easier. Trade momentum directionally (TS) — it is twice as strong as the relative version in commodities. Trade value as a spread (CS) — it is the only strategy materially better cross-sectionally. Combine all three at a consistent 15% volatility target. Historically, this framework has delivered Sharpe ratios of ~0.8 in commodities standalone and ~1.6 across all asset classes combined.</w:t>
      </w:r>
    </w:p>
    <w:p/>
    <w:p>
      <w:pPr>
        <w:jc w:val="center"/>
      </w:pPr>
      <w:r>
        <w:rPr>
          <w:rFonts w:ascii="Calibri" w:hAnsi="Calibri"/>
          <w:b w:val="0"/>
          <w:i/>
          <w:color w:val="888888"/>
          <w:sz w:val="18"/>
        </w:rPr>
        <w:t>Summary by Kartavya Joshi  |  Source: Baz, Granger, Harvey, Le Roux, Rattray (2015) — Man AHL</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