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Metals Risk Premia Dashboard</w:t>
      </w:r>
    </w:p>
    <w:p>
      <w:r>
        <w:t>Navigation Guide</w:t>
      </w:r>
    </w:p>
    <w:p>
      <w:r>
        <w:t>A short guide to finding your way around the live dashboard and connecting it back to the strategy summary document.</w:t>
      </w:r>
    </w:p>
    <w:p>
      <w:pPr>
        <w:pStyle w:val="Heading1"/>
      </w:pPr>
      <w:r>
        <w:t>1.  Access</w:t>
      </w:r>
    </w:p>
    <w:p>
      <w:r>
        <w:t>The dashboard is live at: https://metals-risk-premia-kj.streamlit.app/</w:t>
      </w:r>
    </w:p>
    <w:p>
      <w:r>
        <w:t>It is access-restricted to approved viewers. Sign in with the email address it was shared with - you will either be signed in automatically via Google, or receive a single-use sign-in link by email.</w:t>
      </w:r>
    </w:p>
    <w:p>
      <w:pPr>
        <w:pStyle w:val="Heading1"/>
      </w:pPr>
      <w:r>
        <w:t>2.  Layout</w:t>
      </w:r>
    </w:p>
    <w:p>
      <w:r>
        <w:t>The dashboard is organised as ten tabs across the top of the page. The first six cover raw market data (prices, term structure, volumes, spreads); the last four (7-10) are the systematic signals and portfolio that the strategy document describes. Most of what is in the document lives in Tabs 7-10.</w:t>
      </w:r>
    </w:p>
    <w:p>
      <w:pPr>
        <w:pStyle w:val="Heading2"/>
      </w:pPr>
      <w:r>
        <w:t>Tabs 1-6: Market Data</w:t>
      </w:r>
    </w:p>
    <w:p>
      <w:pPr>
        <w:pStyle w:val="ListBullet"/>
      </w:pPr>
      <w:r>
        <w:rPr>
          <w:b/>
        </w:rPr>
        <w:t xml:space="preserve">Tab 1 - Market Overview. </w:t>
      </w:r>
      <w:r>
        <w:t>Price levels and recent moves across the metals loaded in the dashboard.</w:t>
      </w:r>
    </w:p>
    <w:p>
      <w:pPr>
        <w:pStyle w:val="ListBullet"/>
      </w:pPr>
      <w:r>
        <w:rPr>
          <w:b/>
        </w:rPr>
        <w:t xml:space="preserve">Tab 2 - Term Structure. </w:t>
      </w:r>
      <w:r>
        <w:t>The futures curve (F1 through F27) on a date you pick - shows whether the market is in backwardation or contango on that day.</w:t>
      </w:r>
    </w:p>
    <w:p>
      <w:pPr>
        <w:pStyle w:val="ListBullet"/>
      </w:pPr>
      <w:r>
        <w:rPr>
          <w:b/>
        </w:rPr>
        <w:t xml:space="preserve">Tab 3 - Cash vs 3M (Carry). </w:t>
      </w:r>
      <w:r>
        <w:t>The near-term cash-to-3-month spread, the simplest read on physical tightness.</w:t>
      </w:r>
    </w:p>
    <w:p>
      <w:pPr>
        <w:pStyle w:val="ListBullet"/>
      </w:pPr>
      <w:r>
        <w:rPr>
          <w:b/>
        </w:rPr>
        <w:t xml:space="preserve">Tab 4 - Volume &amp; Open Interest. </w:t>
      </w:r>
      <w:r>
        <w:t>Trading activity and outstanding contracts by tenor.</w:t>
      </w:r>
    </w:p>
    <w:p>
      <w:pPr>
        <w:pStyle w:val="ListBullet"/>
      </w:pPr>
      <w:r>
        <w:rPr>
          <w:b/>
        </w:rPr>
        <w:t xml:space="preserve">Tab 5 - Copper LME-CME Spread. </w:t>
      </w:r>
      <w:r>
        <w:t>The price gap between the two exchanges' copper contracts.</w:t>
      </w:r>
    </w:p>
    <w:p>
      <w:pPr>
        <w:pStyle w:val="ListBullet"/>
      </w:pPr>
      <w:r>
        <w:rPr>
          <w:b/>
        </w:rPr>
        <w:t xml:space="preserve">Tab 6 - Statistics. </w:t>
      </w:r>
      <w:r>
        <w:t>Summary statistics (volatility, returns, correlations) over a selectable window.</w:t>
      </w:r>
    </w:p>
    <w:p>
      <w:pPr>
        <w:pStyle w:val="Heading2"/>
      </w:pPr>
      <w:r>
        <w:t>Tabs 7-9: The Three Signals</w:t>
      </w:r>
    </w:p>
    <w:p>
      <w:r>
        <w:t>Each of these three tabs follows the same layout, and each has its own Metal toggle (Copper / Aluminium) at the top - switching it resets every card, chart and number on that tab to the other metal's configuration.</w:t>
      </w:r>
    </w:p>
    <w:p>
      <w:pPr>
        <w:pStyle w:val="ListBullet"/>
      </w:pPr>
      <w:r>
        <w:rPr>
          <w:b/>
        </w:rPr>
        <w:t xml:space="preserve">Best Signal cards (top of tab). </w:t>
      </w:r>
      <w:r>
        <w:t>The best-performing variant of each signal family, computed live over the full history. These are diagnostic - they show what the backtest prefers, not necessarily the production default.</w:t>
      </w:r>
    </w:p>
    <w:p>
      <w:pPr>
        <w:pStyle w:val="ListBullet"/>
      </w:pPr>
      <w:r>
        <w:rPr>
          <w:b/>
        </w:rPr>
        <w:t xml:space="preserve">Strategy Preset dropdown. </w:t>
      </w:r>
      <w:r>
        <w:t>A quick way to jump straight to a named, pre-configured variant (e.g. the production default, or a named comparison) without setting every control by hand.</w:t>
      </w:r>
    </w:p>
    <w:p>
      <w:pPr>
        <w:pStyle w:val="ListBullet"/>
      </w:pPr>
      <w:r>
        <w:rPr>
          <w:b/>
        </w:rPr>
        <w:t xml:space="preserve">Controls row. </w:t>
      </w:r>
      <w:r>
        <w:t>Signal Type / Variant, Position Entry (Same-Day vs Lag-1), and Transaction Cost (bps) - these drive every chart and number below them on the tab.</w:t>
      </w:r>
    </w:p>
    <w:p>
      <w:pPr>
        <w:pStyle w:val="ListBullet"/>
      </w:pPr>
      <w:r>
        <w:rPr>
          <w:b/>
        </w:rPr>
        <w:t xml:space="preserve">Walk-Forward OOS section. </w:t>
      </w:r>
      <w:r>
        <w:t>The out-of-sample robustness check: the signal's parameters are fixed from a 5-year in-sample window and then tested, untouched, on the following year - repeated on a rolling basis. This is the section to trust over the full-history number if you want to know how a signal actually holds up.</w:t>
      </w:r>
    </w:p>
    <w:p>
      <w:pPr>
        <w:pStyle w:val="ListBullet"/>
      </w:pPr>
      <w:r>
        <w:rPr>
          <w:b/>
        </w:rPr>
        <w:t xml:space="preserve">Compare strategies. </w:t>
      </w:r>
      <w:r>
        <w:t>A multiselect to overlay other variants on the cumulative-PnL chart for a direct visual comparison - useful for sanity-checking whether a “better” backtest number is also a better-looking equity curve.</w:t>
      </w:r>
    </w:p>
    <w:p>
      <w:pPr>
        <w:pStyle w:val="ListBullet"/>
      </w:pPr>
      <w:r>
        <w:rPr>
          <w:b/>
        </w:rPr>
        <w:t xml:space="preserve">Methodology Notes (bottom of tab, collapsed by default). </w:t>
      </w:r>
      <w:r>
        <w:t>Click to expand - explains the exact formula, timing convention and transaction-cost treatment for everything on that tab.</w:t>
      </w:r>
    </w:p>
    <w:p>
      <w:pPr>
        <w:pStyle w:val="Heading2"/>
      </w:pPr>
      <w:r>
        <w:t>Tab 10: Portfolio</w:t>
      </w:r>
    </w:p>
    <w:p>
      <w:r>
        <w:t>Combines the three signals into one position: Port_pos = (1/3) x Momentum + (1/3) x Carry + (1/3) x Value, using each metal's selected configuration (see the strategy document, Section 6, and the note below on the Carry leg).</w:t>
      </w:r>
    </w:p>
    <w:p>
      <w:pPr>
        <w:pStyle w:val="ListBullet"/>
      </w:pPr>
      <w:r>
        <w:rPr>
          <w:b/>
        </w:rPr>
        <w:t xml:space="preserve">Metal toggle. </w:t>
      </w:r>
      <w:r>
        <w:t>Same as Tabs 7-9 - switches the whole tab to Copper or Aluminium's configuration.</w:t>
      </w:r>
    </w:p>
    <w:p>
      <w:pPr>
        <w:pStyle w:val="ListBullet"/>
      </w:pPr>
      <w:r>
        <w:rPr>
          <w:b/>
        </w:rPr>
        <w:t xml:space="preserve">Weighting toggle. </w:t>
      </w:r>
      <w:r>
        <w:t>Equal-Weight (default) or Inverse-Volatility - switches how the three legs are combined; every card and chart below recomputes for whichever is selected.</w:t>
      </w:r>
    </w:p>
    <w:p>
      <w:pPr>
        <w:pStyle w:val="ListBullet"/>
      </w:pPr>
      <w:r>
        <w:rPr>
          <w:b/>
        </w:rPr>
        <w:t xml:space="preserve">Correlation table. </w:t>
      </w:r>
      <w:r>
        <w:t>The pairwise correlation of the three position series - the evidence for the diversification claim (low correlation is what lets the combination beat any single sleeve).</w:t>
      </w:r>
    </w:p>
    <w:p>
      <w:pPr>
        <w:pStyle w:val="ListBullet"/>
      </w:pPr>
      <w:r>
        <w:rPr>
          <w:b/>
        </w:rPr>
        <w:t xml:space="preserve">Current Positioning. </w:t>
      </w:r>
      <w:r>
        <w:t>Each leg's live position (long / short / flat) as of the most recent date in the data, and the combined portfolio position.</w:t>
      </w:r>
    </w:p>
    <w:p>
      <w:pPr>
        <w:pStyle w:val="ListBullet"/>
      </w:pPr>
      <w:r>
        <w:rPr>
          <w:b/>
        </w:rPr>
        <w:t xml:space="preserve">Walk-Forward OOS section. </w:t>
      </w:r>
      <w:r>
        <w:t>Same rolling 5yr-in/1yr-out methodology as Tabs 7-9, applied to the full combined portfolio.</w:t>
      </w:r>
    </w:p>
    <w:p>
      <w:pPr>
        <w:pStyle w:val="ListBullet"/>
      </w:pPr>
      <w:r>
        <w:rPr>
          <w:b/>
        </w:rPr>
        <w:t xml:space="preserve">Regime &amp; Carry Momentum Research (collapsed by default). </w:t>
      </w:r>
      <w:r>
        <w:t>A research note, not a live feature - documents two dynamic-weighting approaches that were tested and did not hold up (so are not used), and a promising follow-on idea that has not yet been built into the tab. Included for transparency on what has been investigated and rejected versus what is still open.</w:t>
      </w:r>
    </w:p>
    <w:p>
      <w:pPr>
        <w:pStyle w:val="ListBullet"/>
      </w:pPr>
      <w:r>
        <w:rPr>
          <w:b/>
        </w:rPr>
        <w:t xml:space="preserve">Methodology Notes (bottom of tab, collapsed by default). </w:t>
      </w:r>
      <w:r>
        <w:t>Exact formulas and the leg-by-leg configuration for both metals, including the one place the Portfolio deliberately uses a different Carry variant than the Carry tab's own default (explained there and in Section 4.3 / 6.6 of the strategy document).</w:t>
      </w:r>
    </w:p>
    <w:p>
      <w:pPr>
        <w:pStyle w:val="Heading1"/>
      </w:pPr>
      <w:r>
        <w:t>3.  Key Terms</w:t>
      </w:r>
    </w:p>
    <w:p>
      <w:pPr>
        <w:pStyle w:val="ListBullet"/>
      </w:pPr>
      <w:r>
        <w:rPr>
          <w:b/>
        </w:rPr>
        <w:t xml:space="preserve">Sharpe ratio. </w:t>
      </w:r>
      <w:r>
        <w:t>Risk-adjusted return - annualised mean return divided by its standard deviation. Higher is better; above ~0.5 net of costs is generally considered a real, usable edge in this context.</w:t>
      </w:r>
    </w:p>
    <w:p>
      <w:pPr>
        <w:pStyle w:val="ListBullet"/>
      </w:pPr>
      <w:r>
        <w:rPr>
          <w:b/>
        </w:rPr>
        <w:t xml:space="preserve">Gross vs Net. </w:t>
      </w:r>
      <w:r>
        <w:t>Gross ignores transaction costs; Net charges an assumed round-trip cost (bps) on every position change. Net is the more realistic number.</w:t>
      </w:r>
    </w:p>
    <w:p>
      <w:pPr>
        <w:pStyle w:val="ListBullet"/>
      </w:pPr>
      <w:r>
        <w:rPr>
          <w:b/>
        </w:rPr>
        <w:t xml:space="preserve">Same-Day vs Lag-1. </w:t>
      </w:r>
      <w:r>
        <w:t>Two no-look-ahead execution conventions - Same-Day trades at the signal's own closing price; Lag-1 waits one further day. Neither uses future information; they differ only in how quickly a signal is acted on.</w:t>
      </w:r>
    </w:p>
    <w:p>
      <w:pPr>
        <w:pStyle w:val="ListBullet"/>
      </w:pPr>
      <w:r>
        <w:rPr>
          <w:b/>
        </w:rPr>
        <w:t xml:space="preserve">In-sample (IS) vs walk-forward out-of-sample (OOS). </w:t>
      </w:r>
      <w:r>
        <w:t>IS uses the full history to evaluate a fixed configuration - useful for comparing variants, but can overstate real-world performance. Walk-forward OOS re-tests that same fixed configuration on rolling, untouched future windows - the more trustworthy number for whether a signal will keep working.</w:t>
      </w:r>
    </w:p>
    <w:p>
      <w:pPr>
        <w:pStyle w:val="ListBullet"/>
      </w:pPr>
      <w:r>
        <w:rPr>
          <w:b/>
        </w:rPr>
        <w:t xml:space="preserve">Flat. </w:t>
      </w:r>
      <w:r>
        <w:t>Share of days a signal holds no position at all. Value is deliberately flat much of the time; Momentum and Carry are almost always in the market.</w:t>
      </w:r>
    </w:p>
    <w:p>
      <w:pPr>
        <w:pStyle w:val="Heading1"/>
      </w:pPr>
      <w:r>
        <w:t>4.  Where the Document and Dashboard Line Up</w:t>
      </w:r>
    </w:p>
    <w:p>
      <w:r>
        <w:t>Every number in the strategy summary document is designed to reproduce live on the dashboard for the stated metal and configuration. If a number in the document looks different from what you see live, it is almost always because a control on the tab (metal toggle, variant, timing, or TC) is set differently from what the document specifies - check the relevant Methodology Notes expander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