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7333"/>
          <w:sz w:val="40"/>
        </w:rPr>
        <w:t>LME Copper Risk Premia</w:t>
      </w:r>
    </w:p>
    <w:p>
      <w:pPr>
        <w:jc w:val="center"/>
      </w:pPr>
      <w:r>
        <w:rPr>
          <w:color w:val="1A1A1A"/>
          <w:sz w:val="24"/>
        </w:rPr>
        <w:t>Findings Synthesis, the Live Dashboard, and Recent Behaviour</w:t>
      </w:r>
    </w:p>
    <w:p>
      <w:pPr>
        <w:jc w:val="center"/>
      </w:pPr>
      <w:r>
        <w:rPr>
          <w:color w:val="787878"/>
          <w:sz w:val="19"/>
        </w:rPr>
        <w:t>Kartavya Joshi  |  Prepared in response to Prof. Ilia Bouchoev's note</w:t>
      </w:r>
    </w:p>
    <w:p>
      <w:pPr>
        <w:spacing w:after="120"/>
      </w:pPr>
    </w:p>
    <w:p>
      <w:pPr>
        <w:spacing w:before="280" w:after="80"/>
        <w:pBdr>
          <w:bottom w:val="single" w:sz="4" w:space="1" w:color="B87333"/>
        </w:pBdr>
      </w:pPr>
      <w:r>
        <w:rPr>
          <w:b/>
          <w:color w:val="B87333"/>
          <w:sz w:val="24"/>
        </w:rPr>
        <w:t>1. PURPOSE</w:t>
      </w:r>
    </w:p>
    <w:p>
      <w:pPr>
        <w:spacing w:after="100"/>
      </w:pPr>
      <w:r>
        <w:rPr>
          <w:i w:val="0"/>
          <w:sz w:val="21"/>
        </w:rPr>
        <w:t>This note synthesises what we have learned from the LME copper risk-premia analysis, what the live dashboard currently shows, and - as Prof. Ilia asked - focuses on more recent behaviour. It also connects our results to the inventory paper he sent (Gorton-Hayashi-Rouwenhorst 2013, summarised separately) and states our view on fundamentals. Performance figures are active-day annualised Sharpe on LME copper, 2006-2025, computed with the dashboard's exact logic (signals from F1_raw, P&amp;L on the roll-adjusted F1_continuous, transaction costs charged on the actual traded F1_raw price).</w:t>
      </w:r>
    </w:p>
    <w:p>
      <w:pPr>
        <w:spacing w:before="280" w:after="80"/>
        <w:pBdr>
          <w:bottom w:val="single" w:sz="4" w:space="1" w:color="B87333"/>
        </w:pBdr>
      </w:pPr>
      <w:r>
        <w:rPr>
          <w:b/>
          <w:color w:val="B87333"/>
          <w:sz w:val="24"/>
        </w:rPr>
        <w:t>2. WHAT WE BUILT</w:t>
      </w:r>
    </w:p>
    <w:p>
      <w:pPr>
        <w:pStyle w:val="ListBullet"/>
        <w:spacing w:after="40"/>
        <w:ind w:left="360"/>
      </w:pPr>
      <w:r>
        <w:rPr>
          <w:b/>
          <w:sz w:val="21"/>
        </w:rPr>
        <w:t xml:space="preserve">Three single-factor sleeves: </w:t>
      </w:r>
      <w:r>
        <w:rPr>
          <w:sz w:val="21"/>
        </w:rPr>
        <w:t>Momentum (MA(35,43) crossover on front price), Carry (20-day change in the (F1-F2)/F1 roll yield), and Value (price vs its 5-year mean on the F8 contract, +/-10% band).</w:t>
      </w:r>
    </w:p>
    <w:p>
      <w:pPr>
        <w:pStyle w:val="ListBullet"/>
        <w:spacing w:after="40"/>
        <w:ind w:left="360"/>
      </w:pPr>
      <w:r>
        <w:rPr>
          <w:b/>
          <w:sz w:val="21"/>
        </w:rPr>
        <w:t xml:space="preserve">A combined portfolio: </w:t>
      </w:r>
      <w:r>
        <w:rPr>
          <w:sz w:val="21"/>
        </w:rPr>
        <w:t>Equal-weight 1/3 each (default), with an inverse-volatility alternative.</w:t>
      </w:r>
    </w:p>
    <w:p>
      <w:pPr>
        <w:pStyle w:val="ListBullet"/>
        <w:spacing w:after="40"/>
        <w:ind w:left="360"/>
      </w:pPr>
      <w:r>
        <w:rPr>
          <w:b/>
          <w:sz w:val="21"/>
        </w:rPr>
        <w:t xml:space="preserve">Honest accounting: </w:t>
      </w:r>
      <w:r>
        <w:rPr>
          <w:sz w:val="21"/>
        </w:rPr>
        <w:t>No look-ahead (signal at close t trades t-&gt;t+1); transaction costs on F1_raw; rolling windows fully initialised before trading; walk-forward out-of-sample testing (5yr IS / 1yr OOS).</w:t>
      </w:r>
    </w:p>
    <w:p>
      <w:pPr>
        <w:pStyle w:val="ListBullet"/>
        <w:spacing w:after="40"/>
        <w:ind w:left="360"/>
      </w:pPr>
      <w:r>
        <w:rPr>
          <w:b/>
          <w:sz w:val="21"/>
        </w:rPr>
        <w:t xml:space="preserve">Deliverables: </w:t>
      </w:r>
      <w:r>
        <w:rPr>
          <w:sz w:val="21"/>
        </w:rPr>
        <w:t>A 10-tab Streamlit dashboard (live), full Excel tradebooks per signal and the portfolio, and research docs (this note, a methods appendix, and the GHR paper summary).</w:t>
      </w:r>
    </w:p>
    <w:p>
      <w:pPr>
        <w:spacing w:before="280" w:after="80"/>
        <w:pBdr>
          <w:bottom w:val="single" w:sz="4" w:space="1" w:color="B87333"/>
        </w:pBdr>
      </w:pPr>
      <w:r>
        <w:rPr>
          <w:b/>
          <w:color w:val="B87333"/>
          <w:sz w:val="24"/>
        </w:rPr>
        <w:t>3. HEADLINE RESULTS (FULL SAMPLE, 2006-2025)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744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Sleeve / Portfolio</w:t>
            </w:r>
          </w:p>
        </w:tc>
        <w:tc>
          <w:tcPr>
            <w:tcW w:type="dxa" w:w="1584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Gross Sharpe</w:t>
            </w:r>
          </w:p>
        </w:tc>
        <w:tc>
          <w:tcPr>
            <w:tcW w:type="dxa" w:w="1440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 5bps</w:t>
            </w:r>
          </w:p>
        </w:tc>
        <w:tc>
          <w:tcPr>
            <w:tcW w:type="dxa" w:w="3744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Comment</w:t>
            </w:r>
          </w:p>
        </w:tc>
      </w:tr>
      <w:tr>
        <w:tc>
          <w:tcPr>
            <w:tcW w:type="dxa" w:w="3744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Momentum MA(35,43)</w:t>
            </w:r>
          </w:p>
        </w:tc>
        <w:tc>
          <w:tcPr>
            <w:tcW w:type="dxa" w:w="158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0.72</w:t>
            </w:r>
          </w:p>
        </w:tc>
        <w:tc>
          <w:tcPr>
            <w:tcW w:type="dxa" w:w="1440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0.70</w:t>
            </w:r>
          </w:p>
        </w:tc>
        <w:tc>
          <w:tcPr>
            <w:tcW w:type="dxa" w:w="374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Steadiest standalone sleeve</w:t>
            </w:r>
          </w:p>
        </w:tc>
      </w:tr>
      <w:tr>
        <w:tc>
          <w:tcPr>
            <w:tcW w:type="dxa" w:w="3744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Carry CarryMom 20d</w:t>
            </w:r>
          </w:p>
        </w:tc>
        <w:tc>
          <w:tcPr>
            <w:tcW w:type="dxa" w:w="15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0.52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0.46</w:t>
            </w:r>
          </w:p>
        </w:tc>
        <w:tc>
          <w:tcPr>
            <w:tcW w:type="dxa" w:w="374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Curve-momentum; best of the carry family</w:t>
            </w:r>
          </w:p>
        </w:tc>
      </w:tr>
      <w:tr>
        <w:tc>
          <w:tcPr>
            <w:tcW w:type="dxa" w:w="3744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Value V1 F8 5yr</w:t>
            </w:r>
          </w:p>
        </w:tc>
        <w:tc>
          <w:tcPr>
            <w:tcW w:type="dxa" w:w="158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0.28</w:t>
            </w:r>
          </w:p>
        </w:tc>
        <w:tc>
          <w:tcPr>
            <w:tcW w:type="dxa" w:w="1440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0.27</w:t>
            </w:r>
          </w:p>
        </w:tc>
        <w:tc>
          <w:tcPr>
            <w:tcW w:type="dxa" w:w="374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Weakest, regime-dependent</w:t>
            </w:r>
          </w:p>
        </w:tc>
      </w:tr>
      <w:tr>
        <w:tc>
          <w:tcPr>
            <w:tcW w:type="dxa" w:w="3744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Portfolio - Equal-Weight</w:t>
            </w:r>
          </w:p>
        </w:tc>
        <w:tc>
          <w:tcPr>
            <w:tcW w:type="dxa" w:w="15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1.05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0.96</w:t>
            </w:r>
          </w:p>
        </w:tc>
        <w:tc>
          <w:tcPr>
            <w:tcW w:type="dxa" w:w="374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Diversification lifts it above every sleeve</w:t>
            </w:r>
          </w:p>
        </w:tc>
      </w:tr>
      <w:tr>
        <w:tc>
          <w:tcPr>
            <w:tcW w:type="dxa" w:w="3744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Portfolio - Inverse-Vol 63d</w:t>
            </w:r>
          </w:p>
        </w:tc>
        <w:tc>
          <w:tcPr>
            <w:tcW w:type="dxa" w:w="158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0.94</w:t>
            </w:r>
          </w:p>
        </w:tc>
        <w:tc>
          <w:tcPr>
            <w:tcW w:type="dxa" w:w="1440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0.89</w:t>
            </w:r>
          </w:p>
        </w:tc>
        <w:tc>
          <w:tcPr>
            <w:tcW w:type="dxa" w:w="374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Higher return, worse drawdown; EW preferred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i w:val="0"/>
          <w:sz w:val="21"/>
        </w:rPr>
        <w:t>The central result is the diversification gain: three weakly-correlated sleeves combine into a portfolio Sharpe (~1.0 net) well above any single sleeve - the classic carry+momentum+value benefit.</w:t>
      </w:r>
    </w:p>
    <w:p>
      <w:pPr>
        <w:spacing w:before="280" w:after="80"/>
        <w:pBdr>
          <w:bottom w:val="single" w:sz="4" w:space="1" w:color="B87333"/>
        </w:pBdr>
      </w:pPr>
      <w:r>
        <w:rPr>
          <w:b/>
          <w:color w:val="B87333"/>
          <w:sz w:val="24"/>
        </w:rPr>
        <w:t>4. RECENT BEHAVIOUR  (PROF. ILIA'S FOCUS)</w:t>
      </w:r>
    </w:p>
    <w:p>
      <w:pPr>
        <w:spacing w:after="100"/>
      </w:pPr>
      <w:r>
        <w:rPr>
          <w:i w:val="0"/>
          <w:sz w:val="21"/>
        </w:rPr>
        <w:t>Splitting the history into sub-periods is where the interesting story lives. The sleeves rotate leadership markedly, and recent behaviour differs sharply from the long-run averages.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4320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Sleeve / Portfolio (Gross Sharpe)</w:t>
            </w:r>
          </w:p>
        </w:tc>
        <w:tc>
          <w:tcPr>
            <w:tcW w:type="dxa" w:w="1728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Pre-2020</w:t>
            </w:r>
          </w:p>
        </w:tc>
        <w:tc>
          <w:tcPr>
            <w:tcW w:type="dxa" w:w="1584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2020-21</w:t>
            </w:r>
          </w:p>
        </w:tc>
        <w:tc>
          <w:tcPr>
            <w:tcW w:type="dxa" w:w="1440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440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2023-25</w:t>
            </w:r>
          </w:p>
        </w:tc>
        <w:tc>
          <w:tcPr>
            <w:tcW w:type="dxa" w:w="1584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Last 252d</w:t>
            </w:r>
          </w:p>
        </w:tc>
      </w:tr>
      <w:tr>
        <w:tc>
          <w:tcPr>
            <w:tcW w:type="dxa" w:w="4320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Momentum MA(35,43)</w:t>
            </w:r>
          </w:p>
        </w:tc>
        <w:tc>
          <w:tcPr>
            <w:tcW w:type="dxa" w:w="1728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0.69</w:t>
            </w:r>
          </w:p>
        </w:tc>
        <w:tc>
          <w:tcPr>
            <w:tcW w:type="dxa" w:w="158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1.17</w:t>
            </w:r>
          </w:p>
        </w:tc>
        <w:tc>
          <w:tcPr>
            <w:tcW w:type="dxa" w:w="1440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0.30</w:t>
            </w:r>
          </w:p>
        </w:tc>
        <w:tc>
          <w:tcPr>
            <w:tcW w:type="dxa" w:w="1440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0.75</w:t>
            </w:r>
          </w:p>
        </w:tc>
        <w:tc>
          <w:tcPr>
            <w:tcW w:type="dxa" w:w="158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0.89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Carry CarryMom 20d</w:t>
            </w:r>
          </w:p>
        </w:tc>
        <w:tc>
          <w:tcPr>
            <w:tcW w:type="dxa" w:w="172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0.55</w:t>
            </w:r>
          </w:p>
        </w:tc>
        <w:tc>
          <w:tcPr>
            <w:tcW w:type="dxa" w:w="15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0.21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0.92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0.47</w:t>
            </w:r>
          </w:p>
        </w:tc>
        <w:tc>
          <w:tcPr>
            <w:tcW w:type="dxa" w:w="15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1.95</w:t>
            </w:r>
          </w:p>
        </w:tc>
      </w:tr>
      <w:tr>
        <w:tc>
          <w:tcPr>
            <w:tcW w:type="dxa" w:w="4320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Value V1 F8 5yr</w:t>
            </w:r>
          </w:p>
        </w:tc>
        <w:tc>
          <w:tcPr>
            <w:tcW w:type="dxa" w:w="1728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0.46</w:t>
            </w:r>
          </w:p>
        </w:tc>
        <w:tc>
          <w:tcPr>
            <w:tcW w:type="dxa" w:w="158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-1.05</w:t>
            </w:r>
          </w:p>
        </w:tc>
        <w:tc>
          <w:tcPr>
            <w:tcW w:type="dxa" w:w="1440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2.08</w:t>
            </w:r>
          </w:p>
        </w:tc>
        <w:tc>
          <w:tcPr>
            <w:tcW w:type="dxa" w:w="1440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0.15</w:t>
            </w:r>
          </w:p>
        </w:tc>
        <w:tc>
          <w:tcPr>
            <w:tcW w:type="dxa" w:w="158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-1.19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Portfolio Equal-Weight</w:t>
            </w:r>
          </w:p>
        </w:tc>
        <w:tc>
          <w:tcPr>
            <w:tcW w:type="dxa" w:w="172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1.11</w:t>
            </w:r>
          </w:p>
        </w:tc>
        <w:tc>
          <w:tcPr>
            <w:tcW w:type="dxa" w:w="15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0.42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1.52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1.15</w:t>
            </w:r>
          </w:p>
        </w:tc>
        <w:tc>
          <w:tcPr>
            <w:tcW w:type="dxa" w:w="15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2.17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1A1A"/>
          <w:sz w:val="21"/>
        </w:rPr>
        <w:t>Key recent observations</w:t>
      </w:r>
    </w:p>
    <w:p>
      <w:pPr>
        <w:pStyle w:val="ListBullet"/>
        <w:spacing w:after="40"/>
        <w:ind w:left="360"/>
      </w:pPr>
      <w:r>
        <w:rPr>
          <w:b/>
          <w:sz w:val="21"/>
        </w:rPr>
        <w:t xml:space="preserve">Carry is the standout right now: </w:t>
      </w:r>
      <w:r>
        <w:rPr>
          <w:sz w:val="21"/>
        </w:rPr>
        <w:t>Carry-momentum's last-12-month Sharpe (~1.95) is its best of the whole sample - the copper curve has given clear, tradable backwardation/contango swings lately.</w:t>
      </w:r>
    </w:p>
    <w:p>
      <w:pPr>
        <w:pStyle w:val="ListBullet"/>
        <w:spacing w:after="40"/>
        <w:ind w:left="360"/>
      </w:pPr>
      <w:r>
        <w:rPr>
          <w:b/>
          <w:sz w:val="21"/>
        </w:rPr>
        <w:t xml:space="preserve">Momentum is quietly solid: </w:t>
      </w:r>
      <w:r>
        <w:rPr>
          <w:sz w:val="21"/>
        </w:rPr>
        <w:t>~0.89 over the last year and strongest during the 2020-21 trend; a reliable all-weather contributor.</w:t>
      </w:r>
    </w:p>
    <w:p>
      <w:pPr>
        <w:pStyle w:val="ListBullet"/>
        <w:spacing w:after="40"/>
        <w:ind w:left="360"/>
      </w:pPr>
      <w:r>
        <w:rPr>
          <w:b/>
          <w:sz w:val="21"/>
        </w:rPr>
        <w:t xml:space="preserve">Value is detracting: </w:t>
      </w:r>
      <w:r>
        <w:rPr>
          <w:sz w:val="21"/>
        </w:rPr>
        <w:t>After a superb 2022 (+2.08, fading the post-COVID spike), value has been negative recently (~ -1.2 last year) - copper has stayed 'expensive' versus its 5-year mean and kept rising, so the mean-reversion bet has bled. This is the regime-conditional weakness we have flagged throughout.</w:t>
      </w:r>
    </w:p>
    <w:p>
      <w:pPr>
        <w:pStyle w:val="ListBullet"/>
        <w:spacing w:after="40"/>
        <w:ind w:left="360"/>
      </w:pPr>
      <w:r>
        <w:rPr>
          <w:b/>
          <w:sz w:val="21"/>
        </w:rPr>
        <w:t xml:space="preserve">Yet the portfolio is at its best: </w:t>
      </w:r>
      <w:r>
        <w:rPr>
          <w:sz w:val="21"/>
        </w:rPr>
        <w:t>Despite value's drag, the equal-weight portfolio posted its strongest sub-period (~2.1 last year) - carry and momentum more than offset value. This is the diversification thesis working in real time: the sleeves are doing different things at different times.</w:t>
      </w:r>
    </w:p>
    <w:p>
      <w:pPr>
        <w:pStyle w:val="ListBullet"/>
        <w:spacing w:after="40"/>
        <w:ind w:left="360"/>
      </w:pPr>
      <w:r>
        <w:rPr>
          <w:b/>
          <w:sz w:val="21"/>
        </w:rPr>
        <w:t xml:space="preserve">Current positioning is net-SHORT copper: </w:t>
      </w:r>
      <w:r>
        <w:rPr>
          <w:sz w:val="21"/>
        </w:rPr>
        <w:t>At end-2025 the book is split: Momentum +1 (uptrend), Carry -1 (contango), Value -1 (expensive vs mean) -&gt; equal-weight net position about -1/3. Over the last year the average absolute portfolio position was only ~0.37, i.e. the sleeves frequently disagree and partially net out - a feature, not a bug, of combining diversifying signals.</w:t>
      </w:r>
    </w:p>
    <w:p>
      <w:pPr>
        <w:spacing w:before="280" w:after="80"/>
        <w:pBdr>
          <w:bottom w:val="single" w:sz="4" w:space="1" w:color="B87333"/>
        </w:pBdr>
      </w:pPr>
      <w:r>
        <w:rPr>
          <w:b/>
          <w:color w:val="B87333"/>
          <w:sz w:val="24"/>
        </w:rPr>
        <w:t>5. PER-SLEEVE SYNTHESIS</w:t>
      </w:r>
    </w:p>
    <w:p>
      <w:pPr>
        <w:spacing w:before="160" w:after="40"/>
      </w:pPr>
      <w:r>
        <w:rPr>
          <w:b/>
          <w:color w:val="1A1A1A"/>
          <w:sz w:val="21"/>
        </w:rPr>
        <w:t>5.1  Momentum</w:t>
      </w:r>
    </w:p>
    <w:p>
      <w:pPr>
        <w:pStyle w:val="ListBullet"/>
        <w:spacing w:after="40"/>
        <w:ind w:left="360"/>
      </w:pPr>
      <w:r>
        <w:rPr>
          <w:sz w:val="21"/>
        </w:rPr>
        <w:t>Medium-frequency MA(35,43) beats the literature CTA signal on copper (0.72 vs ~0.11) - the simple crossover is the workhorse.</w:t>
      </w:r>
    </w:p>
    <w:p>
      <w:pPr>
        <w:pStyle w:val="ListBullet"/>
        <w:spacing w:after="40"/>
        <w:ind w:left="360"/>
      </w:pPr>
      <w:r>
        <w:rPr>
          <w:sz w:val="21"/>
        </w:rPr>
        <w:t>Most valuable in trending regimes (2020-21); weakest in choppy 2022. No flat zone - always in the market.</w:t>
      </w:r>
    </w:p>
    <w:p>
      <w:pPr>
        <w:spacing w:before="160" w:after="40"/>
      </w:pPr>
      <w:r>
        <w:rPr>
          <w:b/>
          <w:color w:val="1A1A1A"/>
          <w:sz w:val="21"/>
        </w:rPr>
        <w:t>5.2  Carry</w:t>
      </w:r>
    </w:p>
    <w:p>
      <w:pPr>
        <w:pStyle w:val="ListBullet"/>
        <w:spacing w:after="40"/>
        <w:ind w:left="360"/>
      </w:pPr>
      <w:r>
        <w:rPr>
          <w:sz w:val="21"/>
        </w:rPr>
        <w:t>The 20-day change in roll yield (curve momentum) clearly beats the raw carry level (~0.52 vs ~0.10). Trading the CHANGE in the curve, not its level, is what works.</w:t>
      </w:r>
    </w:p>
    <w:p>
      <w:pPr>
        <w:pStyle w:val="ListBullet"/>
        <w:spacing w:after="40"/>
        <w:ind w:left="360"/>
      </w:pPr>
      <w:r>
        <w:rPr>
          <w:sz w:val="21"/>
        </w:rPr>
        <w:t>Recently the strongest sleeve; historically the best risk-adjusted single signal after momentum.</w:t>
      </w:r>
    </w:p>
    <w:p>
      <w:pPr>
        <w:spacing w:before="160" w:after="40"/>
      </w:pPr>
      <w:r>
        <w:rPr>
          <w:b/>
          <w:color w:val="1A1A1A"/>
          <w:sz w:val="21"/>
        </w:rPr>
        <w:t>5.3  Value</w:t>
      </w:r>
    </w:p>
    <w:p>
      <w:pPr>
        <w:pStyle w:val="ListBullet"/>
        <w:spacing w:after="40"/>
        <w:ind w:left="360"/>
      </w:pPr>
      <w:r>
        <w:rPr>
          <w:sz w:val="21"/>
        </w:rPr>
        <w:t>Copper-optimal contract is F8/5yr (not the F12 from the energy literature). Weak and regime-dependent: great when a dislocation reverts (2022), painful when copper trends rich (recent).</w:t>
      </w:r>
    </w:p>
    <w:p>
      <w:pPr>
        <w:pStyle w:val="ListBullet"/>
        <w:spacing w:after="40"/>
        <w:ind w:left="360"/>
      </w:pPr>
      <w:r>
        <w:rPr>
          <w:sz w:val="21"/>
        </w:rPr>
        <w:t>Kept as a diversifier, not a return driver. We deliberately use the robust F8 version over the higher-in-sample-but-fragile Baz-Granger 10yr reversal.</w:t>
      </w:r>
    </w:p>
    <w:p>
      <w:pPr>
        <w:spacing w:before="280" w:after="80"/>
        <w:pBdr>
          <w:bottom w:val="single" w:sz="4" w:space="1" w:color="B87333"/>
        </w:pBdr>
      </w:pPr>
      <w:r>
        <w:rPr>
          <w:b/>
          <w:color w:val="B87333"/>
          <w:sz w:val="24"/>
        </w:rPr>
        <w:t>6. METHODOLOGY NOTES (SO THE NUMBERS ARE TRUSTWORTHY)</w:t>
      </w:r>
    </w:p>
    <w:p>
      <w:pPr>
        <w:pStyle w:val="ListBullet"/>
        <w:spacing w:after="40"/>
        <w:ind w:left="360"/>
      </w:pPr>
      <w:r>
        <w:rPr>
          <w:b/>
          <w:sz w:val="21"/>
        </w:rPr>
        <w:t xml:space="preserve">No look-ahead: </w:t>
      </w:r>
      <w:r>
        <w:rPr>
          <w:sz w:val="21"/>
        </w:rPr>
        <w:t>A removed legacy 'same-day' convention had inflated carry to ~0.62; the honest level carry is ~0.10. All figures here use the corrected timing.</w:t>
      </w:r>
    </w:p>
    <w:p>
      <w:pPr>
        <w:pStyle w:val="ListBullet"/>
        <w:spacing w:after="40"/>
        <w:ind w:left="360"/>
      </w:pPr>
      <w:r>
        <w:rPr>
          <w:b/>
          <w:sz w:val="21"/>
        </w:rPr>
        <w:t xml:space="preserve">Transaction costs on F1_raw: </w:t>
      </w:r>
      <w:r>
        <w:rPr>
          <w:sz w:val="21"/>
        </w:rPr>
        <w:t>Costs are charged on the actual traded front-month price, not the back-adjusted index; for copper this is a tiny, positive adjustment (curves roll ~1%).</w:t>
      </w:r>
    </w:p>
    <w:p>
      <w:pPr>
        <w:pStyle w:val="ListBullet"/>
        <w:spacing w:after="40"/>
        <w:ind w:left="360"/>
      </w:pPr>
      <w:r>
        <w:rPr>
          <w:b/>
          <w:sz w:val="21"/>
        </w:rPr>
        <w:t xml:space="preserve">Warmup handled: </w:t>
      </w:r>
      <w:r>
        <w:rPr>
          <w:sz w:val="21"/>
        </w:rPr>
        <w:t>Rolling/EWMA windows must be fully initialised before trading; metrics use active days only.</w:t>
      </w:r>
    </w:p>
    <w:p>
      <w:pPr>
        <w:pStyle w:val="ListBullet"/>
        <w:spacing w:after="40"/>
        <w:ind w:left="360"/>
      </w:pPr>
      <w:r>
        <w:rPr>
          <w:b/>
          <w:sz w:val="21"/>
        </w:rPr>
        <w:t xml:space="preserve">Out-of-sample: </w:t>
      </w:r>
      <w:r>
        <w:rPr>
          <w:sz w:val="21"/>
        </w:rPr>
        <w:t>Walk-forward (5yr in-sample / 1yr out-of-sample, non-overlapping) underpins the OOS Sharpes.</w:t>
      </w:r>
    </w:p>
    <w:p>
      <w:pPr>
        <w:spacing w:before="280" w:after="80"/>
        <w:pBdr>
          <w:bottom w:val="single" w:sz="4" w:space="1" w:color="B87333"/>
        </w:pBdr>
      </w:pPr>
      <w:r>
        <w:rPr>
          <w:b/>
          <w:color w:val="B87333"/>
          <w:sz w:val="24"/>
        </w:rPr>
        <w:t>7. LINK TO THE INVENTORY PAPER (GHR 2013)</w:t>
      </w:r>
    </w:p>
    <w:p>
      <w:pPr>
        <w:spacing w:after="100"/>
      </w:pPr>
      <w:r>
        <w:rPr>
          <w:i w:val="0"/>
          <w:sz w:val="21"/>
        </w:rPr>
        <w:t>Gorton-Hayashi-Rouwenhorst show that commodity risk premiums are driven by physical inventories, and - key for us - that price-based signals (the basis/carry, momentum, volatility) are reliable proxies for the inventory state. Their cross-sectional sorts on basis and on momentum earn ~10-12%/yr; the two are 0.85 correlated because both select scarce, low-inventory commodities.</w:t>
      </w:r>
    </w:p>
    <w:p>
      <w:pPr>
        <w:pStyle w:val="ListBullet"/>
        <w:spacing w:after="40"/>
        <w:ind w:left="360"/>
      </w:pPr>
      <w:r>
        <w:rPr>
          <w:b/>
          <w:sz w:val="21"/>
        </w:rPr>
        <w:t xml:space="preserve">Why this matters: </w:t>
      </w:r>
      <w:r>
        <w:rPr>
          <w:sz w:val="21"/>
        </w:rPr>
        <w:t>Our carry and momentum sleeves are exactly those price proxies. The paper provides the economic licence for why they work - they harvest the inventory-driven risk premium without needing inventory data.</w:t>
      </w:r>
    </w:p>
    <w:p>
      <w:pPr>
        <w:pStyle w:val="ListBullet"/>
        <w:spacing w:after="40"/>
        <w:ind w:left="360"/>
      </w:pPr>
      <w:r>
        <w:rPr>
          <w:b/>
          <w:sz w:val="21"/>
        </w:rPr>
        <w:t xml:space="preserve">On positioning: </w:t>
      </w:r>
      <w:r>
        <w:rPr>
          <w:sz w:val="21"/>
        </w:rPr>
        <w:t>GHR find trader positions (CFTC hedging pressure) do NOT predict returns - so we should treat any COT-style data as context, not a forecasting edge.</w:t>
      </w:r>
    </w:p>
    <w:p>
      <w:pPr>
        <w:spacing w:before="280" w:after="80"/>
        <w:pBdr>
          <w:bottom w:val="single" w:sz="4" w:space="1" w:color="B87333"/>
        </w:pBdr>
      </w:pPr>
      <w:r>
        <w:rPr>
          <w:b/>
          <w:color w:val="B87333"/>
          <w:sz w:val="24"/>
        </w:rPr>
        <w:t>8. ON FUNDAMENTALS - WE AGREE WITH PROF. ILIA</w:t>
      </w:r>
    </w:p>
    <w:p>
      <w:pPr>
        <w:spacing w:after="100"/>
      </w:pPr>
      <w:r>
        <w:rPr>
          <w:i w:val="0"/>
          <w:sz w:val="21"/>
        </w:rPr>
        <w:t>Prof. Ilia's low expectations for metals fundamentals on public data are well supported by GHR's own evidence: the inventory-&gt;basis and inventory-&gt;return links are statistically strong for hard-to-store groups (energies, grains) but WEAKEST for easy-to-store METALS. Metals have large 'normal' inventories and rarely stock out, so the convenience-yield curve is flat except in genuine shortages.</w:t>
      </w:r>
    </w:p>
    <w:p>
      <w:pPr>
        <w:pStyle w:val="ListBullet"/>
        <w:spacing w:after="40"/>
        <w:ind w:left="360"/>
      </w:pPr>
      <w:r>
        <w:rPr>
          <w:b/>
          <w:sz w:val="21"/>
        </w:rPr>
        <w:t xml:space="preserve">Our stance: </w:t>
      </w:r>
      <w:r>
        <w:rPr>
          <w:sz w:val="21"/>
        </w:rPr>
        <w:t>Keep fundamentals exploratory and low-expectation for copper. If inventory ever adds value, GHR implies it will only be in the convex, steep regime - stocks far below normal - i.e. an event/regime overlay, not a smooth daily factor. Worth a brief discussion, not a major build.</w:t>
      </w:r>
    </w:p>
    <w:p>
      <w:pPr>
        <w:spacing w:before="280" w:after="80"/>
        <w:pBdr>
          <w:bottom w:val="single" w:sz="4" w:space="1" w:color="B87333"/>
        </w:pBdr>
      </w:pPr>
      <w:r>
        <w:rPr>
          <w:b/>
          <w:color w:val="B87333"/>
          <w:sz w:val="24"/>
        </w:rPr>
        <w:t>9. OPEN QUESTIONS &amp; NEXT STEPS</w:t>
      </w:r>
    </w:p>
    <w:p>
      <w:pPr>
        <w:pStyle w:val="ListBullet"/>
        <w:spacing w:after="40"/>
        <w:ind w:left="360"/>
      </w:pPr>
      <w:r>
        <w:rPr>
          <w:sz w:val="21"/>
        </w:rPr>
        <w:t>Prof. Ilia mentioned a related idea to discuss - happy to scope it against the current framework.</w:t>
      </w:r>
    </w:p>
    <w:p>
      <w:pPr>
        <w:pStyle w:val="ListBullet"/>
        <w:spacing w:after="40"/>
        <w:ind w:left="360"/>
      </w:pPr>
      <w:r>
        <w:rPr>
          <w:sz w:val="21"/>
        </w:rPr>
        <w:t>Recent leadership rotation (carry strong, value weak) suggests revisiting whether a light regime or trend filter on the value sleeve would help - to be weighed against over-fitting risk.</w:t>
      </w:r>
    </w:p>
    <w:p>
      <w:pPr>
        <w:pStyle w:val="ListBullet"/>
        <w:spacing w:after="40"/>
        <w:ind w:left="360"/>
      </w:pPr>
      <w:r>
        <w:rPr>
          <w:sz w:val="21"/>
        </w:rPr>
        <w:t>Possible extension of the same price-signal framework to the other LME base metals (the original 10-metal goal), where the cross-section may add a genuine relative-value dimension.</w:t>
      </w:r>
    </w:p>
    <w:p>
      <w:pPr>
        <w:pStyle w:val="ListBullet"/>
        <w:spacing w:after="40"/>
        <w:ind w:left="360"/>
      </w:pPr>
      <w:r>
        <w:rPr>
          <w:sz w:val="21"/>
        </w:rPr>
        <w:t>A short, honest note on inventory as an event-overlay for copper, drawing on GHR, if of interest.</w:t>
      </w:r>
    </w:p>
    <w:p>
      <w:pPr>
        <w:spacing w:after="40"/>
      </w:pPr>
      <w:r>
        <w:rPr>
          <w:i w:val="0"/>
          <w:color w:val="787878"/>
          <w:sz w:val="21"/>
        </w:rPr>
        <w:t>Companion documents: GHR_2013_Inventory_Paper_Summary.docx (plain-language paper summary); LME_Copper_RiskPremia_ResearchAppendix.docx (methods &amp; strategies explored).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