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B87333"/>
          <w:sz w:val="32"/>
        </w:rPr>
        <w:t>LME Copper Risk Premia Research</w:t>
      </w:r>
    </w:p>
    <w:p>
      <w:pPr>
        <w:spacing w:after="40"/>
        <w:jc w:val="center"/>
      </w:pPr>
      <w:r>
        <w:rPr>
          <w:i/>
          <w:color w:val="555555"/>
          <w:sz w:val="21"/>
        </w:rPr>
        <w:t>A Multi-Signal Framework for Systematic Commodity Risk Premia</w:t>
      </w:r>
    </w:p>
    <w:p>
      <w:pPr>
        <w:spacing w:after="240"/>
        <w:jc w:val="center"/>
      </w:pPr>
      <w:r>
        <w:rPr>
          <w:color w:val="787878"/>
          <w:sz w:val="18"/>
        </w:rPr>
        <w:t>Kartavya Joshi  |  NYU  |  Supervised Research with Prof. Ilia Bouchoev (NYU / Hartree Partners)</w:t>
      </w:r>
    </w:p>
    <w:p>
      <w:pPr>
        <w:pBdr>
          <w:bottom w:val="single" w:sz="8" w:space="1" w:color="B87333"/>
        </w:pBdr>
        <w:spacing w:after="160"/>
      </w:pPr>
    </w:p>
    <w:p>
      <w:pPr>
        <w:spacing w:before="280" w:after="80"/>
        <w:pBdr>
          <w:bottom w:val="single" w:sz="4" w:space="1" w:color="B87333"/>
        </w:pBdr>
      </w:pPr>
      <w:r>
        <w:rPr>
          <w:b/>
          <w:color w:val="B87333"/>
          <w:sz w:val="22"/>
        </w:rPr>
        <w:t>1. PROJECT OVERVIEW</w:t>
      </w:r>
    </w:p>
    <w:p>
      <w:pPr>
        <w:spacing w:before="0" w:after="80"/>
      </w:pPr>
      <w:r>
        <w:rPr>
          <w:i w:val="0"/>
          <w:sz w:val="19"/>
        </w:rPr>
        <w:t>This research builds a systematic risk premia framework for LME Copper, following the decomposition methodology of Bouchoev (2024) and Baz &amp; Granger (2015). The central thesis is that copper futures returns can be decomposed into compensated risk premia — momentum, carry, and value — each grounded in a distinct economic mechanism, and that combining uncorrelated signals from fundamentals, positioning, and sentiment can produce a diversified, robust alpha stream.</w:t>
      </w:r>
    </w:p>
    <w:p>
      <w:pPr>
        <w:spacing w:before="0" w:after="80"/>
      </w:pPr>
      <w:r>
        <w:rPr>
          <w:i w:val="0"/>
          <w:sz w:val="19"/>
        </w:rPr>
        <w:t>The project is scoped as a pilot for LME Copper (F1–F27 term structure, 2006–2025), with a planned extension to all 10 LME base metals. A live interactive dashboard has been built in Python/Streamlit and is accessible at: metals-risk-premia-kj.streamlit.app</w:t>
      </w:r>
    </w:p>
    <w:p>
      <w:pPr>
        <w:spacing w:before="280" w:after="80"/>
        <w:pBdr>
          <w:bottom w:val="single" w:sz="4" w:space="1" w:color="B87333"/>
        </w:pBdr>
      </w:pPr>
      <w:r>
        <w:rPr>
          <w:b/>
          <w:color w:val="B87333"/>
          <w:sz w:val="22"/>
        </w:rPr>
        <w:t>2. COMPLETED — TECHNICAL SIGNAL RESEARCH</w:t>
      </w:r>
    </w:p>
    <w:p>
      <w:pPr>
        <w:spacing w:before="0" w:after="120"/>
      </w:pPr>
      <w:r>
        <w:rPr>
          <w:i w:val="0"/>
          <w:sz w:val="19"/>
        </w:rPr>
        <w:t>Three systematic signal families have been fully implemented, back-tested (2006–2025), and walk-forward validated. All signals are computed from the LME Copper forward curve (F1–F27); PnL is calculated from F1_continuous (ratio back-adjusted, capturing roll costs).</w:t>
      </w:r>
    </w:p>
    <w:p>
      <w:pPr>
        <w:spacing w:before="160" w:after="40"/>
      </w:pPr>
      <w:r>
        <w:rPr>
          <w:b/>
          <w:color w:val="1A1A1A"/>
          <w:sz w:val="20"/>
        </w:rPr>
        <w:t>2.1  Momentum</w:t>
      </w:r>
    </w:p>
    <w:p>
      <w:pPr>
        <w:pStyle w:val="ListBullet"/>
        <w:spacing w:before="0" w:after="40"/>
        <w:ind w:left="288"/>
      </w:pPr>
      <w:r>
        <w:rPr>
          <w:b/>
          <w:sz w:val="19"/>
        </w:rPr>
        <w:t xml:space="preserve">MA Crossover — best: </w:t>
      </w:r>
      <w:r>
        <w:rPr>
          <w:b w:val="0"/>
          <w:sz w:val="19"/>
        </w:rPr>
        <w:t xml:space="preserve">MA(35,43), Lag-1.  </w:t>
      </w:r>
      <w:r>
        <w:rPr>
          <w:b/>
          <w:sz w:val="19"/>
        </w:rPr>
        <w:t xml:space="preserve">OOS walk-forward avg Sharpe: </w:t>
      </w:r>
      <w:r>
        <w:rPr>
          <w:b w:val="0"/>
          <w:sz w:val="19"/>
        </w:rPr>
        <w:t>+0.492 (15 windows, 2010–2025).</w:t>
      </w:r>
    </w:p>
    <w:p>
      <w:pPr>
        <w:pStyle w:val="ListBullet"/>
        <w:spacing w:before="0" w:after="40"/>
        <w:ind w:left="288"/>
      </w:pPr>
      <w:r>
        <w:rPr>
          <w:b/>
          <w:sz w:val="19"/>
        </w:rPr>
        <w:t xml:space="preserve">Post-2022 avg OOS Sharpe: </w:t>
      </w:r>
      <w:r>
        <w:rPr>
          <w:b w:val="0"/>
          <w:sz w:val="19"/>
        </w:rPr>
        <w:t xml:space="preserve">+0.521.  </w:t>
      </w:r>
      <w:r>
        <w:rPr>
          <w:b w:val="0"/>
          <w:sz w:val="19"/>
        </w:rPr>
        <w:t>13/15 OOS windows positive; 10/15 above +0.30 threshold.</w:t>
      </w:r>
    </w:p>
    <w:p>
      <w:pPr>
        <w:pStyle w:val="ListBullet"/>
        <w:spacing w:before="0" w:after="40"/>
        <w:ind w:left="288"/>
      </w:pPr>
      <w:r>
        <w:rPr>
          <w:b/>
          <w:sz w:val="19"/>
        </w:rPr>
        <w:t xml:space="preserve">Anchors + IS-Opt Weights: </w:t>
      </w:r>
      <w:r>
        <w:rPr>
          <w:b w:val="0"/>
          <w:sz w:val="19"/>
        </w:rPr>
        <w:t>MA(10,25) + MA(35,43) + MA(63,100); max-Sharpe QP re-optimised annually. Avg OOS +0.442. Optimizer assigns ~100% weight to MA(35,43) in 9/15 windows, confirming MA(35,43) as the structural anchor.</w:t>
      </w:r>
    </w:p>
    <w:p>
      <w:pPr>
        <w:pStyle w:val="ListBullet"/>
        <w:spacing w:before="0" w:after="40"/>
        <w:ind w:left="288"/>
      </w:pPr>
      <w:r>
        <w:rPr>
          <w:b/>
          <w:sz w:val="19"/>
        </w:rPr>
        <w:t xml:space="preserve">Baz-Granger CTA Signal: </w:t>
      </w:r>
      <w:r>
        <w:rPr>
          <w:b w:val="0"/>
          <w:sz w:val="19"/>
        </w:rPr>
        <w:t>Response function u = z·exp(−z²/4)/0.8579 (Eq. 29-33). Slow-graded signal that avoids hard position flips on noise. Graded signal Sharpe comparable to MA crossover.</w:t>
      </w:r>
    </w:p>
    <w:p>
      <w:pPr>
        <w:spacing w:before="0" w:after="120"/>
      </w:pPr>
      <w:r>
        <w:rPr>
          <w:i/>
          <w:color w:val="787878"/>
          <w:sz w:val="19"/>
        </w:rPr>
        <w:t>Walk-forward methodology: IS = 5yr rolling (1,260 days), OOS = 1yr (252 days). Lag-1 entry confirmed correct for momentum (signal evolves gradually; no same-day urgency).</w:t>
      </w:r>
    </w:p>
    <w:p>
      <w:pPr>
        <w:spacing w:before="160" w:after="40"/>
      </w:pPr>
      <w:r>
        <w:rPr>
          <w:b/>
          <w:color w:val="1A1A1A"/>
          <w:sz w:val="20"/>
        </w:rPr>
        <w:t>2.2  Carry</w:t>
      </w:r>
    </w:p>
    <w:p>
      <w:pPr>
        <w:pStyle w:val="ListBullet"/>
        <w:spacing w:before="0" w:after="40"/>
        <w:ind w:left="288"/>
      </w:pPr>
      <w:r>
        <w:rPr>
          <w:b/>
          <w:sz w:val="19"/>
        </w:rPr>
        <w:t xml:space="preserve">V4 Carry Momentum — best: </w:t>
      </w:r>
      <w:r>
        <w:rPr>
          <w:b w:val="0"/>
          <w:sz w:val="19"/>
        </w:rPr>
        <w:t xml:space="preserve">20-day change in the (F1−F2)/F1 roll yield (a steepening curve signals physical tightening).  </w:t>
      </w:r>
      <w:r>
        <w:rPr>
          <w:b/>
          <w:sz w:val="19"/>
        </w:rPr>
        <w:t xml:space="preserve">Walk-forward OOS Sharpe +0.50, net of 5bps — the strongest carry signal.  </w:t>
      </w:r>
      <w:r>
        <w:rPr>
          <w:b w:val="0"/>
          <w:sz w:val="19"/>
        </w:rPr>
        <w:t>Robust to transaction costs (+0.29 at 20bps) and to execution lag; only +0.12 correlated with price-momentum, so genuinely additive.</w:t>
      </w:r>
    </w:p>
    <w:p>
      <w:pPr>
        <w:pStyle w:val="ListBullet"/>
        <w:spacing w:before="0" w:after="40"/>
        <w:ind w:left="288"/>
      </w:pPr>
      <w:r>
        <w:rPr>
          <w:b/>
          <w:sz w:val="19"/>
        </w:rPr>
        <w:t xml:space="preserve">V3 Z-score: </w:t>
      </w:r>
      <w:r>
        <w:rPr>
          <w:b w:val="0"/>
          <w:sz w:val="19"/>
        </w:rPr>
        <w:t>252-day rolling standardisation of (F1−F2)/F1. OOS Sharpe +0.40 — the clean, low-turnover runner-up. Fires only when carry is unusual vs its own history.</w:t>
      </w:r>
    </w:p>
    <w:p>
      <w:pPr>
        <w:pStyle w:val="ListBullet"/>
        <w:spacing w:before="0" w:after="40"/>
        <w:ind w:left="288"/>
      </w:pPr>
      <w:r>
        <w:rPr>
          <w:b/>
          <w:sz w:val="19"/>
        </w:rPr>
        <w:t xml:space="preserve">V1 Roll Yield (baseline): </w:t>
      </w:r>
      <w:r>
        <w:rPr>
          <w:b w:val="0"/>
          <w:sz w:val="19"/>
        </w:rPr>
        <w:t>sign of (F1−F2)/F1. OOS +0.24 — the naive level signal; superseded by V4/V3.</w:t>
      </w:r>
    </w:p>
    <w:p>
      <w:pPr>
        <w:spacing w:before="0" w:after="120"/>
      </w:pPr>
      <w:r>
        <w:rPr>
          <w:i/>
          <w:color w:val="787878"/>
          <w:sz w:val="19"/>
        </w:rPr>
        <w:t>Timing correction: an earlier 'Same-Day' carry of ~0.55 was a one-day look-ahead artifact (it booked the contemporaneous return). Corrected to a true same-day execution (trade at the signal's close, earn from the next day), the naive level carry is only ~+0.10 — the curve-momentum and z-score variants are what make carry a genuine premium. Carry has no optimised level parameters; the 20-day horizon was selected and then walk-forward validated.</w:t>
      </w:r>
    </w:p>
    <w:p>
      <w:pPr>
        <w:spacing w:before="160" w:after="40"/>
      </w:pPr>
      <w:r>
        <w:rPr>
          <w:b/>
          <w:color w:val="1A1A1A"/>
          <w:sz w:val="20"/>
        </w:rPr>
        <w:t>2.3  Value</w:t>
      </w:r>
    </w:p>
    <w:p>
      <w:pPr>
        <w:pStyle w:val="ListBullet"/>
        <w:spacing w:before="0" w:after="40"/>
        <w:ind w:left="288"/>
      </w:pPr>
      <w:r>
        <w:rPr>
          <w:b/>
          <w:sz w:val="19"/>
        </w:rPr>
        <w:t xml:space="preserve">V1 MA Reversion — copper optimal: </w:t>
      </w:r>
      <w:r>
        <w:rPr>
          <w:b w:val="0"/>
          <w:sz w:val="19"/>
        </w:rPr>
        <w:t xml:space="preserve">F8, 5yr lookback, ±10% threshold, Lag-1.  </w:t>
      </w:r>
      <w:r>
        <w:rPr>
          <w:b/>
          <w:sz w:val="19"/>
        </w:rPr>
        <w:t xml:space="preserve">Sharpe +0.277.  </w:t>
      </w:r>
      <w:r>
        <w:rPr>
          <w:b w:val="0"/>
          <w:sz w:val="19"/>
        </w:rPr>
        <w:t>F12 (the NGL energy paper's reference contract) is weaker for copper — energy calibration sub-optimal.</w:t>
      </w:r>
    </w:p>
    <w:p>
      <w:pPr>
        <w:pStyle w:val="ListBullet"/>
        <w:spacing w:before="0" w:after="40"/>
        <w:ind w:left="288"/>
      </w:pPr>
      <w:r>
        <w:rPr>
          <w:b/>
          <w:sz w:val="19"/>
        </w:rPr>
        <w:t xml:space="preserve">V1 is the chosen sleeve — walk-forward OOS Sharpe +0.43 </w:t>
      </w:r>
      <w:r>
        <w:rPr>
          <w:b w:val="0"/>
          <w:sz w:val="19"/>
        </w:rPr>
        <w:t>(it improves out-of-sample vs its +0.28 IS, i.e. robust).</w:t>
      </w:r>
    </w:p>
    <w:p>
      <w:pPr>
        <w:pStyle w:val="ListBullet"/>
        <w:spacing w:before="0" w:after="40"/>
        <w:ind w:left="288"/>
      </w:pPr>
      <w:r>
        <w:rPr>
          <w:b/>
          <w:sz w:val="19"/>
        </w:rPr>
        <w:t xml:space="preserve">V2 Baz-Granger Reversal: </w:t>
      </w:r>
      <w:r>
        <w:rPr>
          <w:b w:val="0"/>
          <w:sz w:val="19"/>
        </w:rPr>
        <w:t xml:space="preserve">10yr lookback, IS Sharpe +0.512 — but </w:t>
      </w:r>
      <w:r>
        <w:rPr>
          <w:b/>
          <w:sz w:val="19"/>
        </w:rPr>
        <w:t xml:space="preserve">collapses to +0.07 out-of-sample.  </w:t>
      </w:r>
      <w:r>
        <w:rPr>
          <w:b w:val="0"/>
          <w:sz w:val="19"/>
        </w:rPr>
        <w:t>Its edge is concentrated in the 2020–2021 COVID window, so V2 is demoted from the default despite the higher in-sample number — a cautionary IS-vs-OOS example.</w:t>
      </w:r>
    </w:p>
    <w:p>
      <w:pPr>
        <w:spacing w:before="0" w:after="120"/>
      </w:pPr>
      <w:r>
        <w:rPr>
          <w:i/>
          <w:color w:val="787878"/>
          <w:sz w:val="19"/>
        </w:rPr>
        <w:t>Same-day execution is preferred for value (the look-ahead 'same-day' variant scored −0.5 to −1.8, confirming it was an artifact). V1 F8 at a 5yr lookback is the empirically optimal copper configuration and the portfolio's value sleeve.</w:t>
      </w:r>
    </w:p>
    <w:p>
      <w:pPr>
        <w:spacing w:before="160" w:after="40"/>
      </w:pPr>
      <w:r>
        <w:rPr>
          <w:b/>
          <w:color w:val="1A1A1A"/>
          <w:sz w:val="20"/>
        </w:rPr>
        <w:t>2.4  Summary Performance Table</w:t>
      </w:r>
    </w:p>
    <w:p>
      <w:pPr>
        <w:spacing w:before="0" w:after="80"/>
      </w:pPr>
      <w:r>
        <w:rPr>
          <w:i w:val="0"/>
          <w:sz w:val="19"/>
        </w:rPr>
        <w:t>Walk-forward OOS Sharpe, net of 5bps transaction costs, same-day execution (no look-ahead). IS = 5yr rolling (1,260d), OOS = 1yr (252d), non-overlapping.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72"/>
            <w:shd w:val="clear" w:color="auto" w:fill="B87333"/>
          </w:tcPr>
          <w:p>
            <w:pPr>
              <w:jc w:val="center"/>
            </w:pPr>
            <w:r>
              <w:rPr>
                <w:b/>
                <w:color w:val="FFFFFF"/>
                <w:sz w:val="18"/>
              </w:rPr>
              <w:t>Signal</w:t>
            </w:r>
          </w:p>
        </w:tc>
        <w:tc>
          <w:tcPr>
            <w:tcW w:type="dxa" w:w="3168"/>
            <w:shd w:val="clear" w:color="auto" w:fill="B87333"/>
          </w:tcPr>
          <w:p>
            <w:pPr>
              <w:jc w:val="center"/>
            </w:pPr>
            <w:r>
              <w:rPr>
                <w:b/>
                <w:color w:val="FFFFFF"/>
                <w:sz w:val="18"/>
              </w:rPr>
              <w:t>Best Variant</w:t>
            </w:r>
          </w:p>
        </w:tc>
        <w:tc>
          <w:tcPr>
            <w:tcW w:type="dxa" w:w="1440"/>
            <w:shd w:val="clear" w:color="auto" w:fill="B87333"/>
          </w:tcPr>
          <w:p>
            <w:pPr>
              <w:jc w:val="center"/>
            </w:pPr>
            <w:r>
              <w:rPr>
                <w:b/>
                <w:color w:val="FFFFFF"/>
                <w:sz w:val="18"/>
              </w:rPr>
              <w:t>Sharpe (Full)</w:t>
            </w:r>
          </w:p>
        </w:tc>
        <w:tc>
          <w:tcPr>
            <w:tcW w:type="dxa" w:w="1296"/>
            <w:shd w:val="clear" w:color="auto" w:fill="B87333"/>
          </w:tcPr>
          <w:p>
            <w:pPr>
              <w:jc w:val="center"/>
            </w:pPr>
            <w:r>
              <w:rPr>
                <w:b/>
                <w:color w:val="FFFFFF"/>
                <w:sz w:val="18"/>
              </w:rPr>
              <w:t>Pre-2022</w:t>
            </w:r>
          </w:p>
        </w:tc>
        <w:tc>
          <w:tcPr>
            <w:tcW w:type="dxa" w:w="1296"/>
            <w:shd w:val="clear" w:color="auto" w:fill="B87333"/>
          </w:tcPr>
          <w:p>
            <w:pPr>
              <w:jc w:val="center"/>
            </w:pPr>
            <w:r>
              <w:rPr>
                <w:b/>
                <w:color w:val="FFFFFF"/>
                <w:sz w:val="18"/>
              </w:rPr>
              <w:t>Post-2022</w:t>
            </w:r>
          </w:p>
        </w:tc>
      </w:tr>
      <w:tr>
        <w:tc>
          <w:tcPr>
            <w:tcW w:type="dxa" w:w="1949"/>
            <w:shd w:val="clear" w:color="auto" w:fill="F5EFE8"/>
          </w:tcPr>
          <w:p>
            <w:pPr>
              <w:jc w:val="left"/>
            </w:pPr>
            <w:r>
              <w:rPr>
                <w:b/>
                <w:sz w:val="18"/>
              </w:rPr>
              <w:t>Momentum</w:t>
            </w:r>
          </w:p>
        </w:tc>
        <w:tc>
          <w:tcPr>
            <w:tcW w:type="dxa" w:w="1949"/>
            <w:shd w:val="clear" w:color="auto" w:fill="F5EFE8"/>
          </w:tcPr>
          <w:p>
            <w:pPr>
              <w:jc w:val="left"/>
            </w:pPr>
            <w:r>
              <w:rPr>
                <w:sz w:val="18"/>
              </w:rPr>
              <w:t>MA(35,43)</w:t>
            </w:r>
          </w:p>
        </w:tc>
        <w:tc>
          <w:tcPr>
            <w:tcW w:type="dxa" w:w="1949"/>
            <w:shd w:val="clear" w:color="auto" w:fill="F5EFE8"/>
          </w:tcPr>
          <w:p>
            <w:pPr>
              <w:jc w:val="center"/>
            </w:pPr>
            <w:r>
              <w:rPr>
                <w:sz w:val="18"/>
              </w:rPr>
              <w:t>+0.49 OOS</w:t>
            </w:r>
          </w:p>
        </w:tc>
        <w:tc>
          <w:tcPr>
            <w:tcW w:type="dxa" w:w="1949"/>
            <w:shd w:val="clear" w:color="auto" w:fill="F5EFE8"/>
          </w:tcPr>
          <w:p>
            <w:pPr>
              <w:jc w:val="center"/>
            </w:pPr>
            <w:r>
              <w:rPr>
                <w:sz w:val="18"/>
              </w:rPr>
              <w:t>~+0.60</w:t>
            </w:r>
          </w:p>
        </w:tc>
        <w:tc>
          <w:tcPr>
            <w:tcW w:type="dxa" w:w="1949"/>
            <w:shd w:val="clear" w:color="auto" w:fill="F5EFE8"/>
          </w:tcPr>
          <w:p>
            <w:pPr>
              <w:jc w:val="center"/>
            </w:pPr>
            <w:r>
              <w:rPr>
                <w:sz w:val="18"/>
              </w:rPr>
              <w:t>+0.52</w:t>
            </w:r>
          </w:p>
        </w:tc>
      </w:tr>
      <w:tr>
        <w:tc>
          <w:tcPr>
            <w:tcW w:type="dxa" w:w="1949"/>
            <w:shd w:val="clear" w:color="auto" w:fill="FAFAFA"/>
          </w:tcPr>
          <w:p>
            <w:pPr>
              <w:jc w:val="left"/>
            </w:pPr>
            <w:r>
              <w:rPr>
                <w:b/>
                <w:sz w:val="18"/>
              </w:rPr>
              <w:t>Carry</w:t>
            </w:r>
          </w:p>
        </w:tc>
        <w:tc>
          <w:tcPr>
            <w:tcW w:type="dxa" w:w="1949"/>
            <w:shd w:val="clear" w:color="auto" w:fill="FAFAFA"/>
          </w:tcPr>
          <w:p>
            <w:pPr>
              <w:jc w:val="left"/>
            </w:pPr>
            <w:r>
              <w:rPr>
                <w:sz w:val="18"/>
              </w:rPr>
              <w:t>Δ20d (F1−F2)/F1 momentum</w:t>
            </w:r>
          </w:p>
        </w:tc>
        <w:tc>
          <w:tcPr>
            <w:tcW w:type="dxa" w:w="1949"/>
            <w:shd w:val="clear" w:color="auto" w:fill="FAFAFA"/>
          </w:tcPr>
          <w:p>
            <w:pPr>
              <w:jc w:val="center"/>
            </w:pPr>
            <w:r>
              <w:rPr>
                <w:sz w:val="18"/>
              </w:rPr>
              <w:t>+0.50 OOS</w:t>
            </w:r>
          </w:p>
        </w:tc>
        <w:tc>
          <w:tcPr>
            <w:tcW w:type="dxa" w:w="1949"/>
            <w:shd w:val="clear" w:color="auto" w:fill="FAFAFA"/>
          </w:tcPr>
          <w:p>
            <w:pPr>
              <w:jc w:val="center"/>
            </w:pPr>
            <w:r>
              <w:rPr>
                <w:sz w:val="18"/>
              </w:rPr>
              <w:t>+0.49</w:t>
            </w:r>
          </w:p>
        </w:tc>
        <w:tc>
          <w:tcPr>
            <w:tcW w:type="dxa" w:w="1949"/>
            <w:shd w:val="clear" w:color="auto" w:fill="FAFAFA"/>
          </w:tcPr>
          <w:p>
            <w:pPr>
              <w:jc w:val="center"/>
            </w:pPr>
            <w:r>
              <w:rPr>
                <w:sz w:val="18"/>
              </w:rPr>
              <w:t>+0.52</w:t>
            </w:r>
          </w:p>
        </w:tc>
      </w:tr>
      <w:tr>
        <w:tc>
          <w:tcPr>
            <w:tcW w:type="dxa" w:w="1949"/>
            <w:shd w:val="clear" w:color="auto" w:fill="F5EFE8"/>
          </w:tcPr>
          <w:p>
            <w:pPr>
              <w:jc w:val="left"/>
            </w:pPr>
            <w:r>
              <w:rPr>
                <w:b/>
                <w:sz w:val="18"/>
              </w:rPr>
              <w:t>Value V1</w:t>
            </w:r>
          </w:p>
        </w:tc>
        <w:tc>
          <w:tcPr>
            <w:tcW w:type="dxa" w:w="1949"/>
            <w:shd w:val="clear" w:color="auto" w:fill="F5EFE8"/>
          </w:tcPr>
          <w:p>
            <w:pPr>
              <w:jc w:val="left"/>
            </w:pPr>
            <w:r>
              <w:rPr>
                <w:sz w:val="18"/>
              </w:rPr>
              <w:t>F8, 5yr, ±10%</w:t>
            </w:r>
          </w:p>
        </w:tc>
        <w:tc>
          <w:tcPr>
            <w:tcW w:type="dxa" w:w="1949"/>
            <w:shd w:val="clear" w:color="auto" w:fill="F5EFE8"/>
          </w:tcPr>
          <w:p>
            <w:pPr>
              <w:jc w:val="center"/>
            </w:pPr>
            <w:r>
              <w:rPr>
                <w:sz w:val="18"/>
              </w:rPr>
              <w:t>+0.43 OOS</w:t>
            </w:r>
          </w:p>
        </w:tc>
        <w:tc>
          <w:tcPr>
            <w:tcW w:type="dxa" w:w="1949"/>
            <w:shd w:val="clear" w:color="auto" w:fill="F5EFE8"/>
          </w:tcPr>
          <w:p>
            <w:pPr>
              <w:jc w:val="center"/>
            </w:pPr>
            <w:r>
              <w:rPr>
                <w:sz w:val="18"/>
              </w:rPr>
              <w:t>~+0.30</w:t>
            </w:r>
          </w:p>
        </w:tc>
        <w:tc>
          <w:tcPr>
            <w:tcW w:type="dxa" w:w="1949"/>
            <w:shd w:val="clear" w:color="auto" w:fill="F5EFE8"/>
          </w:tcPr>
          <w:p>
            <w:pPr>
              <w:jc w:val="center"/>
            </w:pPr>
            <w:r>
              <w:rPr>
                <w:sz w:val="18"/>
              </w:rPr>
              <w:t>+0.50</w:t>
            </w:r>
          </w:p>
        </w:tc>
      </w:tr>
      <w:tr>
        <w:tc>
          <w:tcPr>
            <w:tcW w:type="dxa" w:w="1949"/>
            <w:shd w:val="clear" w:color="auto" w:fill="FAFAFA"/>
          </w:tcPr>
          <w:p>
            <w:pPr>
              <w:jc w:val="left"/>
            </w:pPr>
            <w:r>
              <w:rPr>
                <w:b/>
                <w:sz w:val="18"/>
              </w:rPr>
              <w:t>Value V2</w:t>
            </w:r>
          </w:p>
        </w:tc>
        <w:tc>
          <w:tcPr>
            <w:tcW w:type="dxa" w:w="1949"/>
            <w:shd w:val="clear" w:color="auto" w:fill="FAFAFA"/>
          </w:tcPr>
          <w:p>
            <w:pPr>
              <w:jc w:val="left"/>
            </w:pPr>
            <w:r>
              <w:rPr>
                <w:sz w:val="18"/>
              </w:rPr>
              <w:t>BG Reversal, 10yr (demoted)</w:t>
            </w:r>
          </w:p>
        </w:tc>
        <w:tc>
          <w:tcPr>
            <w:tcW w:type="dxa" w:w="1949"/>
            <w:shd w:val="clear" w:color="auto" w:fill="FAFAFA"/>
          </w:tcPr>
          <w:p>
            <w:pPr>
              <w:jc w:val="center"/>
            </w:pPr>
            <w:r>
              <w:rPr>
                <w:sz w:val="18"/>
              </w:rPr>
              <w:t>+0.07 OOS</w:t>
            </w:r>
          </w:p>
        </w:tc>
        <w:tc>
          <w:tcPr>
            <w:tcW w:type="dxa" w:w="1949"/>
            <w:shd w:val="clear" w:color="auto" w:fill="FAFAFA"/>
          </w:tcPr>
          <w:p>
            <w:pPr>
              <w:jc w:val="center"/>
            </w:pPr>
            <w:r>
              <w:rPr>
                <w:sz w:val="18"/>
              </w:rPr>
              <w:t>−0.10</w:t>
            </w:r>
          </w:p>
        </w:tc>
        <w:tc>
          <w:tcPr>
            <w:tcW w:type="dxa" w:w="1949"/>
            <w:shd w:val="clear" w:color="auto" w:fill="FAFAFA"/>
          </w:tcPr>
          <w:p>
            <w:pPr>
              <w:jc w:val="center"/>
            </w:pPr>
            <w:r>
              <w:rPr>
                <w:sz w:val="18"/>
              </w:rPr>
              <w:t>+0.30</w:t>
            </w:r>
          </w:p>
        </w:tc>
      </w:tr>
      <w:tr>
        <w:tc>
          <w:tcPr>
            <w:tcW w:type="dxa" w:w="1949"/>
            <w:shd w:val="clear" w:color="auto" w:fill="F5EFE8"/>
          </w:tcPr>
          <w:p>
            <w:pPr>
              <w:jc w:val="left"/>
            </w:pPr>
            <w:r>
              <w:rPr>
                <w:b/>
                <w:sz w:val="18"/>
              </w:rPr>
              <w:t>EW Portfolio</w:t>
            </w:r>
          </w:p>
        </w:tc>
        <w:tc>
          <w:tcPr>
            <w:tcW w:type="dxa" w:w="1949"/>
            <w:shd w:val="clear" w:color="auto" w:fill="F5EFE8"/>
          </w:tcPr>
          <w:p>
            <w:pPr>
              <w:jc w:val="left"/>
            </w:pPr>
            <w:r>
              <w:rPr>
                <w:sz w:val="18"/>
              </w:rPr>
              <w:t>1/3 Mom + 1/3 Carry + 1/3 Val</w:t>
            </w:r>
          </w:p>
        </w:tc>
        <w:tc>
          <w:tcPr>
            <w:tcW w:type="dxa" w:w="1949"/>
            <w:shd w:val="clear" w:color="auto" w:fill="F5EFE8"/>
          </w:tcPr>
          <w:p>
            <w:pPr>
              <w:jc w:val="center"/>
            </w:pPr>
            <w:r>
              <w:rPr>
                <w:sz w:val="18"/>
              </w:rPr>
              <w:t>+0.91 OOS</w:t>
            </w:r>
          </w:p>
        </w:tc>
        <w:tc>
          <w:tcPr>
            <w:tcW w:type="dxa" w:w="1949"/>
            <w:shd w:val="clear" w:color="auto" w:fill="F5EFE8"/>
          </w:tcPr>
          <w:p>
            <w:pPr>
              <w:jc w:val="center"/>
            </w:pPr>
            <w:r>
              <w:rPr>
                <w:sz w:val="18"/>
              </w:rPr>
              <w:t>+0.98</w:t>
            </w:r>
          </w:p>
        </w:tc>
        <w:tc>
          <w:tcPr>
            <w:tcW w:type="dxa" w:w="1949"/>
            <w:shd w:val="clear" w:color="auto" w:fill="F5EFE8"/>
          </w:tcPr>
          <w:p>
            <w:pPr>
              <w:jc w:val="center"/>
            </w:pPr>
            <w:r>
              <w:rPr>
                <w:sz w:val="18"/>
              </w:rPr>
              <w:t>+1.15</w:t>
            </w:r>
          </w:p>
        </w:tc>
      </w:tr>
      <w:tr>
        <w:tc>
          <w:tcPr>
            <w:tcW w:type="dxa" w:w="1949"/>
            <w:shd w:val="clear" w:color="auto" w:fill="FAFAFA"/>
          </w:tcPr>
          <w:p>
            <w:pPr>
              <w:jc w:val="left"/>
            </w:pPr>
            <w:r>
              <w:rPr>
                <w:b/>
                <w:sz w:val="18"/>
              </w:rPr>
              <w:t>Diversif. note</w:t>
            </w:r>
          </w:p>
        </w:tc>
        <w:tc>
          <w:tcPr>
            <w:tcW w:type="dxa" w:w="1949"/>
            <w:shd w:val="clear" w:color="auto" w:fill="FAFAFA"/>
          </w:tcPr>
          <w:p>
            <w:pPr>
              <w:jc w:val="left"/>
            </w:pPr>
            <w:r>
              <w:rPr>
                <w:sz w:val="18"/>
              </w:rPr>
              <w:t>13/16 OOS windows positive</w:t>
            </w:r>
          </w:p>
        </w:tc>
        <w:tc>
          <w:tcPr>
            <w:tcW w:type="dxa" w:w="1949"/>
            <w:shd w:val="clear" w:color="auto" w:fill="FAFAFA"/>
          </w:tcPr>
          <w:p>
            <w:pPr>
              <w:jc w:val="center"/>
            </w:pPr>
            <w:r>
              <w:rPr>
                <w:sz w:val="18"/>
              </w:rPr>
              <w:t>+1.00 full</w:t>
            </w:r>
          </w:p>
        </w:tc>
        <w:tc>
          <w:tcPr>
            <w:tcW w:type="dxa" w:w="1949"/>
            <w:shd w:val="clear" w:color="auto" w:fill="FAFAFA"/>
          </w:tcPr>
          <w:p>
            <w:pPr>
              <w:jc w:val="center"/>
            </w:pPr>
            <w:r>
              <w:rPr>
                <w:sz w:val="18"/>
              </w:rPr>
              <w:t>—</w:t>
            </w:r>
          </w:p>
        </w:tc>
        <w:tc>
          <w:tcPr>
            <w:tcW w:type="dxa" w:w="1949"/>
            <w:shd w:val="clear" w:color="auto" w:fill="FAFAFA"/>
          </w:tcPr>
          <w:p>
            <w:pPr>
              <w:jc w:val="center"/>
            </w:pPr>
            <w:r>
              <w:rPr>
                <w:sz w:val="18"/>
              </w:rPr>
              <w:t>—</w:t>
            </w:r>
          </w:p>
        </w:tc>
      </w:tr>
    </w:tbl>
    <w:p>
      <w:pPr>
        <w:spacing w:before="0" w:after="120"/>
      </w:pPr>
    </w:p>
    <w:p>
      <w:pPr>
        <w:spacing w:before="280" w:after="80"/>
        <w:pBdr>
          <w:bottom w:val="single" w:sz="4" w:space="1" w:color="B87333"/>
        </w:pBdr>
      </w:pPr>
      <w:r>
        <w:rPr>
          <w:b/>
          <w:color w:val="B87333"/>
          <w:sz w:val="22"/>
        </w:rPr>
        <w:t>3. IN PROGRESS — FUNDAMENTAL SIGNAL RESEARCH</w:t>
      </w:r>
    </w:p>
    <w:p>
      <w:pPr>
        <w:spacing w:before="0" w:after="120"/>
      </w:pPr>
      <w:r>
        <w:rPr>
          <w:i w:val="0"/>
          <w:sz w:val="19"/>
        </w:rPr>
        <w:t>Fundamental signals aim to quantify the supply-demand imbalance in the physical copper market and its macro context. Unlike technical signals (which react to price), fundamental signals are leading or coincident indicators of the underlying commodity balance sheet. Data has been collected via Bloomberg (pdblp) across ten structured domains:</w:t>
      </w:r>
    </w:p>
    <w:tbl>
      <w:tblPr>
        <w:tblStyle w:val="TableGrid"/>
        <w:tblW w:type="auto" w:w="0"/>
        <w:jc w:val="center"/>
        <w:tblLook w:firstColumn="1" w:firstRow="1" w:lastColumn="0" w:lastRow="0" w:noHBand="0" w:noVBand="1" w:val="04A0"/>
      </w:tblPr>
      <w:tblGrid>
        <w:gridCol w:w="3249"/>
        <w:gridCol w:w="3249"/>
        <w:gridCol w:w="3249"/>
      </w:tblGrid>
      <w:tr>
        <w:tc>
          <w:tcPr>
            <w:tcW w:type="dxa" w:w="2160"/>
            <w:shd w:val="clear" w:color="auto" w:fill="B87333"/>
          </w:tcPr>
          <w:p>
            <w:pPr>
              <w:jc w:val="center"/>
            </w:pPr>
            <w:r>
              <w:rPr>
                <w:b/>
                <w:color w:val="FFFFFF"/>
                <w:sz w:val="18"/>
              </w:rPr>
              <w:t>Domain</w:t>
            </w:r>
          </w:p>
        </w:tc>
        <w:tc>
          <w:tcPr>
            <w:tcW w:type="dxa" w:w="3168"/>
            <w:shd w:val="clear" w:color="auto" w:fill="B87333"/>
          </w:tcPr>
          <w:p>
            <w:pPr>
              <w:jc w:val="center"/>
            </w:pPr>
            <w:r>
              <w:rPr>
                <w:b/>
                <w:color w:val="FFFFFF"/>
                <w:sz w:val="18"/>
              </w:rPr>
              <w:t>Key Series</w:t>
            </w:r>
          </w:p>
        </w:tc>
        <w:tc>
          <w:tcPr>
            <w:tcW w:type="dxa" w:w="3744"/>
            <w:shd w:val="clear" w:color="auto" w:fill="B87333"/>
          </w:tcPr>
          <w:p>
            <w:pPr>
              <w:jc w:val="center"/>
            </w:pPr>
            <w:r>
              <w:rPr>
                <w:b/>
                <w:color w:val="FFFFFF"/>
                <w:sz w:val="18"/>
              </w:rPr>
              <w:t>Signal Rationale</w:t>
            </w:r>
          </w:p>
        </w:tc>
      </w:tr>
      <w:tr>
        <w:tc>
          <w:tcPr>
            <w:tcW w:type="dxa" w:w="3249"/>
            <w:shd w:val="clear" w:color="auto" w:fill="F5EFE8"/>
          </w:tcPr>
          <w:p>
            <w:r>
              <w:rPr>
                <w:b/>
                <w:sz w:val="17"/>
              </w:rPr>
              <w:t>01 Copper Physical</w:t>
            </w:r>
          </w:p>
        </w:tc>
        <w:tc>
          <w:tcPr>
            <w:tcW w:type="dxa" w:w="3249"/>
            <w:shd w:val="clear" w:color="auto" w:fill="F5EFE8"/>
          </w:tcPr>
          <w:p>
            <w:r>
              <w:rPr>
                <w:sz w:val="17"/>
              </w:rPr>
              <w:t>LME &amp; SHFE warehouse stocks, cancelled warrants, on-warrant inventory</w:t>
            </w:r>
          </w:p>
        </w:tc>
        <w:tc>
          <w:tcPr>
            <w:tcW w:type="dxa" w:w="3249"/>
            <w:shd w:val="clear" w:color="auto" w:fill="F5EFE8"/>
          </w:tcPr>
          <w:p>
            <w:r>
              <w:rPr>
                <w:sz w:val="17"/>
              </w:rPr>
              <w:t>Stock-to-use ratio; cancelled warrant surge → imminent drawdown → backwardation signal</w:t>
            </w:r>
          </w:p>
        </w:tc>
      </w:tr>
      <w:tr>
        <w:tc>
          <w:tcPr>
            <w:tcW w:type="dxa" w:w="3249"/>
            <w:shd w:val="clear" w:color="auto" w:fill="FAFAFA"/>
          </w:tcPr>
          <w:p>
            <w:r>
              <w:rPr>
                <w:b/>
                <w:sz w:val="17"/>
              </w:rPr>
              <w:t>02 Demand Growth</w:t>
            </w:r>
          </w:p>
        </w:tc>
        <w:tc>
          <w:tcPr>
            <w:tcW w:type="dxa" w:w="3249"/>
            <w:shd w:val="clear" w:color="auto" w:fill="FAFAFA"/>
          </w:tcPr>
          <w:p>
            <w:r>
              <w:rPr>
                <w:sz w:val="17"/>
              </w:rPr>
              <w:t>China IP YoY, NBS/Caixin PMI, Fixed Asset Investment, US ISM, JPM Global PMI, Baltic Dry Index</w:t>
            </w:r>
          </w:p>
        </w:tc>
        <w:tc>
          <w:tcPr>
            <w:tcW w:type="dxa" w:w="3249"/>
            <w:shd w:val="clear" w:color="auto" w:fill="FAFAFA"/>
          </w:tcPr>
          <w:p>
            <w:r>
              <w:rPr>
                <w:sz w:val="17"/>
              </w:rPr>
              <w:t>Forward-looking demand proxy; PMI above/below 50 as regime indicator for copper demand</w:t>
            </w:r>
          </w:p>
        </w:tc>
      </w:tr>
      <w:tr>
        <w:tc>
          <w:tcPr>
            <w:tcW w:type="dxa" w:w="3249"/>
            <w:shd w:val="clear" w:color="auto" w:fill="F5EFE8"/>
          </w:tcPr>
          <w:p>
            <w:r>
              <w:rPr>
                <w:b/>
                <w:sz w:val="17"/>
              </w:rPr>
              <w:t>03 Currencies</w:t>
            </w:r>
          </w:p>
        </w:tc>
        <w:tc>
          <w:tcPr>
            <w:tcW w:type="dxa" w:w="3249"/>
            <w:shd w:val="clear" w:color="auto" w:fill="F5EFE8"/>
          </w:tcPr>
          <w:p>
            <w:r>
              <w:rPr>
                <w:sz w:val="17"/>
              </w:rPr>
              <w:t>DXY, USD/CNY, USD/CLP (Chile), USD/PEN (Peru), USD/AUD + 9 other producer FX</w:t>
            </w:r>
          </w:p>
        </w:tc>
        <w:tc>
          <w:tcPr>
            <w:tcW w:type="dxa" w:w="3249"/>
            <w:shd w:val="clear" w:color="auto" w:fill="F5EFE8"/>
          </w:tcPr>
          <w:p>
            <w:r>
              <w:rPr>
                <w:sz w:val="17"/>
              </w:rPr>
              <w:t>USD strength → copper headwind; producer FX weakness → supply disruption / lower capex</w:t>
            </w:r>
          </w:p>
        </w:tc>
      </w:tr>
      <w:tr>
        <w:tc>
          <w:tcPr>
            <w:tcW w:type="dxa" w:w="3249"/>
            <w:shd w:val="clear" w:color="auto" w:fill="FAFAFA"/>
          </w:tcPr>
          <w:p>
            <w:r>
              <w:rPr>
                <w:b/>
                <w:sz w:val="17"/>
              </w:rPr>
              <w:t>04 Monetary &amp; Rates</w:t>
            </w:r>
          </w:p>
        </w:tc>
        <w:tc>
          <w:tcPr>
            <w:tcW w:type="dxa" w:w="3249"/>
            <w:shd w:val="clear" w:color="auto" w:fill="FAFAFA"/>
          </w:tcPr>
          <w:p>
            <w:r>
              <w:rPr>
                <w:sz w:val="17"/>
              </w:rPr>
              <w:t>US Fed Funds, 10Y Treasury, 10Y Breakeven, SOFR, China M2 YoY, SHIBOR, US/EU M2</w:t>
            </w:r>
          </w:p>
        </w:tc>
        <w:tc>
          <w:tcPr>
            <w:tcW w:type="dxa" w:w="3249"/>
            <w:shd w:val="clear" w:color="auto" w:fill="FAFAFA"/>
          </w:tcPr>
          <w:p>
            <w:r>
              <w:rPr>
                <w:sz w:val="17"/>
              </w:rPr>
              <w:t>Real rate regime; China credit expansion drives ~50% of global copper demand</w:t>
            </w:r>
          </w:p>
        </w:tc>
      </w:tr>
      <w:tr>
        <w:tc>
          <w:tcPr>
            <w:tcW w:type="dxa" w:w="3249"/>
            <w:shd w:val="clear" w:color="auto" w:fill="F5EFE8"/>
          </w:tcPr>
          <w:p>
            <w:r>
              <w:rPr>
                <w:b/>
                <w:sz w:val="17"/>
              </w:rPr>
              <w:t>05 Cross-Commodity</w:t>
            </w:r>
          </w:p>
        </w:tc>
        <w:tc>
          <w:tcPr>
            <w:tcW w:type="dxa" w:w="3249"/>
            <w:shd w:val="clear" w:color="auto" w:fill="F5EFE8"/>
          </w:tcPr>
          <w:p>
            <w:r>
              <w:rPr>
                <w:sz w:val="17"/>
              </w:rPr>
              <w:t>WTI, Brent, Natural Gas, Coal, Gold, LME Zinc/Aluminium/Nickel, GSCI, BCOM</w:t>
            </w:r>
          </w:p>
        </w:tc>
        <w:tc>
          <w:tcPr>
            <w:tcW w:type="dxa" w:w="3249"/>
            <w:shd w:val="clear" w:color="auto" w:fill="F5EFE8"/>
          </w:tcPr>
          <w:p>
            <w:r>
              <w:rPr>
                <w:sz w:val="17"/>
              </w:rPr>
              <w:t>Energy cost pass-through to smelting; base metals co-movement and relative value</w:t>
            </w:r>
          </w:p>
        </w:tc>
      </w:tr>
      <w:tr>
        <w:tc>
          <w:tcPr>
            <w:tcW w:type="dxa" w:w="3249"/>
            <w:shd w:val="clear" w:color="auto" w:fill="FAFAFA"/>
          </w:tcPr>
          <w:p>
            <w:r>
              <w:rPr>
                <w:b/>
                <w:sz w:val="17"/>
              </w:rPr>
              <w:t>06 Financial Sentiment</w:t>
            </w:r>
          </w:p>
        </w:tc>
        <w:tc>
          <w:tcPr>
            <w:tcW w:type="dxa" w:w="3249"/>
            <w:shd w:val="clear" w:color="auto" w:fill="FAFAFA"/>
          </w:tcPr>
          <w:p>
            <w:r>
              <w:rPr>
                <w:sz w:val="17"/>
              </w:rPr>
              <w:t>VIX (CBOE equity vol), MOVE (bond vol), COMEX Net Non-Commercial Longs</w:t>
            </w:r>
          </w:p>
        </w:tc>
        <w:tc>
          <w:tcPr>
            <w:tcW w:type="dxa" w:w="3249"/>
            <w:shd w:val="clear" w:color="auto" w:fill="FAFAFA"/>
          </w:tcPr>
          <w:p>
            <w:r>
              <w:rPr>
                <w:sz w:val="17"/>
              </w:rPr>
              <w:t>Risk-on / risk-off regime filter; positioning as contrarian or trend-following overlay</w:t>
            </w:r>
          </w:p>
        </w:tc>
      </w:tr>
      <w:tr>
        <w:tc>
          <w:tcPr>
            <w:tcW w:type="dxa" w:w="3249"/>
            <w:shd w:val="clear" w:color="auto" w:fill="F5EFE8"/>
          </w:tcPr>
          <w:p>
            <w:r>
              <w:rPr>
                <w:b/>
                <w:sz w:val="17"/>
              </w:rPr>
              <w:t>07 Trade Flows</w:t>
            </w:r>
          </w:p>
        </w:tc>
        <w:tc>
          <w:tcPr>
            <w:tcW w:type="dxa" w:w="3249"/>
            <w:shd w:val="clear" w:color="auto" w:fill="F5EFE8"/>
          </w:tcPr>
          <w:p>
            <w:r>
              <w:rPr>
                <w:sz w:val="17"/>
              </w:rPr>
              <w:t>China copper imports (total, unwrought, ore/concentrate), exports, Yangshan premium</w:t>
            </w:r>
          </w:p>
        </w:tc>
        <w:tc>
          <w:tcPr>
            <w:tcW w:type="dxa" w:w="3249"/>
            <w:shd w:val="clear" w:color="auto" w:fill="F5EFE8"/>
          </w:tcPr>
          <w:p>
            <w:r>
              <w:rPr>
                <w:sz w:val="17"/>
              </w:rPr>
              <w:t>Yangshan premium is a real-time indicator of Chinese import appetite vs. LME arb</w:t>
            </w:r>
          </w:p>
        </w:tc>
      </w:tr>
      <w:tr>
        <w:tc>
          <w:tcPr>
            <w:tcW w:type="dxa" w:w="3249"/>
            <w:shd w:val="clear" w:color="auto" w:fill="FAFAFA"/>
          </w:tcPr>
          <w:p>
            <w:r>
              <w:rPr>
                <w:b/>
                <w:sz w:val="17"/>
              </w:rPr>
              <w:t>08 Geopolitical Risk</w:t>
            </w:r>
          </w:p>
        </w:tc>
        <w:tc>
          <w:tcPr>
            <w:tcW w:type="dxa" w:w="3249"/>
            <w:shd w:val="clear" w:color="auto" w:fill="FAFAFA"/>
          </w:tcPr>
          <w:p>
            <w:r>
              <w:rPr>
                <w:sz w:val="17"/>
              </w:rPr>
              <w:t>Caldara-Iacoviello GPR Index (monthly), Global/US EPU Policy Uncertainty Indices</w:t>
            </w:r>
          </w:p>
        </w:tc>
        <w:tc>
          <w:tcPr>
            <w:tcW w:type="dxa" w:w="3249"/>
            <w:shd w:val="clear" w:color="auto" w:fill="FAFAFA"/>
          </w:tcPr>
          <w:p>
            <w:r>
              <w:rPr>
                <w:sz w:val="17"/>
              </w:rPr>
              <w:t>Mine supply disruptions (strikes, coups in Chile/DRC/Peru) → price spikes; risk regime filter</w:t>
            </w:r>
          </w:p>
        </w:tc>
      </w:tr>
      <w:tr>
        <w:tc>
          <w:tcPr>
            <w:tcW w:type="dxa" w:w="3249"/>
            <w:shd w:val="clear" w:color="auto" w:fill="F5EFE8"/>
          </w:tcPr>
          <w:p>
            <w:r>
              <w:rPr>
                <w:b/>
                <w:sz w:val="17"/>
              </w:rPr>
              <w:t>09 Energy Transition</w:t>
            </w:r>
          </w:p>
        </w:tc>
        <w:tc>
          <w:tcPr>
            <w:tcW w:type="dxa" w:w="3249"/>
            <w:shd w:val="clear" w:color="auto" w:fill="F5EFE8"/>
          </w:tcPr>
          <w:p>
            <w:r>
              <w:rPr>
                <w:sz w:val="17"/>
              </w:rPr>
              <w:t>iShares Clean Energy ETF, Invesco Solar ETF, China NEV monthly sales, Lithium price</w:t>
            </w:r>
          </w:p>
        </w:tc>
        <w:tc>
          <w:tcPr>
            <w:tcW w:type="dxa" w:w="3249"/>
            <w:shd w:val="clear" w:color="auto" w:fill="F5EFE8"/>
          </w:tcPr>
          <w:p>
            <w:r>
              <w:rPr>
                <w:sz w:val="17"/>
              </w:rPr>
              <w:t>Long-run structural demand signal; EV/solar uptick → secular copper demand uplift</w:t>
            </w:r>
          </w:p>
        </w:tc>
      </w:tr>
      <w:tr>
        <w:tc>
          <w:tcPr>
            <w:tcW w:type="dxa" w:w="3249"/>
            <w:shd w:val="clear" w:color="auto" w:fill="FAFAFA"/>
          </w:tcPr>
          <w:p>
            <w:r>
              <w:rPr>
                <w:b/>
                <w:sz w:val="17"/>
              </w:rPr>
              <w:t>10 Country Producers</w:t>
            </w:r>
          </w:p>
        </w:tc>
        <w:tc>
          <w:tcPr>
            <w:tcW w:type="dxa" w:w="3249"/>
            <w:shd w:val="clear" w:color="auto" w:fill="FAFAFA"/>
          </w:tcPr>
          <w:p>
            <w:r>
              <w:rPr>
                <w:sz w:val="17"/>
              </w:rPr>
              <w:t>Chile &amp; Peru mine production, GDP for top-10 producers, all producer FX</w:t>
            </w:r>
          </w:p>
        </w:tc>
        <w:tc>
          <w:tcPr>
            <w:tcW w:type="dxa" w:w="3249"/>
            <w:shd w:val="clear" w:color="auto" w:fill="FAFAFA"/>
          </w:tcPr>
          <w:p>
            <w:r>
              <w:rPr>
                <w:sz w:val="17"/>
              </w:rPr>
              <w:t>Supply-side: production disruptions (El Niño, strikes, permits) tighten global balance</w:t>
            </w:r>
          </w:p>
        </w:tc>
      </w:tr>
    </w:tbl>
    <w:p>
      <w:pPr>
        <w:spacing w:before="0" w:after="80"/>
      </w:pPr>
    </w:p>
    <w:p>
      <w:pPr>
        <w:spacing w:before="0" w:after="80"/>
      </w:pPr>
      <w:r>
        <w:rPr>
          <w:i/>
          <w:color w:val="787878"/>
          <w:sz w:val="19"/>
        </w:rPr>
        <w:t>Current status: data pipeline built and validated (Bloomberg pdblp). Signal construction underway — approach is to build a composite Fundamental Score combining standardised z-scores of each domain into a single long/short signal, with regime conditioning (e.g., suppress carry signal when PMI &lt; 48 and DXY is rising).</w:t>
      </w:r>
    </w:p>
    <w:p>
      <w:pPr>
        <w:spacing w:before="280" w:after="80"/>
        <w:pBdr>
          <w:bottom w:val="single" w:sz="4" w:space="1" w:color="B87333"/>
        </w:pBdr>
      </w:pPr>
      <w:r>
        <w:rPr>
          <w:b/>
          <w:color w:val="B87333"/>
          <w:sz w:val="22"/>
        </w:rPr>
        <w:t>4. PLANNED — INSTITUTIONAL POSITIONING SIGNALS</w:t>
      </w:r>
    </w:p>
    <w:p>
      <w:pPr>
        <w:spacing w:before="0" w:after="120"/>
      </w:pPr>
      <w:r>
        <w:rPr>
          <w:i w:val="0"/>
          <w:sz w:val="19"/>
        </w:rPr>
        <w:t>Institutional positioning data reveals how the "smart money" and commodity trading advisors (CTAs) are positioned, providing a contrarian or trend-confirmation overlay on price signals. Two primary sources are planned:</w:t>
      </w:r>
    </w:p>
    <w:p>
      <w:pPr>
        <w:spacing w:before="160" w:after="40"/>
      </w:pPr>
      <w:r>
        <w:rPr>
          <w:b/>
          <w:color w:val="1A1A1A"/>
          <w:sz w:val="20"/>
        </w:rPr>
        <w:t>4.1  CFTC Commitment of Traders (COT) — COMEX Copper</w:t>
      </w:r>
    </w:p>
    <w:p>
      <w:pPr>
        <w:pStyle w:val="ListBullet"/>
        <w:spacing w:before="0" w:after="40"/>
        <w:ind w:left="288"/>
      </w:pPr>
      <w:r>
        <w:rPr>
          <w:b/>
          <w:sz w:val="19"/>
        </w:rPr>
        <w:t xml:space="preserve">Source: </w:t>
      </w:r>
      <w:r>
        <w:rPr>
          <w:b w:val="0"/>
          <w:sz w:val="19"/>
        </w:rPr>
        <w:t>CFTC weekly COT report (published every Friday for Tuesday positions). Already collected: COMEX_Copper_Net_NonCommercial_Longs.csv (Bloomberg: CEI1CNCN Index).</w:t>
      </w:r>
    </w:p>
    <w:p>
      <w:pPr>
        <w:pStyle w:val="ListBullet"/>
        <w:spacing w:before="0" w:after="40"/>
        <w:ind w:left="288"/>
      </w:pPr>
      <w:r>
        <w:rPr>
          <w:b/>
          <w:sz w:val="19"/>
        </w:rPr>
        <w:t xml:space="preserve">Signal construction: </w:t>
      </w:r>
      <w:r>
        <w:rPr>
          <w:b w:val="0"/>
          <w:sz w:val="19"/>
        </w:rPr>
        <w:t>Net non-commercial (speculative hedge fund) long position as a z-score of its 52-week rolling distribution. Extreme long positioning → contrarian short signal; extreme short → contrarian long. Can also be used as a trend-confirmation overlay when combined with momentum.</w:t>
      </w:r>
    </w:p>
    <w:p>
      <w:pPr>
        <w:pStyle w:val="ListBullet"/>
        <w:spacing w:before="0" w:after="40"/>
        <w:ind w:left="288"/>
      </w:pPr>
      <w:r>
        <w:rPr>
          <w:b/>
          <w:sz w:val="19"/>
        </w:rPr>
        <w:t xml:space="preserve">Additional COT decomposition: </w:t>
      </w:r>
      <w:r>
        <w:rPr>
          <w:b w:val="0"/>
          <w:sz w:val="19"/>
        </w:rPr>
        <w:t>Separate managed money (hedge funds) from producer/merchant/processor hedgers (commercials). Commercial net short → producers locking in prices → backwardation. Money manager long crowding → crowded trade warning.</w:t>
      </w:r>
    </w:p>
    <w:p>
      <w:pPr>
        <w:spacing w:before="160" w:after="40"/>
      </w:pPr>
      <w:r>
        <w:rPr>
          <w:b/>
          <w:color w:val="1A1A1A"/>
          <w:sz w:val="20"/>
        </w:rPr>
        <w:t>4.2  LME Positioning and Warrant Holdings</w:t>
      </w:r>
    </w:p>
    <w:p>
      <w:pPr>
        <w:pStyle w:val="ListBullet"/>
        <w:spacing w:before="0" w:after="40"/>
        <w:ind w:left="288"/>
      </w:pPr>
      <w:r>
        <w:rPr>
          <w:b/>
          <w:sz w:val="19"/>
        </w:rPr>
        <w:t xml:space="preserve">LME Banding Report: </w:t>
      </w:r>
      <w:r>
        <w:rPr>
          <w:b w:val="0"/>
          <w:sz w:val="19"/>
        </w:rPr>
        <w:t>Published weekly. Shows percentage of total warrants held by the top 1-5 participants. High concentration → potential for short squeeze or delivery squeeze (historically relevant for copper: e.g., the 2021 LME nickel squeeze; copper has had similar episodes). Signal: concentration spike → backwardation premium expansion.</w:t>
      </w:r>
    </w:p>
    <w:p>
      <w:pPr>
        <w:pStyle w:val="ListBullet"/>
        <w:spacing w:before="0" w:after="40"/>
        <w:ind w:left="288"/>
      </w:pPr>
      <w:r>
        <w:rPr>
          <w:b/>
          <w:sz w:val="19"/>
        </w:rPr>
        <w:t xml:space="preserve">SHFE Positioning: </w:t>
      </w:r>
      <w:r>
        <w:rPr>
          <w:b w:val="0"/>
          <w:sz w:val="19"/>
        </w:rPr>
        <w:t>Shanghai Futures Exchange publishes weekly top-20 long/short position data by broker. Tracks Chinese speculative and hedging flows — critical given China's ~55% share of global copper consumption.</w:t>
      </w:r>
    </w:p>
    <w:p>
      <w:pPr>
        <w:spacing w:before="160" w:after="40"/>
      </w:pPr>
      <w:r>
        <w:rPr>
          <w:b/>
          <w:color w:val="1A1A1A"/>
          <w:sz w:val="20"/>
        </w:rPr>
        <w:t>4.3  Signal Construction Approach</w:t>
      </w:r>
    </w:p>
    <w:p>
      <w:pPr>
        <w:pStyle w:val="ListBullet"/>
        <w:spacing w:before="0" w:after="40"/>
        <w:ind w:left="288"/>
      </w:pPr>
      <w:r>
        <w:rPr>
          <w:sz w:val="19"/>
        </w:rPr>
        <w:t>Standardise each positioning series to 52-week z-scores to remove secular trend in gross positioning.</w:t>
      </w:r>
    </w:p>
    <w:p>
      <w:pPr>
        <w:pStyle w:val="ListBullet"/>
        <w:spacing w:before="0" w:after="40"/>
        <w:ind w:left="288"/>
      </w:pPr>
      <w:r>
        <w:rPr>
          <w:sz w:val="19"/>
        </w:rPr>
        <w:t>Define "extreme" zones (z &gt; +1.5 = crowded long; z &lt; −1.5 = crowded short) as regime filters.</w:t>
      </w:r>
    </w:p>
    <w:p>
      <w:pPr>
        <w:pStyle w:val="ListBullet"/>
        <w:spacing w:before="0" w:after="40"/>
        <w:ind w:left="288"/>
      </w:pPr>
      <w:r>
        <w:rPr>
          <w:sz w:val="19"/>
        </w:rPr>
        <w:t>Use as overlay: confirms or fades the technical + fundamental signal direction.</w:t>
      </w:r>
    </w:p>
    <w:p>
      <w:pPr>
        <w:pStyle w:val="ListBullet"/>
        <w:spacing w:before="0" w:after="40"/>
        <w:ind w:left="288"/>
      </w:pPr>
      <w:r>
        <w:rPr>
          <w:sz w:val="19"/>
        </w:rPr>
        <w:t>Combine with momentum signal — positioning extremes tend to precede reversals, creating a natural value overlay.</w:t>
      </w:r>
    </w:p>
    <w:p>
      <w:pPr>
        <w:spacing w:before="0" w:after="80"/>
      </w:pPr>
    </w:p>
    <w:p>
      <w:pPr>
        <w:spacing w:before="280" w:after="80"/>
        <w:pBdr>
          <w:bottom w:val="single" w:sz="4" w:space="1" w:color="B87333"/>
        </w:pBdr>
      </w:pPr>
      <w:r>
        <w:rPr>
          <w:b/>
          <w:color w:val="B87333"/>
          <w:sz w:val="22"/>
        </w:rPr>
        <w:t>5. PLANNED — SENTIMENT SIGNALS</w:t>
      </w:r>
    </w:p>
    <w:p>
      <w:pPr>
        <w:spacing w:before="0" w:after="120"/>
      </w:pPr>
      <w:r>
        <w:rPr>
          <w:i w:val="0"/>
          <w:sz w:val="19"/>
        </w:rPr>
        <w:t>Sentiment signals capture the behavioural and expectations-driven component of copper pricing — how fear, greed, and narrative drive short-term price dislocation from fundamental fair value. Three complementary approaches are proposed:</w:t>
      </w:r>
    </w:p>
    <w:p>
      <w:pPr>
        <w:spacing w:before="160" w:after="40"/>
      </w:pPr>
      <w:r>
        <w:rPr>
          <w:b/>
          <w:color w:val="1A1A1A"/>
          <w:sz w:val="20"/>
        </w:rPr>
        <w:t>5.1  Options-Implied Sentiment (Copper Vol Surface)</w:t>
      </w:r>
    </w:p>
    <w:p>
      <w:pPr>
        <w:pStyle w:val="ListBullet"/>
        <w:spacing w:before="0" w:after="40"/>
        <w:ind w:left="288"/>
      </w:pPr>
      <w:r>
        <w:rPr>
          <w:b/>
          <w:sz w:val="19"/>
        </w:rPr>
        <w:t xml:space="preserve">Put-Call Skew (25-delta risk reversal): </w:t>
      </w:r>
      <w:r>
        <w:rPr>
          <w:b w:val="0"/>
          <w:sz w:val="19"/>
        </w:rPr>
        <w:t>The relative cost of OTM copper put options vs OTM calls reflects hedger demand and tail-risk perception. A spike in put premium (negative skew) signals fear of sharp downside — often a contrarian buy signal at extremes.</w:t>
      </w:r>
    </w:p>
    <w:p>
      <w:pPr>
        <w:pStyle w:val="ListBullet"/>
        <w:spacing w:before="0" w:after="40"/>
        <w:ind w:left="288"/>
      </w:pPr>
      <w:r>
        <w:rPr>
          <w:b/>
          <w:sz w:val="19"/>
        </w:rPr>
        <w:t xml:space="preserve">Implied Volatility vs Realised Volatility (VRP — Volatility Risk Premium): </w:t>
      </w:r>
      <w:r>
        <w:rPr>
          <w:b w:val="0"/>
          <w:sz w:val="19"/>
        </w:rPr>
        <w:t>When IV &gt;&gt; RV, the market is overpaying for protection — typically a short copper signal (mean reversion after fear spike). When IV ≈ RV, the premium is fairly priced.</w:t>
      </w:r>
    </w:p>
    <w:p>
      <w:pPr>
        <w:pStyle w:val="ListBullet"/>
        <w:spacing w:before="0" w:after="40"/>
        <w:ind w:left="288"/>
      </w:pPr>
      <w:r>
        <w:rPr>
          <w:b/>
          <w:sz w:val="19"/>
        </w:rPr>
        <w:t xml:space="preserve">Data source: </w:t>
      </w:r>
      <w:r>
        <w:rPr>
          <w:b w:val="0"/>
          <w:sz w:val="19"/>
        </w:rPr>
        <w:t>CME/LME copper options. Bloomberg tickers for 1M ATM implied vol (LMCADS01V1M Index) and 25-delta risk reversal. Can also derive VRP from rolling realised vol.</w:t>
      </w:r>
    </w:p>
    <w:p>
      <w:pPr>
        <w:spacing w:before="160" w:after="40"/>
      </w:pPr>
      <w:r>
        <w:rPr>
          <w:b/>
          <w:color w:val="1A1A1A"/>
          <w:sz w:val="20"/>
        </w:rPr>
        <w:t>5.2  Macro Fear / Risk-Off Regime (Already Collected)</w:t>
      </w:r>
    </w:p>
    <w:p>
      <w:pPr>
        <w:pStyle w:val="ListBullet"/>
        <w:spacing w:before="0" w:after="40"/>
        <w:ind w:left="288"/>
      </w:pPr>
      <w:r>
        <w:rPr>
          <w:b/>
          <w:sz w:val="19"/>
        </w:rPr>
        <w:t xml:space="preserve">VIX (CBOE Equity Volatility): </w:t>
      </w:r>
      <w:r>
        <w:rPr>
          <w:b w:val="0"/>
          <w:sz w:val="19"/>
        </w:rPr>
        <w:t>Risk-off regime filter. VIX &gt; 30 historically coincides with copper demand destruction and price collapse; carry and momentum signals degrade in high-VIX environments.</w:t>
      </w:r>
    </w:p>
    <w:p>
      <w:pPr>
        <w:pStyle w:val="ListBullet"/>
        <w:spacing w:before="0" w:after="40"/>
        <w:ind w:left="288"/>
      </w:pPr>
      <w:r>
        <w:rPr>
          <w:b/>
          <w:sz w:val="19"/>
        </w:rPr>
        <w:t xml:space="preserve">MOVE Index (Bond Volatility): </w:t>
      </w:r>
      <w:r>
        <w:rPr>
          <w:b w:val="0"/>
          <w:sz w:val="19"/>
        </w:rPr>
        <w:t>Interest rate uncertainty filter. High MOVE → macro uncertainty → copper risk premium compressed. Useful as a signal-dampening overlay.</w:t>
      </w:r>
    </w:p>
    <w:p>
      <w:pPr>
        <w:pStyle w:val="ListBullet"/>
        <w:spacing w:before="0" w:after="40"/>
        <w:ind w:left="288"/>
      </w:pPr>
      <w:r>
        <w:rPr>
          <w:b/>
          <w:sz w:val="19"/>
        </w:rPr>
        <w:t xml:space="preserve">Proposed signal: </w:t>
      </w:r>
      <w:r>
        <w:rPr>
          <w:b w:val="0"/>
          <w:sz w:val="19"/>
        </w:rPr>
        <w:t>Composite Fear Gauge = standardised average of VIX z-score + MOVE z-score. If gauge &gt; 1.5 std: reduce position size by 50% across all signals (risk overlay). If gauge &lt; −0.5 std (low volatility, risk-on): full position.</w:t>
      </w:r>
    </w:p>
    <w:p>
      <w:pPr>
        <w:spacing w:before="160" w:after="40"/>
      </w:pPr>
      <w:r>
        <w:rPr>
          <w:b/>
          <w:color w:val="1A1A1A"/>
          <w:sz w:val="20"/>
        </w:rPr>
        <w:t>5.3  News and Analyst Sentiment (NLP / Consensus)</w:t>
      </w:r>
    </w:p>
    <w:p>
      <w:pPr>
        <w:pStyle w:val="ListBullet"/>
        <w:spacing w:before="0" w:after="40"/>
        <w:ind w:left="288"/>
      </w:pPr>
      <w:r>
        <w:rPr>
          <w:b/>
          <w:sz w:val="19"/>
        </w:rPr>
        <w:t xml:space="preserve">Bloomberg News Sentiment (BNS): </w:t>
      </w:r>
      <w:r>
        <w:rPr>
          <w:b w:val="0"/>
          <w:sz w:val="19"/>
        </w:rPr>
        <w:t>Daily aggregated news sentiment score for copper (scale −1 to +1). Can construct a 10-day exponentially weighted moving average of sentiment as a short-term contrarian or trend signal.</w:t>
      </w:r>
    </w:p>
    <w:p>
      <w:pPr>
        <w:pStyle w:val="ListBullet"/>
        <w:spacing w:before="0" w:after="40"/>
        <w:ind w:left="288"/>
      </w:pPr>
      <w:r>
        <w:rPr>
          <w:b/>
          <w:sz w:val="19"/>
        </w:rPr>
        <w:t xml:space="preserve">Broker Consensus Changes: </w:t>
      </w:r>
      <w:r>
        <w:rPr>
          <w:b w:val="0"/>
          <w:sz w:val="19"/>
        </w:rPr>
        <w:t>Track 3-month consensus price target changes across copper mining equities (BHP, Freeport, Antofagasta, Glencore). Consensus upgrades → bullish signal; mass downgrades after a rally → crowded trade warning.</w:t>
      </w:r>
    </w:p>
    <w:p>
      <w:pPr>
        <w:pStyle w:val="ListBullet"/>
        <w:spacing w:before="0" w:after="40"/>
        <w:ind w:left="288"/>
      </w:pPr>
      <w:r>
        <w:rPr>
          <w:b/>
          <w:sz w:val="19"/>
        </w:rPr>
        <w:t xml:space="preserve">Google Trends: </w:t>
      </w:r>
      <w:r>
        <w:rPr>
          <w:b w:val="0"/>
          <w:sz w:val="19"/>
        </w:rPr>
        <w:t>Weekly search volume for 'copper price', 'LME copper', 'copper shortage' as a retail sentiment gauge. Extremes in search interest historically lag institutional moves and can identify late-cycle positioning.</w:t>
      </w:r>
    </w:p>
    <w:p>
      <w:pPr>
        <w:spacing w:before="0" w:after="80"/>
      </w:pPr>
    </w:p>
    <w:p>
      <w:pPr>
        <w:spacing w:before="280" w:after="80"/>
        <w:pBdr>
          <w:bottom w:val="single" w:sz="4" w:space="1" w:color="B87333"/>
        </w:pBdr>
      </w:pPr>
      <w:r>
        <w:rPr>
          <w:b/>
          <w:color w:val="B87333"/>
          <w:sz w:val="22"/>
        </w:rPr>
        <w:t>6. PORTFOLIO CONSTRUCTION — NEXT STEP</w:t>
      </w:r>
    </w:p>
    <w:p>
      <w:pPr>
        <w:spacing w:before="0" w:after="80"/>
      </w:pPr>
      <w:r>
        <w:rPr>
          <w:i w:val="0"/>
          <w:sz w:val="19"/>
        </w:rPr>
        <w:t>Once all four signal families are built, the research will combine them into a multi-factor portfolio. The equal-weight (EW) benchmark is the natural starting point:</w:t>
      </w:r>
    </w:p>
    <w:p>
      <w:pPr>
        <w:spacing w:after="120"/>
        <w:ind w:left="576"/>
      </w:pPr>
      <w:r>
        <w:rPr>
          <w:b/>
          <w:color w:val="B87333"/>
          <w:sz w:val="18"/>
        </w:rPr>
        <w:t>Port_pos[t]  =  w₁ × Mom[t]  +  w₂ × Carry[t]  +  w₃ × Value[t]  +  w₄ × Fundamental[t]  +  w₅ × Sentiment[t]</w:t>
      </w:r>
    </w:p>
    <w:p>
      <w:pPr>
        <w:pStyle w:val="ListBullet"/>
        <w:spacing w:before="0" w:after="40"/>
        <w:ind w:left="288"/>
      </w:pPr>
      <w:r>
        <w:rPr>
          <w:b/>
          <w:sz w:val="19"/>
        </w:rPr>
        <w:t xml:space="preserve">EW baseline: </w:t>
      </w:r>
      <w:r>
        <w:rPr>
          <w:b w:val="0"/>
          <w:sz w:val="19"/>
        </w:rPr>
        <w:t>Equal weight (1/5 each). If pairwise correlations &lt; 0.3, EW Sharpe ≈ √5 × avg individual ≈ 1.0–1.2 (theoretical diversification bound).</w:t>
      </w:r>
    </w:p>
    <w:p>
      <w:pPr>
        <w:pStyle w:val="ListBullet"/>
        <w:spacing w:before="0" w:after="40"/>
        <w:ind w:left="288"/>
      </w:pPr>
      <w:r>
        <w:rPr>
          <w:b/>
          <w:sz w:val="19"/>
        </w:rPr>
        <w:t xml:space="preserve">Risk parity variant: </w:t>
      </w:r>
      <w:r>
        <w:rPr>
          <w:b w:val="0"/>
          <w:sz w:val="19"/>
        </w:rPr>
        <w:t>Inverse-volatility weighting to equalise risk contribution across signals — reduces dominance of high-vol momentum signal in volatile regimes.</w:t>
      </w:r>
    </w:p>
    <w:p>
      <w:pPr>
        <w:pStyle w:val="ListBullet"/>
        <w:spacing w:before="0" w:after="40"/>
        <w:ind w:left="288"/>
      </w:pPr>
      <w:r>
        <w:rPr>
          <w:b/>
          <w:sz w:val="19"/>
        </w:rPr>
        <w:t xml:space="preserve">Regime-conditional weights: </w:t>
      </w:r>
      <w:r>
        <w:rPr>
          <w:b w:val="0"/>
          <w:sz w:val="19"/>
        </w:rPr>
        <w:t>Downweight carry post-2022 (contango regime); upweight value in dislocation regimes (high VIX + low positioning z-score).</w:t>
      </w:r>
    </w:p>
    <w:p>
      <w:pPr>
        <w:pStyle w:val="ListBullet"/>
        <w:spacing w:before="0" w:after="40"/>
        <w:ind w:left="288"/>
      </w:pPr>
      <w:r>
        <w:rPr>
          <w:b/>
          <w:sz w:val="19"/>
        </w:rPr>
        <w:t xml:space="preserve">Sub-period attribution: </w:t>
      </w:r>
      <w:r>
        <w:rPr>
          <w:b w:val="0"/>
          <w:sz w:val="19"/>
        </w:rPr>
        <w:t>Reproduce the NGL energy paper's sub-period table across Pre-2022 / Post-2022 and extend to Pre-2020 / COVID / Post-COVID splits.</w:t>
      </w:r>
    </w:p>
    <w:p>
      <w:pPr>
        <w:pStyle w:val="ListBullet"/>
        <w:spacing w:before="0" w:after="40"/>
        <w:ind w:left="288"/>
      </w:pPr>
      <w:r>
        <w:rPr>
          <w:b/>
          <w:sz w:val="19"/>
        </w:rPr>
        <w:t xml:space="preserve">10-metal extension: </w:t>
      </w:r>
      <w:r>
        <w:rPr>
          <w:b w:val="0"/>
          <w:sz w:val="19"/>
        </w:rPr>
        <w:t>Apply same framework to all LME base metals (Aluminium, Zinc, Lead, Nickel, Tin, Cobalt, Molybdenum, Lithium, Steel).</w:t>
      </w:r>
    </w:p>
    <w:p>
      <w:pPr>
        <w:spacing w:before="0" w:after="120"/>
      </w:pPr>
    </w:p>
    <w:p>
      <w:pPr>
        <w:spacing w:before="160" w:after="40"/>
      </w:pPr>
      <w:r>
        <w:rPr>
          <w:b/>
          <w:color w:val="1A1A1A"/>
          <w:sz w:val="20"/>
        </w:rPr>
        <w:t>6.1  Research — Inverse-Vol Weighting: Trailing-Window Sensitivity</w:t>
      </w:r>
    </w:p>
    <w:p>
      <w:pPr>
        <w:spacing w:before="0" w:after="80"/>
      </w:pPr>
      <w:r>
        <w:rPr>
          <w:i w:val="0"/>
          <w:sz w:val="19"/>
        </w:rPr>
        <w:t>As an extension to the equal-weight (EW) benchmark we studied inverse-volatility weighting, where each sleeve is weighted by 1 / its trailing return-volatility (renormalised daily and lagged one day to avoid look-ahead). We swept the trailing-vol estimation window to identify the most stable horizon. Full sample 2006–2025 (5,053 trading days); legs = MA(35,43), Carry-Momentum 20d, Value V1 F8 5yr. Figures are active-day annualised Sharpe and cumulative P&amp;L drawdown in USD per metric ton.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3024"/>
            <w:shd w:val="clear" w:color="auto" w:fill="B87333"/>
          </w:tcPr>
          <w:p>
            <w:pPr>
              <w:jc w:val="center"/>
            </w:pPr>
            <w:r>
              <w:rPr>
                <w:b/>
                <w:color w:val="FFFFFF"/>
                <w:sz w:val="18"/>
              </w:rPr>
              <w:t>Weighting</w:t>
            </w:r>
          </w:p>
        </w:tc>
        <w:tc>
          <w:tcPr>
            <w:tcW w:type="dxa" w:w="1440"/>
            <w:shd w:val="clear" w:color="auto" w:fill="B87333"/>
          </w:tcPr>
          <w:p>
            <w:pPr>
              <w:jc w:val="center"/>
            </w:pPr>
            <w:r>
              <w:rPr>
                <w:b/>
                <w:color w:val="FFFFFF"/>
                <w:sz w:val="18"/>
              </w:rPr>
              <w:t>Gross Sharpe</w:t>
            </w:r>
          </w:p>
        </w:tc>
        <w:tc>
          <w:tcPr>
            <w:tcW w:type="dxa" w:w="1296"/>
            <w:shd w:val="clear" w:color="auto" w:fill="B87333"/>
          </w:tcPr>
          <w:p>
            <w:pPr>
              <w:jc w:val="center"/>
            </w:pPr>
            <w:r>
              <w:rPr>
                <w:b/>
                <w:color w:val="FFFFFF"/>
                <w:sz w:val="18"/>
              </w:rPr>
              <w:t>Net 5bps</w:t>
            </w:r>
          </w:p>
        </w:tc>
        <w:tc>
          <w:tcPr>
            <w:tcW w:type="dxa" w:w="1296"/>
            <w:shd w:val="clear" w:color="auto" w:fill="B87333"/>
          </w:tcPr>
          <w:p>
            <w:pPr>
              <w:jc w:val="center"/>
            </w:pPr>
            <w:r>
              <w:rPr>
                <w:b/>
                <w:color w:val="FFFFFF"/>
                <w:sz w:val="18"/>
              </w:rPr>
              <w:t>Net 10bps</w:t>
            </w:r>
          </w:p>
        </w:tc>
        <w:tc>
          <w:tcPr>
            <w:tcW w:type="dxa" w:w="1008"/>
            <w:shd w:val="clear" w:color="auto" w:fill="B87333"/>
          </w:tcPr>
          <w:p>
            <w:pPr>
              <w:jc w:val="center"/>
            </w:pPr>
            <w:r>
              <w:rPr>
                <w:b/>
                <w:color w:val="FFFFFF"/>
                <w:sz w:val="18"/>
              </w:rPr>
              <w:t>Ann %</w:t>
            </w:r>
          </w:p>
        </w:tc>
        <w:tc>
          <w:tcPr>
            <w:tcW w:type="dxa" w:w="1584"/>
            <w:shd w:val="clear" w:color="auto" w:fill="B87333"/>
          </w:tcPr>
          <w:p>
            <w:pPr>
              <w:jc w:val="center"/>
            </w:pPr>
            <w:r>
              <w:rPr>
                <w:b/>
                <w:color w:val="FFFFFF"/>
                <w:sz w:val="18"/>
              </w:rPr>
              <w:t>Max DD ($/MT)</w:t>
            </w:r>
          </w:p>
        </w:tc>
      </w:tr>
      <w:tr>
        <w:tc>
          <w:tcPr>
            <w:tcW w:type="dxa" w:w="1624"/>
            <w:shd w:val="clear" w:color="auto" w:fill="F5EFE8"/>
          </w:tcPr>
          <w:p>
            <w:pPr>
              <w:jc w:val="left"/>
            </w:pPr>
            <w:r>
              <w:rPr>
                <w:b/>
                <w:sz w:val="18"/>
              </w:rPr>
              <w:t>Equal-Weight (1/3 each)</w:t>
            </w:r>
          </w:p>
        </w:tc>
        <w:tc>
          <w:tcPr>
            <w:tcW w:type="dxa" w:w="1624"/>
            <w:shd w:val="clear" w:color="auto" w:fill="F5EFE8"/>
          </w:tcPr>
          <w:p>
            <w:pPr>
              <w:jc w:val="center"/>
            </w:pPr>
            <w:r>
              <w:rPr>
                <w:sz w:val="18"/>
              </w:rPr>
              <w:t>1.045</w:t>
            </w:r>
          </w:p>
        </w:tc>
        <w:tc>
          <w:tcPr>
            <w:tcW w:type="dxa" w:w="1624"/>
            <w:shd w:val="clear" w:color="auto" w:fill="F5EFE8"/>
          </w:tcPr>
          <w:p>
            <w:pPr>
              <w:jc w:val="center"/>
            </w:pPr>
            <w:r>
              <w:rPr>
                <w:sz w:val="18"/>
              </w:rPr>
              <w:t>0.959</w:t>
            </w:r>
          </w:p>
        </w:tc>
        <w:tc>
          <w:tcPr>
            <w:tcW w:type="dxa" w:w="1624"/>
            <w:shd w:val="clear" w:color="auto" w:fill="F5EFE8"/>
          </w:tcPr>
          <w:p>
            <w:pPr>
              <w:jc w:val="center"/>
            </w:pPr>
            <w:r>
              <w:rPr>
                <w:sz w:val="18"/>
              </w:rPr>
              <w:t>0.899</w:t>
            </w:r>
          </w:p>
        </w:tc>
        <w:tc>
          <w:tcPr>
            <w:tcW w:type="dxa" w:w="1624"/>
            <w:shd w:val="clear" w:color="auto" w:fill="F5EFE8"/>
          </w:tcPr>
          <w:p>
            <w:pPr>
              <w:jc w:val="center"/>
            </w:pPr>
            <w:r>
              <w:rPr>
                <w:sz w:val="18"/>
              </w:rPr>
              <w:t>11.9</w:t>
            </w:r>
          </w:p>
        </w:tc>
        <w:tc>
          <w:tcPr>
            <w:tcW w:type="dxa" w:w="1624"/>
            <w:shd w:val="clear" w:color="auto" w:fill="F5EFE8"/>
          </w:tcPr>
          <w:p>
            <w:pPr>
              <w:jc w:val="center"/>
            </w:pPr>
            <w:r>
              <w:rPr>
                <w:sz w:val="18"/>
              </w:rPr>
              <w:t>−2,020</w:t>
            </w:r>
          </w:p>
        </w:tc>
      </w:tr>
      <w:tr>
        <w:tc>
          <w:tcPr>
            <w:tcW w:type="dxa" w:w="1624"/>
            <w:shd w:val="clear" w:color="auto" w:fill="FAFAFA"/>
          </w:tcPr>
          <w:p>
            <w:pPr>
              <w:jc w:val="left"/>
            </w:pPr>
            <w:r>
              <w:rPr>
                <w:b/>
                <w:sz w:val="18"/>
              </w:rPr>
              <w:t>Inverse-Vol — 10d</w:t>
            </w:r>
          </w:p>
        </w:tc>
        <w:tc>
          <w:tcPr>
            <w:tcW w:type="dxa" w:w="1624"/>
            <w:shd w:val="clear" w:color="auto" w:fill="FAFAFA"/>
          </w:tcPr>
          <w:p>
            <w:pPr>
              <w:jc w:val="center"/>
            </w:pPr>
            <w:r>
              <w:rPr>
                <w:sz w:val="18"/>
              </w:rPr>
              <w:t>0.858</w:t>
            </w:r>
          </w:p>
        </w:tc>
        <w:tc>
          <w:tcPr>
            <w:tcW w:type="dxa" w:w="1624"/>
            <w:shd w:val="clear" w:color="auto" w:fill="FAFAFA"/>
          </w:tcPr>
          <w:p>
            <w:pPr>
              <w:jc w:val="center"/>
            </w:pPr>
            <w:r>
              <w:rPr>
                <w:sz w:val="18"/>
              </w:rPr>
              <w:t>0.800</w:t>
            </w:r>
          </w:p>
        </w:tc>
        <w:tc>
          <w:tcPr>
            <w:tcW w:type="dxa" w:w="1624"/>
            <w:shd w:val="clear" w:color="auto" w:fill="FAFAFA"/>
          </w:tcPr>
          <w:p>
            <w:pPr>
              <w:jc w:val="center"/>
            </w:pPr>
            <w:r>
              <w:rPr>
                <w:sz w:val="18"/>
              </w:rPr>
              <w:t>0.743</w:t>
            </w:r>
          </w:p>
        </w:tc>
        <w:tc>
          <w:tcPr>
            <w:tcW w:type="dxa" w:w="1624"/>
            <w:shd w:val="clear" w:color="auto" w:fill="FAFAFA"/>
          </w:tcPr>
          <w:p>
            <w:pPr>
              <w:jc w:val="center"/>
            </w:pPr>
            <w:r>
              <w:rPr>
                <w:sz w:val="18"/>
              </w:rPr>
              <w:t>13.3</w:t>
            </w:r>
          </w:p>
        </w:tc>
        <w:tc>
          <w:tcPr>
            <w:tcW w:type="dxa" w:w="1624"/>
            <w:shd w:val="clear" w:color="auto" w:fill="FAFAFA"/>
          </w:tcPr>
          <w:p>
            <w:pPr>
              <w:jc w:val="center"/>
            </w:pPr>
            <w:r>
              <w:rPr>
                <w:sz w:val="18"/>
              </w:rPr>
              <w:t>−3,064</w:t>
            </w:r>
          </w:p>
        </w:tc>
      </w:tr>
      <w:tr>
        <w:tc>
          <w:tcPr>
            <w:tcW w:type="dxa" w:w="1624"/>
            <w:shd w:val="clear" w:color="auto" w:fill="F5EFE8"/>
          </w:tcPr>
          <w:p>
            <w:pPr>
              <w:jc w:val="left"/>
            </w:pPr>
            <w:r>
              <w:rPr>
                <w:b/>
                <w:sz w:val="18"/>
              </w:rPr>
              <w:t>Inverse-Vol — 21d</w:t>
            </w:r>
          </w:p>
        </w:tc>
        <w:tc>
          <w:tcPr>
            <w:tcW w:type="dxa" w:w="1624"/>
            <w:shd w:val="clear" w:color="auto" w:fill="F5EFE8"/>
          </w:tcPr>
          <w:p>
            <w:pPr>
              <w:jc w:val="center"/>
            </w:pPr>
            <w:r>
              <w:rPr>
                <w:sz w:val="18"/>
              </w:rPr>
              <w:t>0.908</w:t>
            </w:r>
          </w:p>
        </w:tc>
        <w:tc>
          <w:tcPr>
            <w:tcW w:type="dxa" w:w="1624"/>
            <w:shd w:val="clear" w:color="auto" w:fill="F5EFE8"/>
          </w:tcPr>
          <w:p>
            <w:pPr>
              <w:jc w:val="center"/>
            </w:pPr>
            <w:r>
              <w:rPr>
                <w:sz w:val="18"/>
              </w:rPr>
              <w:t>0.852</w:t>
            </w:r>
          </w:p>
        </w:tc>
        <w:tc>
          <w:tcPr>
            <w:tcW w:type="dxa" w:w="1624"/>
            <w:shd w:val="clear" w:color="auto" w:fill="F5EFE8"/>
          </w:tcPr>
          <w:p>
            <w:pPr>
              <w:jc w:val="center"/>
            </w:pPr>
            <w:r>
              <w:rPr>
                <w:sz w:val="18"/>
              </w:rPr>
              <w:t>0.797</w:t>
            </w:r>
          </w:p>
        </w:tc>
        <w:tc>
          <w:tcPr>
            <w:tcW w:type="dxa" w:w="1624"/>
            <w:shd w:val="clear" w:color="auto" w:fill="F5EFE8"/>
          </w:tcPr>
          <w:p>
            <w:pPr>
              <w:jc w:val="center"/>
            </w:pPr>
            <w:r>
              <w:rPr>
                <w:sz w:val="18"/>
              </w:rPr>
              <w:t>13.7</w:t>
            </w:r>
          </w:p>
        </w:tc>
        <w:tc>
          <w:tcPr>
            <w:tcW w:type="dxa" w:w="1624"/>
            <w:shd w:val="clear" w:color="auto" w:fill="F5EFE8"/>
          </w:tcPr>
          <w:p>
            <w:pPr>
              <w:jc w:val="center"/>
            </w:pPr>
            <w:r>
              <w:rPr>
                <w:sz w:val="18"/>
              </w:rPr>
              <w:t>−3,040</w:t>
            </w:r>
          </w:p>
        </w:tc>
      </w:tr>
      <w:tr>
        <w:tc>
          <w:tcPr>
            <w:tcW w:type="dxa" w:w="1624"/>
            <w:shd w:val="clear" w:color="auto" w:fill="FAFAFA"/>
          </w:tcPr>
          <w:p>
            <w:pPr>
              <w:jc w:val="left"/>
            </w:pPr>
            <w:r>
              <w:rPr>
                <w:b/>
                <w:sz w:val="18"/>
              </w:rPr>
              <w:t>Inverse-Vol — 42d</w:t>
            </w:r>
          </w:p>
        </w:tc>
        <w:tc>
          <w:tcPr>
            <w:tcW w:type="dxa" w:w="1624"/>
            <w:shd w:val="clear" w:color="auto" w:fill="FAFAFA"/>
          </w:tcPr>
          <w:p>
            <w:pPr>
              <w:jc w:val="center"/>
            </w:pPr>
            <w:r>
              <w:rPr>
                <w:sz w:val="18"/>
              </w:rPr>
              <w:t>0.903</w:t>
            </w:r>
          </w:p>
        </w:tc>
        <w:tc>
          <w:tcPr>
            <w:tcW w:type="dxa" w:w="1624"/>
            <w:shd w:val="clear" w:color="auto" w:fill="FAFAFA"/>
          </w:tcPr>
          <w:p>
            <w:pPr>
              <w:jc w:val="center"/>
            </w:pPr>
            <w:r>
              <w:rPr>
                <w:sz w:val="18"/>
              </w:rPr>
              <w:t>0.848</w:t>
            </w:r>
          </w:p>
        </w:tc>
        <w:tc>
          <w:tcPr>
            <w:tcW w:type="dxa" w:w="1624"/>
            <w:shd w:val="clear" w:color="auto" w:fill="FAFAFA"/>
          </w:tcPr>
          <w:p>
            <w:pPr>
              <w:jc w:val="center"/>
            </w:pPr>
            <w:r>
              <w:rPr>
                <w:sz w:val="18"/>
              </w:rPr>
              <w:t>0.794</w:t>
            </w:r>
          </w:p>
        </w:tc>
        <w:tc>
          <w:tcPr>
            <w:tcW w:type="dxa" w:w="1624"/>
            <w:shd w:val="clear" w:color="auto" w:fill="FAFAFA"/>
          </w:tcPr>
          <w:p>
            <w:pPr>
              <w:jc w:val="center"/>
            </w:pPr>
            <w:r>
              <w:rPr>
                <w:sz w:val="18"/>
              </w:rPr>
              <w:t>13.3</w:t>
            </w:r>
          </w:p>
        </w:tc>
        <w:tc>
          <w:tcPr>
            <w:tcW w:type="dxa" w:w="1624"/>
            <w:shd w:val="clear" w:color="auto" w:fill="FAFAFA"/>
          </w:tcPr>
          <w:p>
            <w:pPr>
              <w:jc w:val="center"/>
            </w:pPr>
            <w:r>
              <w:rPr>
                <w:sz w:val="18"/>
              </w:rPr>
              <w:t>−3,054</w:t>
            </w:r>
          </w:p>
        </w:tc>
      </w:tr>
      <w:tr>
        <w:tc>
          <w:tcPr>
            <w:tcW w:type="dxa" w:w="1624"/>
            <w:shd w:val="clear" w:color="auto" w:fill="F5EFE8"/>
          </w:tcPr>
          <w:p>
            <w:pPr>
              <w:jc w:val="left"/>
            </w:pPr>
            <w:r>
              <w:rPr>
                <w:b/>
                <w:sz w:val="18"/>
              </w:rPr>
              <w:t>Inverse-Vol — 63d (selected)</w:t>
            </w:r>
          </w:p>
        </w:tc>
        <w:tc>
          <w:tcPr>
            <w:tcW w:type="dxa" w:w="1624"/>
            <w:shd w:val="clear" w:color="auto" w:fill="F5EFE8"/>
          </w:tcPr>
          <w:p>
            <w:pPr>
              <w:jc w:val="center"/>
            </w:pPr>
            <w:r>
              <w:rPr>
                <w:sz w:val="18"/>
              </w:rPr>
              <w:t>0.941</w:t>
            </w:r>
          </w:p>
        </w:tc>
        <w:tc>
          <w:tcPr>
            <w:tcW w:type="dxa" w:w="1624"/>
            <w:shd w:val="clear" w:color="auto" w:fill="F5EFE8"/>
          </w:tcPr>
          <w:p>
            <w:pPr>
              <w:jc w:val="center"/>
            </w:pPr>
            <w:r>
              <w:rPr>
                <w:sz w:val="18"/>
              </w:rPr>
              <w:t>0.887</w:t>
            </w:r>
          </w:p>
        </w:tc>
        <w:tc>
          <w:tcPr>
            <w:tcW w:type="dxa" w:w="1624"/>
            <w:shd w:val="clear" w:color="auto" w:fill="F5EFE8"/>
          </w:tcPr>
          <w:p>
            <w:pPr>
              <w:jc w:val="center"/>
            </w:pPr>
            <w:r>
              <w:rPr>
                <w:sz w:val="18"/>
              </w:rPr>
              <w:t>0.833</w:t>
            </w:r>
          </w:p>
        </w:tc>
        <w:tc>
          <w:tcPr>
            <w:tcW w:type="dxa" w:w="1624"/>
            <w:shd w:val="clear" w:color="auto" w:fill="F5EFE8"/>
          </w:tcPr>
          <w:p>
            <w:pPr>
              <w:jc w:val="center"/>
            </w:pPr>
            <w:r>
              <w:rPr>
                <w:sz w:val="18"/>
              </w:rPr>
              <w:t>13.5</w:t>
            </w:r>
          </w:p>
        </w:tc>
        <w:tc>
          <w:tcPr>
            <w:tcW w:type="dxa" w:w="1624"/>
            <w:shd w:val="clear" w:color="auto" w:fill="F5EFE8"/>
          </w:tcPr>
          <w:p>
            <w:pPr>
              <w:jc w:val="center"/>
            </w:pPr>
            <w:r>
              <w:rPr>
                <w:sz w:val="18"/>
              </w:rPr>
              <w:t>−3,031</w:t>
            </w:r>
          </w:p>
        </w:tc>
      </w:tr>
      <w:tr>
        <w:tc>
          <w:tcPr>
            <w:tcW w:type="dxa" w:w="1624"/>
            <w:shd w:val="clear" w:color="auto" w:fill="FAFAFA"/>
          </w:tcPr>
          <w:p>
            <w:pPr>
              <w:jc w:val="left"/>
            </w:pPr>
            <w:r>
              <w:rPr>
                <w:b/>
                <w:sz w:val="18"/>
              </w:rPr>
              <w:t>Inverse-Vol — 126d</w:t>
            </w:r>
          </w:p>
        </w:tc>
        <w:tc>
          <w:tcPr>
            <w:tcW w:type="dxa" w:w="1624"/>
            <w:shd w:val="clear" w:color="auto" w:fill="FAFAFA"/>
          </w:tcPr>
          <w:p>
            <w:pPr>
              <w:jc w:val="center"/>
            </w:pPr>
            <w:r>
              <w:rPr>
                <w:sz w:val="18"/>
              </w:rPr>
              <w:t>0.906</w:t>
            </w:r>
          </w:p>
        </w:tc>
        <w:tc>
          <w:tcPr>
            <w:tcW w:type="dxa" w:w="1624"/>
            <w:shd w:val="clear" w:color="auto" w:fill="FAFAFA"/>
          </w:tcPr>
          <w:p>
            <w:pPr>
              <w:jc w:val="center"/>
            </w:pPr>
            <w:r>
              <w:rPr>
                <w:sz w:val="18"/>
              </w:rPr>
              <w:t>0.852</w:t>
            </w:r>
          </w:p>
        </w:tc>
        <w:tc>
          <w:tcPr>
            <w:tcW w:type="dxa" w:w="1624"/>
            <w:shd w:val="clear" w:color="auto" w:fill="FAFAFA"/>
          </w:tcPr>
          <w:p>
            <w:pPr>
              <w:jc w:val="center"/>
            </w:pPr>
            <w:r>
              <w:rPr>
                <w:sz w:val="18"/>
              </w:rPr>
              <w:t>0.800</w:t>
            </w:r>
          </w:p>
        </w:tc>
        <w:tc>
          <w:tcPr>
            <w:tcW w:type="dxa" w:w="1624"/>
            <w:shd w:val="clear" w:color="auto" w:fill="FAFAFA"/>
          </w:tcPr>
          <w:p>
            <w:pPr>
              <w:jc w:val="center"/>
            </w:pPr>
            <w:r>
              <w:rPr>
                <w:sz w:val="18"/>
              </w:rPr>
              <w:t>12.4</w:t>
            </w:r>
          </w:p>
        </w:tc>
        <w:tc>
          <w:tcPr>
            <w:tcW w:type="dxa" w:w="1624"/>
            <w:shd w:val="clear" w:color="auto" w:fill="FAFAFA"/>
          </w:tcPr>
          <w:p>
            <w:pPr>
              <w:jc w:val="center"/>
            </w:pPr>
            <w:r>
              <w:rPr>
                <w:sz w:val="18"/>
              </w:rPr>
              <w:t>−3,038</w:t>
            </w:r>
          </w:p>
        </w:tc>
      </w:tr>
      <w:tr>
        <w:tc>
          <w:tcPr>
            <w:tcW w:type="dxa" w:w="1624"/>
            <w:shd w:val="clear" w:color="auto" w:fill="F5EFE8"/>
          </w:tcPr>
          <w:p>
            <w:pPr>
              <w:jc w:val="left"/>
            </w:pPr>
            <w:r>
              <w:rPr>
                <w:b/>
                <w:sz w:val="18"/>
              </w:rPr>
              <w:t>Inverse-Vol — 189d</w:t>
            </w:r>
          </w:p>
        </w:tc>
        <w:tc>
          <w:tcPr>
            <w:tcW w:type="dxa" w:w="1624"/>
            <w:shd w:val="clear" w:color="auto" w:fill="F5EFE8"/>
          </w:tcPr>
          <w:p>
            <w:pPr>
              <w:jc w:val="center"/>
            </w:pPr>
            <w:r>
              <w:rPr>
                <w:sz w:val="18"/>
              </w:rPr>
              <w:t>0.910</w:t>
            </w:r>
          </w:p>
        </w:tc>
        <w:tc>
          <w:tcPr>
            <w:tcW w:type="dxa" w:w="1624"/>
            <w:shd w:val="clear" w:color="auto" w:fill="F5EFE8"/>
          </w:tcPr>
          <w:p>
            <w:pPr>
              <w:jc w:val="center"/>
            </w:pPr>
            <w:r>
              <w:rPr>
                <w:sz w:val="18"/>
              </w:rPr>
              <w:t>0.858</w:t>
            </w:r>
          </w:p>
        </w:tc>
        <w:tc>
          <w:tcPr>
            <w:tcW w:type="dxa" w:w="1624"/>
            <w:shd w:val="clear" w:color="auto" w:fill="F5EFE8"/>
          </w:tcPr>
          <w:p>
            <w:pPr>
              <w:jc w:val="center"/>
            </w:pPr>
            <w:r>
              <w:rPr>
                <w:sz w:val="18"/>
              </w:rPr>
              <w:t>0.807</w:t>
            </w:r>
          </w:p>
        </w:tc>
        <w:tc>
          <w:tcPr>
            <w:tcW w:type="dxa" w:w="1624"/>
            <w:shd w:val="clear" w:color="auto" w:fill="F5EFE8"/>
          </w:tcPr>
          <w:p>
            <w:pPr>
              <w:jc w:val="center"/>
            </w:pPr>
            <w:r>
              <w:rPr>
                <w:sz w:val="18"/>
              </w:rPr>
              <w:t>12.2</w:t>
            </w:r>
          </w:p>
        </w:tc>
        <w:tc>
          <w:tcPr>
            <w:tcW w:type="dxa" w:w="1624"/>
            <w:shd w:val="clear" w:color="auto" w:fill="F5EFE8"/>
          </w:tcPr>
          <w:p>
            <w:pPr>
              <w:jc w:val="center"/>
            </w:pPr>
            <w:r>
              <w:rPr>
                <w:sz w:val="18"/>
              </w:rPr>
              <w:t>−3,031</w:t>
            </w:r>
          </w:p>
        </w:tc>
      </w:tr>
      <w:tr>
        <w:tc>
          <w:tcPr>
            <w:tcW w:type="dxa" w:w="1624"/>
            <w:shd w:val="clear" w:color="auto" w:fill="FAFAFA"/>
          </w:tcPr>
          <w:p>
            <w:pPr>
              <w:jc w:val="left"/>
            </w:pPr>
            <w:r>
              <w:rPr>
                <w:b/>
                <w:sz w:val="18"/>
              </w:rPr>
              <w:t>Inverse-Vol — 252d</w:t>
            </w:r>
          </w:p>
        </w:tc>
        <w:tc>
          <w:tcPr>
            <w:tcW w:type="dxa" w:w="1624"/>
            <w:shd w:val="clear" w:color="auto" w:fill="FAFAFA"/>
          </w:tcPr>
          <w:p>
            <w:pPr>
              <w:jc w:val="center"/>
            </w:pPr>
            <w:r>
              <w:rPr>
                <w:sz w:val="18"/>
              </w:rPr>
              <w:t>0.884</w:t>
            </w:r>
          </w:p>
        </w:tc>
        <w:tc>
          <w:tcPr>
            <w:tcW w:type="dxa" w:w="1624"/>
            <w:shd w:val="clear" w:color="auto" w:fill="FAFAFA"/>
          </w:tcPr>
          <w:p>
            <w:pPr>
              <w:jc w:val="center"/>
            </w:pPr>
            <w:r>
              <w:rPr>
                <w:sz w:val="18"/>
              </w:rPr>
              <w:t>0.832</w:t>
            </w:r>
          </w:p>
        </w:tc>
        <w:tc>
          <w:tcPr>
            <w:tcW w:type="dxa" w:w="1624"/>
            <w:shd w:val="clear" w:color="auto" w:fill="FAFAFA"/>
          </w:tcPr>
          <w:p>
            <w:pPr>
              <w:jc w:val="center"/>
            </w:pPr>
            <w:r>
              <w:rPr>
                <w:sz w:val="18"/>
              </w:rPr>
              <w:t>0.782</w:t>
            </w:r>
          </w:p>
        </w:tc>
        <w:tc>
          <w:tcPr>
            <w:tcW w:type="dxa" w:w="1624"/>
            <w:shd w:val="clear" w:color="auto" w:fill="FAFAFA"/>
          </w:tcPr>
          <w:p>
            <w:pPr>
              <w:jc w:val="center"/>
            </w:pPr>
            <w:r>
              <w:rPr>
                <w:sz w:val="18"/>
              </w:rPr>
              <w:t>11.7</w:t>
            </w:r>
          </w:p>
        </w:tc>
        <w:tc>
          <w:tcPr>
            <w:tcW w:type="dxa" w:w="1624"/>
            <w:shd w:val="clear" w:color="auto" w:fill="FAFAFA"/>
          </w:tcPr>
          <w:p>
            <w:pPr>
              <w:jc w:val="center"/>
            </w:pPr>
            <w:r>
              <w:rPr>
                <w:sz w:val="18"/>
              </w:rPr>
              <w:t>−3,029</w:t>
            </w:r>
          </w:p>
        </w:tc>
      </w:tr>
    </w:tbl>
    <w:p>
      <w:pPr>
        <w:spacing w:before="0" w:after="80"/>
      </w:pPr>
    </w:p>
    <w:p>
      <w:pPr>
        <w:spacing w:before="0" w:after="80"/>
      </w:pPr>
      <w:r>
        <w:rPr>
          <w:i/>
          <w:sz w:val="19"/>
        </w:rPr>
        <w:t>Findings: (i) the 63-day trailing window is the Sharpe-optimal inverse-vol horizon, gross and net of costs — shorter windows (≤21d) are too noisy and raise turnover, while longer windows (≥126d) give up return without improving Sharpe. (ii) Equal-weight still dominates every inverse-vol window on net Sharpe and has a materially shallower drawdown (−$2,020 vs ≈ −$3,030/MT), so EW remains the portfolio default; inverse-vol trades a higher annual return (~13.5%) for worse risk-adjusted performance. (iii) Transaction costs penalise inverse-vol more, owing to its daily reweighting turnover.</w:t>
      </w:r>
    </w:p>
    <w:p>
      <w:pPr>
        <w:spacing w:before="0" w:after="80"/>
      </w:pPr>
    </w:p>
    <w:p>
      <w:pPr>
        <w:spacing w:before="280" w:after="80"/>
        <w:pBdr>
          <w:bottom w:val="single" w:sz="4" w:space="1" w:color="B87333"/>
        </w:pBdr>
      </w:pPr>
      <w:r>
        <w:rPr>
          <w:b/>
          <w:color w:val="B87333"/>
          <w:sz w:val="22"/>
        </w:rPr>
        <w:t>7. TECHNOLOGY STACK &amp; LIVE DASHBOARD</w:t>
      </w:r>
    </w:p>
    <w:p>
      <w:pPr>
        <w:pStyle w:val="ListBullet"/>
        <w:spacing w:before="0" w:after="40"/>
        <w:ind w:left="288"/>
      </w:pPr>
      <w:r>
        <w:rPr>
          <w:b/>
          <w:sz w:val="19"/>
        </w:rPr>
        <w:t xml:space="preserve">Language: </w:t>
      </w:r>
      <w:r>
        <w:rPr>
          <w:b w:val="0"/>
          <w:sz w:val="19"/>
        </w:rPr>
        <w:t>Python (pandas, numpy, scipy, plotly, streamlit).</w:t>
      </w:r>
    </w:p>
    <w:p>
      <w:pPr>
        <w:pStyle w:val="ListBullet"/>
        <w:spacing w:before="0" w:after="40"/>
        <w:ind w:left="288"/>
      </w:pPr>
      <w:r>
        <w:rPr>
          <w:b/>
          <w:sz w:val="19"/>
        </w:rPr>
        <w:t xml:space="preserve">Data: </w:t>
      </w:r>
      <w:r>
        <w:rPr>
          <w:b w:val="0"/>
          <w:sz w:val="19"/>
        </w:rPr>
        <w:t>LME futures curve (F1–F27), Bloomberg Terminal (pdblp), CFTC public COT, Caldara-Iacoviello GPR Index.</w:t>
      </w:r>
    </w:p>
    <w:p>
      <w:pPr>
        <w:pStyle w:val="ListBullet"/>
        <w:spacing w:before="0" w:after="40"/>
        <w:ind w:left="288"/>
      </w:pPr>
      <w:r>
        <w:rPr>
          <w:b/>
          <w:sz w:val="19"/>
        </w:rPr>
        <w:t xml:space="preserve">Dashboard: </w:t>
      </w:r>
      <w:r>
        <w:rPr>
          <w:b w:val="0"/>
          <w:sz w:val="19"/>
        </w:rPr>
        <w:t>Streamlit app deployed on Streamlit Cloud — metals-risk-premia-kj.streamlit.app</w:t>
      </w:r>
    </w:p>
    <w:p>
      <w:pPr>
        <w:pStyle w:val="ListBullet"/>
        <w:spacing w:before="0" w:after="40"/>
        <w:ind w:left="288"/>
      </w:pPr>
      <w:r>
        <w:rPr>
          <w:b/>
          <w:sz w:val="19"/>
        </w:rPr>
        <w:t xml:space="preserve">Tabs live: </w:t>
      </w:r>
      <w:r>
        <w:rPr>
          <w:b w:val="0"/>
          <w:sz w:val="19"/>
        </w:rPr>
        <w:t>Market Overview · Term Structure · Cash vs 3M · Volume &amp; OI · LME-CME Spread · Statistics · Momentum Signals (Tab 7) · Carry Signals (Tab 8) · Value Signals (Tab 9) · Portfolio Construction (Tab 10 — EW + inverse-vol weighting toggle)</w:t>
      </w:r>
    </w:p>
    <w:p>
      <w:pPr>
        <w:pStyle w:val="ListBullet"/>
        <w:spacing w:before="0" w:after="40"/>
        <w:ind w:left="288"/>
      </w:pPr>
      <w:r>
        <w:rPr>
          <w:b/>
          <w:sz w:val="19"/>
        </w:rPr>
        <w:t xml:space="preserve">In progress: </w:t>
      </w:r>
      <w:r>
        <w:rPr>
          <w:b w:val="0"/>
          <w:sz w:val="19"/>
        </w:rPr>
        <w:t>Fundamental and Sentiment sleeves (to extend the portfolio from 3 to 5 signal families)</w:t>
      </w:r>
    </w:p>
    <w:p>
      <w:pPr>
        <w:pStyle w:val="ListBullet"/>
        <w:spacing w:before="0" w:after="40"/>
        <w:ind w:left="288"/>
      </w:pPr>
      <w:r>
        <w:rPr>
          <w:b/>
          <w:sz w:val="19"/>
        </w:rPr>
        <w:t xml:space="preserve">Repository: </w:t>
      </w:r>
      <w:r>
        <w:rPr>
          <w:b w:val="0"/>
          <w:sz w:val="19"/>
        </w:rPr>
        <w:t>github.com/kj2741-kj/Metals-Risk-Premia (branch: main)</w:t>
      </w:r>
    </w:p>
    <w:p>
      <w:pPr>
        <w:spacing w:before="0" w:after="80"/>
      </w:pPr>
    </w:p>
    <w:p>
      <w:pPr>
        <w:spacing w:before="280" w:after="80"/>
        <w:pBdr>
          <w:bottom w:val="single" w:sz="4" w:space="1" w:color="B87333"/>
        </w:pBdr>
      </w:pPr>
      <w:r>
        <w:rPr>
          <w:b/>
          <w:color w:val="B87333"/>
          <w:sz w:val="22"/>
        </w:rPr>
        <w:t>REFERENCES</w:t>
      </w:r>
    </w:p>
    <w:p>
      <w:pPr>
        <w:spacing w:before="0" w:after="80"/>
      </w:pPr>
      <w:r>
        <w:rPr>
          <w:i w:val="0"/>
          <w:sz w:val="19"/>
        </w:rPr>
        <w:t>Baz, J. &amp; Granger, N. M. (2015). Dissecting Investment Strategies in the Cross Section and Time Series. SSRN 2695101.</w:t>
      </w:r>
    </w:p>
    <w:p>
      <w:pPr>
        <w:spacing w:before="0" w:after="80"/>
      </w:pPr>
      <w:r>
        <w:rPr>
          <w:i w:val="0"/>
          <w:sz w:val="19"/>
        </w:rPr>
        <w:t>Bouchoev, I. (2024). Lecture notes on commodity risk premia. NYU.</w:t>
      </w:r>
    </w:p>
    <w:p>
      <w:pPr>
        <w:spacing w:before="0" w:after="80"/>
      </w:pPr>
      <w:r>
        <w:rPr>
          <w:i w:val="0"/>
          <w:sz w:val="19"/>
        </w:rPr>
        <w:t>NGL Energy Risk-Premia paper. Risk Premia in Diversified Energy Portfolios.</w:t>
      </w:r>
    </w:p>
    <w:p>
      <w:pPr>
        <w:spacing w:before="0" w:after="80"/>
      </w:pPr>
      <w:r>
        <w:rPr>
          <w:i w:val="0"/>
          <w:sz w:val="19"/>
        </w:rPr>
        <w:t>CFTC (2025). Commitments of Traders — Disaggregated Futures Only Report. cftc.gov.</w:t>
      </w:r>
    </w:p>
    <w:p>
      <w:pPr>
        <w:spacing w:before="0" w:after="80"/>
      </w:pPr>
      <w:r>
        <w:rPr>
          <w:i w:val="0"/>
          <w:sz w:val="19"/>
        </w:rPr>
        <w:t>Caldara, D. &amp; Iacoviello, M. (2022). Measuring Geopolitical Risk. American Economic Review 112(4).</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